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〔2021〕1期        2021年07月13日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期间法律事务</w:t>
      </w:r>
      <w:r>
        <w:rPr>
          <w:rFonts w:ascii="方正小标宋_GBK" w:hAnsi="方正小标宋_GBK" w:eastAsia="方正小标宋_GBK"/>
          <w:sz w:val="32"/>
        </w:rPr>
        <w:t>（2021.01.01-2021.06.30）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新每经vs汉能：2021年01月28日，沟通案情。</w:t>
      </w:r>
    </w:p>
    <w:p>
      <w:pPr>
        <w:pStyle w:val="N1"/>
      </w:pPr>
      <w:r>
        <w:t>每经vs北大资源：2021年01月04日，起草起诉状；2021年01月20日，准备立案材料进行网上立案；2021年03月01日，沟通查询被告破产情况及法院审理程序。</w:t>
      </w:r>
    </w:p>
    <w:p>
      <w:pPr>
        <w:pStyle w:val="N1"/>
      </w:pPr>
      <w:r>
        <w:t>每经vs康得新：2021年03月09日，整理资料准备代理合同盖章，开票；2021年04月05日，进行事实分析，起草诉状；2021年04月06日，准备立案材料盖章。</w:t>
      </w:r>
    </w:p>
    <w:p>
      <w:pPr>
        <w:pStyle w:val="H1"/>
      </w:pPr>
      <w:r>
        <w:t>二、经营事务</w:t>
      </w:r>
    </w:p>
    <w:p>
      <w:pPr>
        <w:pStyle w:val="N1"/>
      </w:pPr>
      <w:r>
        <w:t>国广投资尽调：2021年01月04日，沟通补充报告；2021年01月08日，沟通报告事宜；2021年01月07日，修改装订报告，盖章邮寄；2021年01月18日，整理粘贴冲账发票；2021年02月08日，开具发票并邮寄。</w:t>
      </w:r>
    </w:p>
    <w:p>
      <w:pPr>
        <w:pStyle w:val="N1"/>
      </w:pPr>
      <w:r>
        <w:t>火眼财经股权转让：2021年01月11日，沟通审查专项方案；2021年01月16日，沟通发送律师函；2021年03月04日，沟通进展；2021年03月06日，只传媒集团沟通进展；2021年03月09日，沟通，起草法律意见书；2021年03月10日，起草法律意见书；2021年05月07日，至每经开会。</w:t>
      </w:r>
    </w:p>
    <w:p>
      <w:pPr>
        <w:pStyle w:val="H1"/>
      </w:pPr>
      <w:r>
        <w:t>三、采编事务</w:t>
      </w:r>
    </w:p>
    <w:p>
      <w:pPr>
        <w:pStyle w:val="N1"/>
      </w:pPr>
      <w:r>
        <w:t>2021年01月11日，准备年度述职报告。</w:t>
      </w:r>
    </w:p>
    <w:p>
      <w:pPr>
        <w:pStyle w:val="N1"/>
      </w:pPr>
      <w:r>
        <w:t>2021年01月13日，统计2020年诉讼数据。</w:t>
      </w:r>
    </w:p>
    <w:p>
      <w:pPr>
        <w:pStyle w:val="N1"/>
      </w:pPr>
      <w:r>
        <w:t>2021年01月17日，沟通审查大众撤稿事宜，出具法律意见。</w:t>
      </w:r>
    </w:p>
    <w:p>
      <w:pPr>
        <w:pStyle w:val="N1"/>
      </w:pPr>
      <w:r>
        <w:t>2021年01月18日，统计2020年诉讼处理情况。</w:t>
      </w:r>
    </w:p>
    <w:p>
      <w:pPr>
        <w:pStyle w:val="N1"/>
      </w:pPr>
      <w:r>
        <w:t>2021年01月22日，就设立天府影业出具法律意见。</w:t>
      </w:r>
    </w:p>
    <w:p>
      <w:pPr>
        <w:pStyle w:val="N1"/>
      </w:pPr>
      <w:r>
        <w:t>2021年01月26日，回复春节放假方面各人事疑问。</w:t>
      </w:r>
    </w:p>
    <w:p>
      <w:pPr>
        <w:pStyle w:val="N1"/>
      </w:pPr>
      <w:r>
        <w:t>2021年01月25日，就彭博项目出具法律意见并参加电话会议。</w:t>
      </w:r>
    </w:p>
    <w:p>
      <w:pPr>
        <w:pStyle w:val="N1"/>
      </w:pPr>
      <w:r>
        <w:t>2021年01月25日，就大运会招标项目出具法律意见并参加电话会议。</w:t>
      </w:r>
    </w:p>
    <w:p>
      <w:pPr>
        <w:pStyle w:val="N1"/>
      </w:pPr>
      <w:r>
        <w:t>2021年02月01日，沟通处理成胜律师函事宜。</w:t>
      </w:r>
    </w:p>
    <w:p>
      <w:pPr>
        <w:pStyle w:val="N1"/>
      </w:pPr>
      <w:r>
        <w:t>2021年02月01日，起草周报。</w:t>
      </w:r>
    </w:p>
    <w:p>
      <w:pPr>
        <w:pStyle w:val="N1"/>
      </w:pPr>
      <w:r>
        <w:t>2021年02月04日，出具大运会招标项目法律意见书。</w:t>
      </w:r>
    </w:p>
    <w:p>
      <w:pPr>
        <w:pStyle w:val="N1"/>
      </w:pPr>
      <w:r>
        <w:t>2021年02月19日，处理君乐宝撤稿。</w:t>
      </w:r>
    </w:p>
    <w:p>
      <w:pPr>
        <w:pStyle w:val="N1"/>
      </w:pPr>
      <w:r>
        <w:t>2021年02月28日，处理拓路者撤稿。</w:t>
      </w:r>
    </w:p>
    <w:p>
      <w:pPr>
        <w:pStyle w:val="N1"/>
      </w:pPr>
      <w:r>
        <w:t>2021年03月03日，处理联通撤稿。</w:t>
      </w:r>
    </w:p>
    <w:p>
      <w:pPr>
        <w:pStyle w:val="N1"/>
      </w:pPr>
      <w:r>
        <w:t>2021年03月06日，起草法律报告。</w:t>
      </w:r>
    </w:p>
    <w:p>
      <w:pPr>
        <w:pStyle w:val="N1"/>
      </w:pPr>
      <w:r>
        <w:t>2021年03月14日，起草一周报告。</w:t>
      </w:r>
    </w:p>
    <w:p>
      <w:pPr>
        <w:pStyle w:val="N1"/>
      </w:pPr>
      <w:r>
        <w:t>2021年03月12日，起草出具精诚名医法律意见书。</w:t>
      </w:r>
    </w:p>
    <w:p>
      <w:pPr>
        <w:pStyle w:val="N1"/>
      </w:pPr>
      <w:r>
        <w:t>2021年03月31日，出具法律意见书。</w:t>
      </w:r>
    </w:p>
    <w:p>
      <w:pPr>
        <w:pStyle w:val="N1"/>
      </w:pPr>
      <w:r>
        <w:t>2021年04月07日，起草周报。</w:t>
      </w:r>
    </w:p>
    <w:p>
      <w:pPr>
        <w:pStyle w:val="N1"/>
      </w:pPr>
      <w:r>
        <w:t>2021年04月11日，起草周报。</w:t>
      </w:r>
    </w:p>
    <w:p>
      <w:pPr>
        <w:pStyle w:val="N1"/>
      </w:pPr>
      <w:r>
        <w:t>2021年04月12日，起草资产处置法律意见书。</w:t>
      </w:r>
    </w:p>
    <w:p>
      <w:pPr>
        <w:pStyle w:val="N1"/>
      </w:pPr>
      <w:r>
        <w:t>2021年05月17日，起草周报。</w:t>
      </w:r>
    </w:p>
    <w:p>
      <w:pPr>
        <w:pStyle w:val="N1"/>
      </w:pPr>
      <w:r>
        <w:t>2021年05月22日，起草周报。</w:t>
      </w:r>
    </w:p>
    <w:p>
      <w:pPr>
        <w:pStyle w:val="N1"/>
      </w:pPr>
      <w:r>
        <w:t>2021年05月20日，浏览一带一路协议，回复解约咨询。</w:t>
      </w:r>
    </w:p>
    <w:p>
      <w:pPr>
        <w:pStyle w:val="N1"/>
      </w:pPr>
      <w:r>
        <w:t>2021年05月22日，处理王金玉撤稿。</w:t>
      </w:r>
    </w:p>
    <w:p>
      <w:pPr>
        <w:pStyle w:val="N1"/>
      </w:pPr>
      <w:r>
        <w:t>2021年05月24日，继续处理王金玉撤稿。</w:t>
      </w:r>
    </w:p>
    <w:p>
      <w:pPr>
        <w:pStyle w:val="N1"/>
      </w:pPr>
      <w:r>
        <w:t>2021年05月25日，处理李佳琦撤稿。</w:t>
      </w:r>
    </w:p>
    <w:p>
      <w:pPr>
        <w:pStyle w:val="N1"/>
      </w:pPr>
      <w:r>
        <w:t>2021年05月27日，沟通处理撤稿。</w:t>
      </w:r>
    </w:p>
    <w:p>
      <w:pPr>
        <w:pStyle w:val="N1"/>
      </w:pPr>
      <w:r>
        <w:t>2021年05月30日，起草周报。</w:t>
      </w:r>
    </w:p>
    <w:p>
      <w:pPr>
        <w:pStyle w:val="N1"/>
      </w:pPr>
      <w:r>
        <w:t>2021年06月10日，出具法律意见书（天府影业）。</w:t>
      </w:r>
    </w:p>
    <w:p>
      <w:pPr>
        <w:pStyle w:val="N1"/>
      </w:pPr>
      <w:r>
        <w:t>2021年06月12日，起草周报。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受相关部门委托，完成成都公司、北京公司、上海分公司、上海经闻公司发律师函8次，合同审撰339份，咨询沟通45次，文件传递1次，文件审撰31份，文件整理1次，法律培训2次。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