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line="276" w:lineRule="auto"/>
      </w:pPr>
    </w:p>
    <w:p>
      <w:pPr>
        <w:tabs>
          <w:tab w:val="right" w:pos="9026"/>
        </w:tabs>
        <w:spacing w:before="0" w:after="0" w:line="276" w:lineRule="auto"/>
      </w:pPr>
      <w:r>
        <w:t xml:space="preserve">Ref.: JCPPL/EOI/AMNS-PDP/2026-27/01</w:t>
      </w:r>
      <w:r>
        <w:tab/>
      </w:r>
      <w:r>
        <w:t xml:space="preserve">Date: 17 September 2026</w:t>
      </w:r>
    </w:p>
    <w:p>
      <w:pPr>
        <w:spacing w:before="0" w:after="0" w:line="276" w:lineRule="auto"/>
      </w:pPr>
    </w:p>
    <w:p>
      <w:pPr>
        <w:spacing w:before="0" w:after="0" w:line="276" w:lineRule="auto"/>
      </w:pPr>
      <w:r>
        <w:t xml:space="preserve">To</w:t>
      </w:r>
    </w:p>
    <w:p>
      <w:pPr>
        <w:spacing w:before="0" w:after="0" w:line="276" w:lineRule="auto"/>
      </w:pPr>
      <w:r>
        <w:rPr>
          <w:b/>
          <w:bCs/>
        </w:rPr>
        <w:t xml:space="preserve">The Contracts &amp; Procurement Team</w:t>
      </w:r>
    </w:p>
    <w:p>
      <w:pPr>
        <w:spacing w:before="0" w:after="0" w:line="276" w:lineRule="auto"/>
      </w:pPr>
      <w:r>
        <w:t xml:space="preserve">AM/NS Port Paradeep</w:t>
      </w:r>
    </w:p>
    <w:p>
      <w:pPr>
        <w:spacing w:before="0" w:after="0" w:line="276" w:lineRule="auto"/>
      </w:pPr>
      <w:r>
        <w:t xml:space="preserve">ArcelorMittal Nippon Steel India Limited</w:t>
      </w:r>
    </w:p>
    <w:p>
      <w:pPr>
        <w:spacing w:before="0" w:after="0" w:line="276" w:lineRule="auto"/>
      </w:pPr>
      <w:r>
        <w:t xml:space="preserve">Paradeep, District Jagatsinghpur, Odisha</w:t>
      </w:r>
    </w:p>
    <w:p>
      <w:pPr>
        <w:spacing w:before="0" w:after="0" w:line="276" w:lineRule="auto"/>
      </w:pPr>
    </w:p>
    <w:p>
      <w:pPr>
        <w:spacing w:before="0" w:after="0" w:line="276" w:lineRule="auto"/>
      </w:pPr>
      <w:r>
        <w:rPr>
          <w:b/>
          <w:bCs/>
        </w:rPr>
        <w:t xml:space="preserve">Kind Attention:</w:t>
      </w:r>
      <w:r>
        <w:t xml:space="preserve"> Shri Krushna Barik  (Krushna.Barik@amns.in)</w:t>
      </w:r>
    </w:p>
    <w:p>
      <w:pPr>
        <w:spacing w:before="0" w:after="0" w:line="276" w:lineRule="auto"/>
      </w:pPr>
      <w:r>
        <w:rPr>
          <w:b/>
          <w:bCs/>
          <w:i/>
          <w:iCs/>
          <w:sz w:val="20"/>
          <w:szCs w:val="20"/>
        </w:rPr>
        <w:t xml:space="preserve">Submitted by e-mail and through the EOI portal (QR link).</w:t>
      </w:r>
    </w:p>
    <w:p>
      <w:pPr>
        <w:spacing w:before="0" w:after="0" w:line="276" w:lineRule="auto"/>
      </w:pPr>
    </w:p>
    <w:p>
      <w:pPr>
        <w:spacing w:before="0" w:after="120" w:line="276" w:lineRule="auto"/>
        <w:jc w:val="both"/>
      </w:pPr>
      <w:r>
        <w:rPr>
          <w:b/>
          <w:bCs/>
          <w:color w:val="1F3864"/>
        </w:rPr>
        <w:t xml:space="preserve">Subject: Expression of Interest for Operation &amp; Maintenance of the Mechanised Cargo Handling System at AM/NS Port Paradeep, Odisha</w:t>
      </w:r>
    </w:p>
    <w:p>
      <w:pPr>
        <w:spacing w:before="0" w:after="200" w:line="276" w:lineRule="auto"/>
        <w:jc w:val="both"/>
      </w:pPr>
      <w:r>
        <w:rPr>
          <w:i/>
          <w:iCs/>
          <w:sz w:val="20"/>
          <w:szCs w:val="20"/>
        </w:rPr>
        <w:t xml:space="preserve">Reference: Your public notice inviting Expressions of Interest (EOI) from experienced agencies, last date of submission 18 September 2026</w:t>
      </w:r>
    </w:p>
    <w:p>
      <w:pPr>
        <w:spacing w:before="0" w:after="120" w:line="276" w:lineRule="auto"/>
      </w:pPr>
      <w:r>
        <w:t xml:space="preserve">Dear Sir,</w:t>
      </w:r>
    </w:p>
    <w:p>
      <w:pPr>
        <w:spacing w:before="0" w:after="120" w:line="276" w:lineRule="auto"/>
        <w:jc w:val="both"/>
      </w:pPr>
      <w:r>
        <w:rPr>
          <w:b/>
          <w:bCs/>
        </w:rPr>
        <w:t xml:space="preserve">Jagannath Corporation Projects Pvt. Ltd. (JCPPL)</w:t>
      </w:r>
      <w:r>
        <w:t xml:space="preserve"> is pleased to submit this Expression of Interest for the Operation &amp; Maintenance (O&amp;M) of the Mechanised Cargo Handling System at AM/NS Port Paradeep, comprising the 9.2 km conveyor belt system, the Reclaimer and Ship Loader, and the associated maintenance, planning and spares functions described in your notice.</w:t>
      </w:r>
    </w:p>
    <w:p>
      <w:pPr>
        <w:spacing w:before="0" w:after="120" w:line="276" w:lineRule="auto"/>
        <w:jc w:val="both"/>
      </w:pPr>
      <w:r>
        <w:t xml:space="preserve">As an Odisha-incorporated engineering and projects company that has worked within the state's iron, steel and bulk-materials ecosystem since 2010, we see this engagement as a natural extension of our core capabilities. We set out below our understanding of the scope, our credentials, and why we believe JCPPL would be a dependable long-term O&amp;M partner for AM/NS Port Paradeep.</w:t>
      </w:r>
    </w:p>
    <w:p>
      <w:pPr>
        <w:pStyle w:val="Heading2"/>
        <w:keepNext/>
        <w:spacing w:before="240" w:after="100" w:line="276" w:lineRule="auto"/>
      </w:pPr>
      <w:r>
        <w:rPr>
          <w:b/>
          <w:bCs/>
          <w:color w:val="00B050"/>
          <w:sz w:val="24"/>
          <w:szCs w:val="24"/>
        </w:rPr>
        <w:t xml:space="preserve">1.  About JCPPL</w:t>
      </w:r>
    </w:p>
    <w:p>
      <w:pPr>
        <w:spacing w:before="0" w:after="120" w:line="276" w:lineRule="auto"/>
        <w:jc w:val="both"/>
      </w:pPr>
      <w:r>
        <w:t xml:space="preserve">Jagannath Corporation Projects Pvt. Ltd. is a private limited company incorporated in Odisha in 2010 (CIN U27100OR2010PTC011664) and headquartered at Bhubaneswar. The company operates in the iron &amp; steel and bulk-material handling value chain, providing engineering, project execution, operation &amp; maintenance and industrial manpower services to plants and material-handling facilities in Odisha and the eastern region.</w:t>
      </w:r>
    </w:p>
    <w:p>
      <w:pPr>
        <w:keepNext/>
        <w:spacing w:before="0" w:after="60" w:line="276" w:lineRule="auto"/>
      </w:pPr>
      <w:r>
        <w:t xml:space="preserve">Key facts at a glance: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0" w:lastColumn="0" w:noHBand="0" w:noVBand="1"/>
      </w:tblPr>
      <w:tblGrid>
        <w:gridCol w:w="3200"/>
        <w:gridCol w:w="5826"/>
      </w:tblGrid>
      <w:tr>
        <w:trPr>
          <w:tblHeader/>
          <w:cantSplit/>
        </w:trPr>
        <w:tc>
          <w:tcPr>
            <w:tcW w:w="3200" w:type="dxa"/>
            <w:shd w:val="clear" w:color="auto" w:fill="E2F0D9"/>
            <w:vAlign w:val="top"/>
          </w:tcPr>
          <w:p>
            <w:pPr>
              <w:spacing w:before="0" w:after="0" w:line="252" w:lineRule="auto"/>
              <w:jc w:val="left"/>
            </w:pPr>
            <w:r>
              <w:rPr>
                <w:b/>
                <w:bCs/>
                <w:sz w:val="20"/>
                <w:szCs w:val="20"/>
              </w:rPr>
              <w:t xml:space="preserve">Particulars</w:t>
            </w:r>
          </w:p>
        </w:tc>
        <w:tc>
          <w:tcPr>
            <w:tcW w:w="5826" w:type="dxa"/>
            <w:shd w:val="clear" w:color="auto" w:fill="E2F0D9"/>
            <w:vAlign w:val="top"/>
          </w:tcPr>
          <w:p>
            <w:pPr>
              <w:spacing w:before="0" w:after="0" w:line="252" w:lineRule="auto"/>
              <w:jc w:val="left"/>
            </w:pPr>
            <w:r>
              <w:rPr>
                <w:b/>
                <w:bCs/>
                <w:sz w:val="20"/>
                <w:szCs w:val="20"/>
              </w:rPr>
              <w:t xml:space="preserve">Details</w:t>
            </w:r>
          </w:p>
        </w:tc>
      </w:tr>
      <w:tr>
        <w:trPr>
          <w:cantSplit/>
        </w:trPr>
        <w:tc>
          <w:tcPr>
            <w:tcW w:w="3200" w:type="dxa"/>
            <w:vAlign w:val="top"/>
          </w:tcPr>
          <w:p>
            <w:pPr>
              <w:spacing w:before="0" w:after="0" w:line="252" w:lineRule="auto"/>
              <w:jc w:val="left"/>
            </w:pPr>
            <w:r>
              <w:rPr>
                <w:sz w:val="20"/>
                <w:szCs w:val="20"/>
              </w:rPr>
              <w:t xml:space="preserve">Legal name</w:t>
            </w:r>
          </w:p>
        </w:tc>
        <w:tc>
          <w:tcPr>
            <w:tcW w:w="5826" w:type="dxa"/>
            <w:vAlign w:val="top"/>
          </w:tcPr>
          <w:p>
            <w:pPr>
              <w:spacing w:before="0" w:after="0" w:line="252" w:lineRule="auto"/>
              <w:jc w:val="left"/>
            </w:pPr>
            <w:r>
              <w:rPr>
                <w:sz w:val="20"/>
                <w:szCs w:val="20"/>
              </w:rPr>
              <w:t xml:space="preserve">Jagannath Corporation Projects Pvt. Ltd. (JCPPL)</w:t>
            </w:r>
          </w:p>
        </w:tc>
      </w:tr>
      <w:tr>
        <w:trPr>
          <w:cantSplit/>
        </w:trPr>
        <w:tc>
          <w:tcPr>
            <w:tcW w:w="3200" w:type="dxa"/>
            <w:vAlign w:val="top"/>
          </w:tcPr>
          <w:p>
            <w:pPr>
              <w:spacing w:before="0" w:after="0" w:line="252" w:lineRule="auto"/>
              <w:jc w:val="left"/>
            </w:pPr>
            <w:r>
              <w:rPr>
                <w:sz w:val="20"/>
                <w:szCs w:val="20"/>
              </w:rPr>
              <w:t xml:space="preserve">Year of incorporation / CIN</w:t>
            </w:r>
          </w:p>
        </w:tc>
        <w:tc>
          <w:tcPr>
            <w:tcW w:w="5826" w:type="dxa"/>
            <w:vAlign w:val="top"/>
          </w:tcPr>
          <w:p>
            <w:pPr>
              <w:spacing w:before="0" w:after="0" w:line="252" w:lineRule="auto"/>
              <w:jc w:val="left"/>
            </w:pPr>
            <w:r>
              <w:rPr>
                <w:sz w:val="20"/>
                <w:szCs w:val="20"/>
              </w:rPr>
              <w:t xml:space="preserve">2010  /  U27100OR2010PTC011664</w:t>
            </w:r>
          </w:p>
        </w:tc>
      </w:tr>
      <w:tr>
        <w:trPr>
          <w:cantSplit/>
        </w:trPr>
        <w:tc>
          <w:tcPr>
            <w:tcW w:w="3200" w:type="dxa"/>
            <w:vAlign w:val="top"/>
          </w:tcPr>
          <w:p>
            <w:pPr>
              <w:spacing w:before="0" w:after="0" w:line="252" w:lineRule="auto"/>
              <w:jc w:val="left"/>
            </w:pPr>
            <w:r>
              <w:rPr>
                <w:sz w:val="20"/>
                <w:szCs w:val="20"/>
              </w:rPr>
              <w:t xml:space="preserve">Registered office</w:t>
            </w:r>
          </w:p>
        </w:tc>
        <w:tc>
          <w:tcPr>
            <w:tcW w:w="5826" w:type="dxa"/>
            <w:vAlign w:val="top"/>
          </w:tcPr>
          <w:p>
            <w:pPr>
              <w:spacing w:before="0" w:after="0" w:line="252" w:lineRule="auto"/>
              <w:jc w:val="left"/>
            </w:pPr>
            <w:r>
              <w:rPr>
                <w:sz w:val="20"/>
                <w:szCs w:val="20"/>
              </w:rPr>
              <w:t xml:space="preserve">Plot 397, Lewis Road, Sarangi Bhawan (Ground Floor), Old Town, Bhubaneswar-751002, Odisha</w:t>
            </w:r>
          </w:p>
        </w:tc>
      </w:tr>
      <w:tr>
        <w:trPr>
          <w:cantSplit/>
        </w:trPr>
        <w:tc>
          <w:tcPr>
            <w:tcW w:w="3200" w:type="dxa"/>
            <w:vAlign w:val="top"/>
          </w:tcPr>
          <w:p>
            <w:pPr>
              <w:spacing w:before="0" w:after="0" w:line="252" w:lineRule="auto"/>
              <w:jc w:val="left"/>
            </w:pPr>
            <w:r>
              <w:rPr>
                <w:sz w:val="20"/>
                <w:szCs w:val="20"/>
              </w:rPr>
              <w:t xml:space="preserve">Core business</w:t>
            </w:r>
          </w:p>
        </w:tc>
        <w:tc>
          <w:tcPr>
            <w:tcW w:w="5826" w:type="dxa"/>
            <w:vAlign w:val="top"/>
          </w:tcPr>
          <w:p>
            <w:pPr>
              <w:spacing w:before="0" w:after="0" w:line="252" w:lineRule="auto"/>
              <w:jc w:val="left"/>
            </w:pPr>
            <w:r>
              <w:rPr>
                <w:sz w:val="20"/>
                <w:szCs w:val="20"/>
              </w:rPr>
              <w:t xml:space="preserve">Engineering, O&amp;M and project services for iron &amp; steel plants and bulk-material handling facilities</w:t>
            </w:r>
          </w:p>
        </w:tc>
      </w:tr>
      <w:tr>
        <w:trPr>
          <w:cantSplit/>
        </w:trPr>
        <w:tc>
          <w:tcPr>
            <w:tcW w:w="3200" w:type="dxa"/>
            <w:vAlign w:val="top"/>
          </w:tcPr>
          <w:p>
            <w:pPr>
              <w:spacing w:before="0" w:after="0" w:line="252" w:lineRule="auto"/>
              <w:jc w:val="left"/>
            </w:pPr>
            <w:r>
              <w:rPr>
                <w:sz w:val="20"/>
                <w:szCs w:val="20"/>
              </w:rPr>
              <w:t xml:space="preserve">Years of O&amp;M experience in bulk material / cargo handling</w:t>
            </w:r>
          </w:p>
        </w:tc>
        <w:tc>
          <w:tcPr>
            <w:tcW w:w="5826" w:type="dxa"/>
            <w:vAlign w:val="top"/>
          </w:tcPr>
          <w:p>
            <w:pPr>
              <w:spacing w:before="0" w:after="0" w:line="252" w:lineRule="auto"/>
              <w:jc w:val="left"/>
            </w:pPr>
            <w:r>
              <w:rPr>
                <w:b/>
                <w:bCs/>
                <w:sz w:val="20"/>
                <w:szCs w:val="20"/>
                <w:highlight w:val="yellow"/>
              </w:rPr>
              <w:t xml:space="preserve">[__]</w:t>
            </w:r>
            <w:r>
              <w:rPr>
                <w:sz w:val="20"/>
                <w:szCs w:val="20"/>
              </w:rPr>
              <w:t xml:space="preserve"> years (details of assignments in Annexure-A)</w:t>
            </w:r>
          </w:p>
        </w:tc>
      </w:tr>
      <w:tr>
        <w:trPr>
          <w:cantSplit/>
        </w:trPr>
        <w:tc>
          <w:tcPr>
            <w:tcW w:w="3200" w:type="dxa"/>
            <w:vAlign w:val="top"/>
          </w:tcPr>
          <w:p>
            <w:pPr>
              <w:spacing w:before="0" w:after="0" w:line="252" w:lineRule="auto"/>
              <w:jc w:val="left"/>
            </w:pPr>
            <w:r>
              <w:rPr>
                <w:sz w:val="20"/>
                <w:szCs w:val="20"/>
              </w:rPr>
              <w:t xml:space="preserve">Average annual turnover (FY 2023-24 to FY 2025-26)</w:t>
            </w:r>
          </w:p>
        </w:tc>
        <w:tc>
          <w:tcPr>
            <w:tcW w:w="5826" w:type="dxa"/>
            <w:vAlign w:val="top"/>
          </w:tcPr>
          <w:p>
            <w:pPr>
              <w:spacing w:before="0" w:after="0" w:line="252" w:lineRule="auto"/>
              <w:jc w:val="left"/>
            </w:pPr>
            <w:r>
              <w:rPr>
                <w:sz w:val="20"/>
                <w:szCs w:val="20"/>
              </w:rPr>
              <w:t xml:space="preserve">₹ </w:t>
            </w:r>
            <w:r>
              <w:rPr>
                <w:b/>
                <w:bCs/>
                <w:sz w:val="20"/>
                <w:szCs w:val="20"/>
                <w:highlight w:val="yellow"/>
              </w:rPr>
              <w:t xml:space="preserve">[___]</w:t>
            </w:r>
            <w:r>
              <w:rPr>
                <w:sz w:val="20"/>
                <w:szCs w:val="20"/>
              </w:rPr>
              <w:t xml:space="preserve"> crore (audited financials enclosed as Annexure-C)</w:t>
            </w:r>
          </w:p>
        </w:tc>
      </w:tr>
      <w:tr>
        <w:trPr>
          <w:cantSplit/>
        </w:trPr>
        <w:tc>
          <w:tcPr>
            <w:tcW w:w="3200" w:type="dxa"/>
            <w:vAlign w:val="top"/>
          </w:tcPr>
          <w:p>
            <w:pPr>
              <w:spacing w:before="0" w:after="0" w:line="252" w:lineRule="auto"/>
              <w:jc w:val="left"/>
            </w:pPr>
            <w:r>
              <w:rPr>
                <w:sz w:val="20"/>
                <w:szCs w:val="20"/>
              </w:rPr>
              <w:t xml:space="preserve">Key registrations</w:t>
            </w:r>
          </w:p>
        </w:tc>
        <w:tc>
          <w:tcPr>
            <w:tcW w:w="5826" w:type="dxa"/>
            <w:vAlign w:val="top"/>
          </w:tcPr>
          <w:p>
            <w:pPr>
              <w:spacing w:before="0" w:after="0" w:line="252" w:lineRule="auto"/>
              <w:jc w:val="left"/>
            </w:pPr>
            <w:r>
              <w:rPr>
                <w:sz w:val="20"/>
                <w:szCs w:val="20"/>
              </w:rPr>
              <w:t xml:space="preserve">GSTIN </w:t>
            </w:r>
            <w:r>
              <w:rPr>
                <w:b/>
                <w:bCs/>
                <w:sz w:val="20"/>
                <w:szCs w:val="20"/>
                <w:highlight w:val="yellow"/>
              </w:rPr>
              <w:t xml:space="preserve">[__________]</w:t>
            </w:r>
            <w:r>
              <w:rPr>
                <w:sz w:val="20"/>
                <w:szCs w:val="20"/>
              </w:rPr>
              <w:t xml:space="preserve"> · PAN </w:t>
            </w:r>
            <w:r>
              <w:rPr>
                <w:b/>
                <w:bCs/>
                <w:sz w:val="20"/>
                <w:szCs w:val="20"/>
                <w:highlight w:val="yellow"/>
              </w:rPr>
              <w:t xml:space="preserve">[__________]</w:t>
            </w:r>
            <w:r>
              <w:rPr>
                <w:sz w:val="20"/>
                <w:szCs w:val="20"/>
              </w:rPr>
              <w:t xml:space="preserve"> · EPF &amp; ESIC registered · Labour licence (Odisha)</w:t>
            </w:r>
          </w:p>
        </w:tc>
      </w:tr>
      <w:tr>
        <w:trPr>
          <w:cantSplit/>
        </w:trPr>
        <w:tc>
          <w:tcPr>
            <w:tcW w:w="3200" w:type="dxa"/>
            <w:vAlign w:val="top"/>
          </w:tcPr>
          <w:p>
            <w:pPr>
              <w:spacing w:before="0" w:after="0" w:line="252" w:lineRule="auto"/>
              <w:jc w:val="left"/>
            </w:pPr>
            <w:r>
              <w:rPr>
                <w:sz w:val="20"/>
                <w:szCs w:val="20"/>
              </w:rPr>
              <w:t xml:space="preserve">Quality / safety systems</w:t>
            </w:r>
          </w:p>
        </w:tc>
        <w:tc>
          <w:tcPr>
            <w:tcW w:w="5826" w:type="dxa"/>
            <w:vAlign w:val="top"/>
          </w:tcPr>
          <w:p>
            <w:pPr>
              <w:spacing w:before="0" w:after="0" w:line="252" w:lineRule="auto"/>
              <w:jc w:val="left"/>
            </w:pPr>
            <w:r>
              <w:rPr>
                <w:b/>
                <w:bCs/>
                <w:sz w:val="20"/>
                <w:szCs w:val="20"/>
                <w:highlight w:val="yellow"/>
              </w:rPr>
              <w:t xml:space="preserve">[ISO 9001:2015, ISO 45001:2018]</w:t>
            </w:r>
            <w:r>
              <w:rPr>
                <w:sz w:val="20"/>
                <w:szCs w:val="20"/>
              </w:rPr>
              <w:t xml:space="preserve"> (certificates enclosed as Annexure-D)</w:t>
            </w:r>
          </w:p>
        </w:tc>
      </w:tr>
    </w:tbl>
    <w:p>
      <w:pPr>
        <w:spacing w:before="0" w:after="0" w:line="276" w:lineRule="auto"/>
      </w:pPr>
    </w:p>
    <w:p>
      <w:pPr>
        <w:pStyle w:val="Heading2"/>
        <w:keepNext/>
        <w:spacing w:before="240" w:after="100" w:line="276" w:lineRule="auto"/>
      </w:pPr>
      <w:r>
        <w:rPr>
          <w:b/>
          <w:bCs/>
          <w:color w:val="00B050"/>
          <w:sz w:val="24"/>
          <w:szCs w:val="24"/>
        </w:rPr>
        <w:t xml:space="preserve">2.  Our Understanding of the Scope and Proposed Approach</w:t>
      </w:r>
    </w:p>
    <w:p>
      <w:pPr>
        <w:spacing w:before="0" w:after="120" w:line="276" w:lineRule="auto"/>
        <w:jc w:val="both"/>
      </w:pPr>
      <w:r>
        <w:t xml:space="preserve">We understand that AM/NS Port Paradeep requires a single accountable agency to run the mechanised cargo-handling chain from stockyard to vessel, with availability, throughput and safety as the governing outcomes. Our approach against each scope element is summarised below.</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0" w:lastColumn="0" w:noHBand="0" w:noVBand="1"/>
      </w:tblPr>
      <w:tblGrid>
        <w:gridCol w:w="3000"/>
        <w:gridCol w:w="6026"/>
      </w:tblGrid>
      <w:tr>
        <w:trPr>
          <w:tblHeader/>
          <w:cantSplit/>
        </w:trPr>
        <w:tc>
          <w:tcPr>
            <w:tcW w:w="3000" w:type="dxa"/>
            <w:shd w:val="clear" w:color="auto" w:fill="E2F0D9"/>
            <w:vAlign w:val="top"/>
          </w:tcPr>
          <w:p>
            <w:pPr>
              <w:spacing w:before="0" w:after="0" w:line="252" w:lineRule="auto"/>
              <w:jc w:val="left"/>
            </w:pPr>
            <w:r>
              <w:rPr>
                <w:b/>
                <w:bCs/>
                <w:sz w:val="20"/>
                <w:szCs w:val="20"/>
              </w:rPr>
              <w:t xml:space="preserve">Scope element (per EOI notice)</w:t>
            </w:r>
          </w:p>
        </w:tc>
        <w:tc>
          <w:tcPr>
            <w:tcW w:w="6026" w:type="dxa"/>
            <w:shd w:val="clear" w:color="auto" w:fill="E2F0D9"/>
            <w:vAlign w:val="top"/>
          </w:tcPr>
          <w:p>
            <w:pPr>
              <w:spacing w:before="0" w:after="0" w:line="252" w:lineRule="auto"/>
              <w:jc w:val="left"/>
            </w:pPr>
            <w:r>
              <w:rPr>
                <w:b/>
                <w:bCs/>
                <w:sz w:val="20"/>
                <w:szCs w:val="20"/>
              </w:rPr>
              <w:t xml:space="preserve">JCPPL approach</w:t>
            </w:r>
          </w:p>
        </w:tc>
      </w:tr>
      <w:tr>
        <w:trPr>
          <w:cantSplit/>
        </w:trPr>
        <w:tc>
          <w:tcPr>
            <w:tcW w:w="3000" w:type="dxa"/>
            <w:vAlign w:val="top"/>
          </w:tcPr>
          <w:p>
            <w:pPr>
              <w:spacing w:before="0" w:after="0" w:line="252" w:lineRule="auto"/>
              <w:jc w:val="left"/>
            </w:pPr>
            <w:r>
              <w:rPr>
                <w:sz w:val="20"/>
                <w:szCs w:val="20"/>
              </w:rPr>
              <w:t xml:space="preserve">Operation &amp; Maintenance of the 9.2 km conveyor belt system</w:t>
            </w:r>
          </w:p>
        </w:tc>
        <w:tc>
          <w:tcPr>
            <w:tcW w:w="6026" w:type="dxa"/>
            <w:vAlign w:val="top"/>
          </w:tcPr>
          <w:p>
            <w:pPr>
              <w:spacing w:before="0" w:after="0" w:line="252" w:lineRule="auto"/>
              <w:jc w:val="left"/>
            </w:pPr>
            <w:r>
              <w:rPr>
                <w:sz w:val="20"/>
                <w:szCs w:val="20"/>
              </w:rPr>
              <w:t xml:space="preserve">Round-the-clock shift operation with dedicated belt-patrol crews; zone-wise ownership of idlers, pulleys, drives, take-ups, scrapers and transfer chutes; belt-condition monitoring, splice management and planned belt replacement; housekeeping and spillage control along the full route.</w:t>
            </w:r>
          </w:p>
        </w:tc>
      </w:tr>
      <w:tr>
        <w:trPr>
          <w:cantSplit/>
        </w:trPr>
        <w:tc>
          <w:tcPr>
            <w:tcW w:w="3000" w:type="dxa"/>
            <w:vAlign w:val="top"/>
          </w:tcPr>
          <w:p>
            <w:pPr>
              <w:spacing w:before="0" w:after="0" w:line="252" w:lineRule="auto"/>
              <w:jc w:val="left"/>
            </w:pPr>
            <w:r>
              <w:rPr>
                <w:sz w:val="20"/>
                <w:szCs w:val="20"/>
              </w:rPr>
              <w:t xml:space="preserve">Reclaimer &amp; Ship Loader operations</w:t>
            </w:r>
          </w:p>
        </w:tc>
        <w:tc>
          <w:tcPr>
            <w:tcW w:w="6026" w:type="dxa"/>
            <w:vAlign w:val="top"/>
          </w:tcPr>
          <w:p>
            <w:pPr>
              <w:spacing w:before="0" w:after="0" w:line="252" w:lineRule="auto"/>
              <w:jc w:val="left"/>
            </w:pPr>
            <w:r>
              <w:rPr>
                <w:sz w:val="20"/>
                <w:szCs w:val="20"/>
              </w:rPr>
              <w:t xml:space="preserve">Certified operators on rotation for the Reclaimer and Ship Loader; documented pre-shift checks, loading-plan coordination with vessel agents and port control, draught-survey support, and structured hand-over between shifts to protect vessel turnaround time.</w:t>
            </w:r>
          </w:p>
        </w:tc>
      </w:tr>
      <w:tr>
        <w:trPr>
          <w:cantSplit/>
        </w:trPr>
        <w:tc>
          <w:tcPr>
            <w:tcW w:w="3000" w:type="dxa"/>
            <w:vAlign w:val="top"/>
          </w:tcPr>
          <w:p>
            <w:pPr>
              <w:spacing w:before="0" w:after="0" w:line="252" w:lineRule="auto"/>
              <w:jc w:val="left"/>
            </w:pPr>
            <w:r>
              <w:rPr>
                <w:sz w:val="20"/>
                <w:szCs w:val="20"/>
              </w:rPr>
              <w:t xml:space="preserve">Preventive, predictive &amp; breakdown maintenance</w:t>
            </w:r>
          </w:p>
        </w:tc>
        <w:tc>
          <w:tcPr>
            <w:tcW w:w="6026" w:type="dxa"/>
            <w:vAlign w:val="top"/>
          </w:tcPr>
          <w:p>
            <w:pPr>
              <w:spacing w:before="0" w:after="0" w:line="252" w:lineRule="auto"/>
              <w:jc w:val="left"/>
            </w:pPr>
            <w:r>
              <w:rPr>
                <w:sz w:val="20"/>
                <w:szCs w:val="20"/>
              </w:rPr>
              <w:t xml:space="preserve">Time- and condition-based PM schedules for mechanical, electrical and instrumentation systems; vibration analysis, thermography and oil analysis for critical drives and gearboxes; rapid-response breakdown teams with defined MTTR targets and root-cause analysis on every major stoppage.</w:t>
            </w:r>
          </w:p>
        </w:tc>
      </w:tr>
      <w:tr>
        <w:trPr>
          <w:cantSplit/>
        </w:trPr>
        <w:tc>
          <w:tcPr>
            <w:tcW w:w="3000" w:type="dxa"/>
            <w:vAlign w:val="top"/>
          </w:tcPr>
          <w:p>
            <w:pPr>
              <w:spacing w:before="0" w:after="0" w:line="252" w:lineRule="auto"/>
              <w:jc w:val="left"/>
            </w:pPr>
            <w:r>
              <w:rPr>
                <w:sz w:val="20"/>
                <w:szCs w:val="20"/>
              </w:rPr>
              <w:t xml:space="preserve">Maintenance planning &amp; execution</w:t>
            </w:r>
          </w:p>
        </w:tc>
        <w:tc>
          <w:tcPr>
            <w:tcW w:w="6026" w:type="dxa"/>
            <w:vAlign w:val="top"/>
          </w:tcPr>
          <w:p>
            <w:pPr>
              <w:spacing w:before="0" w:after="0" w:line="252" w:lineRule="auto"/>
              <w:jc w:val="left"/>
            </w:pPr>
            <w:r>
              <w:rPr>
                <w:sz w:val="20"/>
                <w:szCs w:val="20"/>
              </w:rPr>
              <w:t xml:space="preserve">Central planning cell running a CMMS-based work-order system; weekly and monthly maintenance calendars aligned to vessel line-up; shutdown planning for major overhauls; KPI dashboards for availability, reliability, MTBF/MTTR and PM compliance shared with AM/NS.</w:t>
            </w:r>
          </w:p>
        </w:tc>
      </w:tr>
      <w:tr>
        <w:trPr>
          <w:cantSplit/>
        </w:trPr>
        <w:tc>
          <w:tcPr>
            <w:tcW w:w="3000" w:type="dxa"/>
            <w:vAlign w:val="top"/>
          </w:tcPr>
          <w:p>
            <w:pPr>
              <w:spacing w:before="0" w:after="0" w:line="252" w:lineRule="auto"/>
              <w:jc w:val="left"/>
            </w:pPr>
            <w:r>
              <w:rPr>
                <w:sz w:val="20"/>
                <w:szCs w:val="20"/>
              </w:rPr>
              <w:t xml:space="preserve">Inventory and spare-parts management</w:t>
            </w:r>
          </w:p>
        </w:tc>
        <w:tc>
          <w:tcPr>
            <w:tcW w:w="6026" w:type="dxa"/>
            <w:vAlign w:val="top"/>
          </w:tcPr>
          <w:p>
            <w:pPr>
              <w:spacing w:before="0" w:after="0" w:line="252" w:lineRule="auto"/>
              <w:jc w:val="left"/>
            </w:pPr>
            <w:r>
              <w:rPr>
                <w:sz w:val="20"/>
                <w:szCs w:val="20"/>
              </w:rPr>
              <w:t xml:space="preserve">Criticality-based (VED/ABC) spares classification; min-max stocking with OEM lead-time tracking; bonded store management, reconditioning of rotables and consumption analytics to lower inventory carrying cost while protecting availability.</w:t>
            </w:r>
          </w:p>
        </w:tc>
      </w:tr>
    </w:tbl>
    <w:p>
      <w:pPr>
        <w:spacing w:before="0" w:after="0" w:line="276" w:lineRule="auto"/>
      </w:pPr>
    </w:p>
    <w:p>
      <w:pPr>
        <w:pStyle w:val="Heading2"/>
        <w:keepNext/>
        <w:spacing w:before="240" w:after="100" w:line="276" w:lineRule="auto"/>
      </w:pPr>
      <w:r>
        <w:rPr>
          <w:b/>
          <w:bCs/>
          <w:color w:val="00B050"/>
          <w:sz w:val="24"/>
          <w:szCs w:val="24"/>
        </w:rPr>
        <w:t xml:space="preserve">3.  Why JCPPL</w:t>
      </w:r>
    </w:p>
    <w:p>
      <w:pPr>
        <w:pStyle w:val="ListParagraph"/>
        <w:numPr>
          <w:ilvl w:val="0"/>
          <w:numId w:val="1"/>
        </w:numPr>
        <w:spacing w:before="0" w:after="60" w:line="276" w:lineRule="auto"/>
        <w:ind w:left="720" w:hanging="360"/>
        <w:jc w:val="both"/>
      </w:pPr>
      <w:r>
        <w:rPr>
          <w:b/>
          <w:bCs/>
        </w:rPr>
        <w:t xml:space="preserve">Odisha-rooted, Paradeep-ready.</w:t>
      </w:r>
      <w:r>
        <w:t xml:space="preserve"> We are headquartered in Bhubaneswar, about 100 km from Paradeep. Our management is locally resident, our workforce is drawn from Odisha, and we are fully conversant with the state's labour, environmental and port regulatory environment. This allows rapid mobilisation, quick management response and low attrition.</w:t>
      </w:r>
    </w:p>
    <w:p>
      <w:pPr>
        <w:pStyle w:val="ListParagraph"/>
        <w:numPr>
          <w:ilvl w:val="0"/>
          <w:numId w:val="1"/>
        </w:numPr>
        <w:spacing w:before="0" w:after="60" w:line="276" w:lineRule="auto"/>
        <w:ind w:left="720" w:hanging="360"/>
        <w:jc w:val="both"/>
      </w:pPr>
      <w:r>
        <w:rPr>
          <w:b/>
          <w:bCs/>
        </w:rPr>
        <w:t xml:space="preserve">Iron &amp; steel and bulk-materials domain.</w:t>
      </w:r>
      <w:r>
        <w:t xml:space="preserve"> Since 2010 JCPPL has operated within the iron &amp; steel value chain, which is the very cargo mix handled at AM/NS Port Paradeep. Our teams understand iron ore, pellet, coal and coke behaviour on conveyors, stockyards and loaders, and the wear, dust and spillage challenges these materials create.</w:t>
      </w:r>
    </w:p>
    <w:p>
      <w:pPr>
        <w:pStyle w:val="ListParagraph"/>
        <w:numPr>
          <w:ilvl w:val="0"/>
          <w:numId w:val="1"/>
        </w:numPr>
        <w:spacing w:before="0" w:after="60" w:line="276" w:lineRule="auto"/>
        <w:ind w:left="720" w:hanging="360"/>
        <w:jc w:val="both"/>
      </w:pPr>
      <w:r>
        <w:rPr>
          <w:b/>
          <w:bCs/>
        </w:rPr>
        <w:t xml:space="preserve">Multi-discipline maintenance capability.</w:t>
      </w:r>
      <w:r>
        <w:t xml:space="preserve"> In-house mechanical, electrical and instrumentation engineers experienced in conveyor systems, heavy rotating equipment, hydraulics and PLC/SCADA-based control systems, supported by a network of OEM service partners for the Reclaimer, Ship Loader and drive systems.</w:t>
      </w:r>
    </w:p>
    <w:p>
      <w:pPr>
        <w:pStyle w:val="ListParagraph"/>
        <w:numPr>
          <w:ilvl w:val="0"/>
          <w:numId w:val="1"/>
        </w:numPr>
        <w:spacing w:before="0" w:after="60" w:line="276" w:lineRule="auto"/>
        <w:ind w:left="720" w:hanging="360"/>
        <w:jc w:val="both"/>
      </w:pPr>
      <w:r>
        <w:rPr>
          <w:b/>
          <w:bCs/>
        </w:rPr>
        <w:t xml:space="preserve">Trained, scalable manpower.</w:t>
      </w:r>
      <w:r>
        <w:t xml:space="preserve"> A ready pool of skilled operators, riggers, fitters, electricians and supervisors, deployed through a structured induction, skill-matrix and competency-certification programme. Manpower ramp-up for continuous three-shift port operations is a core strength.</w:t>
      </w:r>
    </w:p>
    <w:p>
      <w:pPr>
        <w:pStyle w:val="ListParagraph"/>
        <w:numPr>
          <w:ilvl w:val="0"/>
          <w:numId w:val="1"/>
        </w:numPr>
        <w:spacing w:before="0" w:after="60" w:line="276" w:lineRule="auto"/>
        <w:ind w:left="720" w:hanging="360"/>
        <w:jc w:val="both"/>
      </w:pPr>
      <w:r>
        <w:rPr>
          <w:b/>
          <w:bCs/>
        </w:rPr>
        <w:t xml:space="preserve">Safety-first operating culture.</w:t>
      </w:r>
      <w:r>
        <w:t xml:space="preserve"> Zero-harm philosophy backed by permit-to-work, LOTO, confined-space and working-at-height systems, daily tool-box talks, behaviour-based safety observations and monthly safety reviews, fully aligned to AM/NS HSE standards.</w:t>
      </w:r>
    </w:p>
    <w:p>
      <w:pPr>
        <w:pStyle w:val="ListParagraph"/>
        <w:numPr>
          <w:ilvl w:val="0"/>
          <w:numId w:val="1"/>
        </w:numPr>
        <w:spacing w:before="0" w:after="60" w:line="276" w:lineRule="auto"/>
        <w:ind w:left="720" w:hanging="360"/>
        <w:jc w:val="both"/>
      </w:pPr>
      <w:r>
        <w:rPr>
          <w:b/>
          <w:bCs/>
        </w:rPr>
        <w:t xml:space="preserve">Asset-light, best-in-class equipment deployment.</w:t>
      </w:r>
      <w:r>
        <w:t xml:space="preserve"> JCPPL follows a right-sized fleet strategy: all plant, machinery and specialised tools required for the contract are mobilised through long-term leases and OEM partnerships, sized precisely to the site's needs. AM/NS benefits from modern, well-maintained equipment with guaranteed uptime and replacement cover, without the age and downtime risk of a legacy fleet.</w:t>
      </w:r>
    </w:p>
    <w:p>
      <w:pPr>
        <w:pStyle w:val="ListParagraph"/>
        <w:numPr>
          <w:ilvl w:val="0"/>
          <w:numId w:val="1"/>
        </w:numPr>
        <w:spacing w:before="0" w:after="60" w:line="276" w:lineRule="auto"/>
        <w:ind w:left="720" w:hanging="360"/>
        <w:jc w:val="both"/>
      </w:pPr>
      <w:r>
        <w:rPr>
          <w:b/>
          <w:bCs/>
        </w:rPr>
        <w:t xml:space="preserve">Data-driven reliability.</w:t>
      </w:r>
      <w:r>
        <w:t xml:space="preserve"> CMMS-based work management, condition monitoring and transparent KPI reporting give AM/NS full visibility of asset health, PM compliance and spares consumption, and provide the basis for continuous improvement in availability and cost per tonne.</w:t>
      </w:r>
    </w:p>
    <w:p>
      <w:pPr>
        <w:pStyle w:val="ListParagraph"/>
        <w:numPr>
          <w:ilvl w:val="0"/>
          <w:numId w:val="1"/>
        </w:numPr>
        <w:spacing w:before="0" w:after="60" w:line="276" w:lineRule="auto"/>
        <w:ind w:left="720" w:hanging="360"/>
        <w:jc w:val="both"/>
      </w:pPr>
      <w:r>
        <w:rPr>
          <w:b/>
          <w:bCs/>
        </w:rPr>
        <w:t xml:space="preserve">Sound financial and compliance standing.</w:t>
      </w:r>
      <w:r>
        <w:t xml:space="preserve"> A consistent track record of statutory compliance (GST, EPF, ESIC, labour laws), banking support for performance guarantees and working capital, and the financial capacity to sustain a multi-year O&amp;M contract.</w:t>
      </w:r>
    </w:p>
    <w:p>
      <w:pPr>
        <w:pStyle w:val="Heading2"/>
        <w:keepNext/>
        <w:spacing w:before="240" w:after="100" w:line="276" w:lineRule="auto"/>
      </w:pPr>
      <w:r>
        <w:rPr>
          <w:b/>
          <w:bCs/>
          <w:color w:val="00B050"/>
          <w:sz w:val="24"/>
          <w:szCs w:val="24"/>
        </w:rPr>
        <w:t xml:space="preserve">4.  Response to Eligibility Criteria</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0" w:lastColumn="0" w:noHBand="0" w:noVBand="1"/>
      </w:tblPr>
      <w:tblGrid>
        <w:gridCol w:w="2900"/>
        <w:gridCol w:w="3726"/>
        <w:gridCol w:w="2400"/>
      </w:tblGrid>
      <w:tr>
        <w:trPr>
          <w:tblHeader/>
          <w:cantSplit/>
        </w:trPr>
        <w:tc>
          <w:tcPr>
            <w:tcW w:w="2900" w:type="dxa"/>
            <w:shd w:val="clear" w:color="auto" w:fill="E2F0D9"/>
            <w:vAlign w:val="top"/>
          </w:tcPr>
          <w:p>
            <w:pPr>
              <w:spacing w:before="0" w:after="0" w:line="252" w:lineRule="auto"/>
              <w:jc w:val="left"/>
            </w:pPr>
            <w:r>
              <w:rPr>
                <w:b/>
                <w:bCs/>
                <w:sz w:val="20"/>
                <w:szCs w:val="20"/>
              </w:rPr>
              <w:t xml:space="preserve">Eligibility criterion (per EOI notice)</w:t>
            </w:r>
          </w:p>
        </w:tc>
        <w:tc>
          <w:tcPr>
            <w:tcW w:w="3726" w:type="dxa"/>
            <w:shd w:val="clear" w:color="auto" w:fill="E2F0D9"/>
            <w:vAlign w:val="top"/>
          </w:tcPr>
          <w:p>
            <w:pPr>
              <w:spacing w:before="0" w:after="0" w:line="252" w:lineRule="auto"/>
              <w:jc w:val="left"/>
            </w:pPr>
            <w:r>
              <w:rPr>
                <w:b/>
                <w:bCs/>
                <w:sz w:val="20"/>
                <w:szCs w:val="20"/>
              </w:rPr>
              <w:t xml:space="preserve">JCPPL response</w:t>
            </w:r>
          </w:p>
        </w:tc>
        <w:tc>
          <w:tcPr>
            <w:tcW w:w="2400" w:type="dxa"/>
            <w:shd w:val="clear" w:color="auto" w:fill="E2F0D9"/>
            <w:vAlign w:val="top"/>
          </w:tcPr>
          <w:p>
            <w:pPr>
              <w:spacing w:before="0" w:after="0" w:line="252" w:lineRule="auto"/>
              <w:jc w:val="left"/>
            </w:pPr>
            <w:r>
              <w:rPr>
                <w:b/>
                <w:bCs/>
                <w:sz w:val="20"/>
                <w:szCs w:val="20"/>
              </w:rPr>
              <w:t xml:space="preserve">Supporting document</w:t>
            </w:r>
          </w:p>
        </w:tc>
      </w:tr>
      <w:tr>
        <w:trPr>
          <w:cantSplit/>
        </w:trPr>
        <w:tc>
          <w:tcPr>
            <w:tcW w:w="2900" w:type="dxa"/>
            <w:vAlign w:val="top"/>
          </w:tcPr>
          <w:p>
            <w:pPr>
              <w:spacing w:before="0" w:after="0" w:line="252" w:lineRule="auto"/>
              <w:jc w:val="left"/>
            </w:pPr>
            <w:r>
              <w:rPr>
                <w:sz w:val="20"/>
                <w:szCs w:val="20"/>
              </w:rPr>
              <w:t xml:space="preserve">Minimum 5 years of O&amp;M experience in bulk material / cargo handling plants</w:t>
            </w:r>
          </w:p>
        </w:tc>
        <w:tc>
          <w:tcPr>
            <w:tcW w:w="3726" w:type="dxa"/>
            <w:vAlign w:val="top"/>
          </w:tcPr>
          <w:p>
            <w:pPr>
              <w:spacing w:before="0" w:after="0" w:line="252" w:lineRule="auto"/>
              <w:jc w:val="left"/>
            </w:pPr>
            <w:r>
              <w:rPr>
                <w:sz w:val="20"/>
                <w:szCs w:val="20"/>
              </w:rPr>
              <w:t xml:space="preserve">Complies. JCPPL has been engaged in O&amp;M and project services for bulk-material handling systems in iron &amp; steel facilities since </w:t>
            </w:r>
            <w:r>
              <w:rPr>
                <w:b/>
                <w:bCs/>
                <w:sz w:val="20"/>
                <w:szCs w:val="20"/>
                <w:highlight w:val="yellow"/>
              </w:rPr>
              <w:t xml:space="preserve">[year]</w:t>
            </w:r>
            <w:r>
              <w:rPr>
                <w:sz w:val="20"/>
                <w:szCs w:val="20"/>
              </w:rPr>
              <w:t xml:space="preserve">; assignment-wise details in Annexure-A.</w:t>
            </w:r>
          </w:p>
        </w:tc>
        <w:tc>
          <w:tcPr>
            <w:tcW w:w="2400" w:type="dxa"/>
            <w:vAlign w:val="top"/>
          </w:tcPr>
          <w:p>
            <w:pPr>
              <w:spacing w:before="0" w:after="0" w:line="252" w:lineRule="auto"/>
              <w:jc w:val="left"/>
            </w:pPr>
            <w:r>
              <w:rPr>
                <w:sz w:val="20"/>
                <w:szCs w:val="20"/>
              </w:rPr>
              <w:t xml:space="preserve">Work orders / completion certificates (Annexure-A)</w:t>
            </w:r>
          </w:p>
        </w:tc>
      </w:tr>
      <w:tr>
        <w:trPr>
          <w:cantSplit/>
        </w:trPr>
        <w:tc>
          <w:tcPr>
            <w:tcW w:w="2900" w:type="dxa"/>
            <w:vAlign w:val="top"/>
          </w:tcPr>
          <w:p>
            <w:pPr>
              <w:spacing w:before="0" w:after="0" w:line="252" w:lineRule="auto"/>
              <w:jc w:val="left"/>
            </w:pPr>
            <w:r>
              <w:rPr>
                <w:sz w:val="20"/>
                <w:szCs w:val="20"/>
              </w:rPr>
              <w:t xml:space="preserve">Experience with facilities handling 2,500 TPH or higher</w:t>
            </w:r>
          </w:p>
        </w:tc>
        <w:tc>
          <w:tcPr>
            <w:tcW w:w="3726" w:type="dxa"/>
            <w:vAlign w:val="top"/>
          </w:tcPr>
          <w:p>
            <w:pPr>
              <w:spacing w:before="0" w:after="0" w:line="252" w:lineRule="auto"/>
              <w:jc w:val="left"/>
            </w:pPr>
            <w:r>
              <w:rPr>
                <w:sz w:val="20"/>
                <w:szCs w:val="20"/>
              </w:rPr>
              <w:t xml:space="preserve">Complies. Facilities served include </w:t>
            </w:r>
            <w:r>
              <w:rPr>
                <w:b/>
                <w:bCs/>
                <w:sz w:val="20"/>
                <w:szCs w:val="20"/>
                <w:highlight w:val="yellow"/>
              </w:rPr>
              <w:t xml:space="preserve">[name / location]</w:t>
            </w:r>
            <w:r>
              <w:rPr>
                <w:sz w:val="20"/>
                <w:szCs w:val="20"/>
              </w:rPr>
              <w:t xml:space="preserve"> with rated capacity of </w:t>
            </w:r>
            <w:r>
              <w:rPr>
                <w:b/>
                <w:bCs/>
                <w:sz w:val="20"/>
                <w:szCs w:val="20"/>
                <w:highlight w:val="yellow"/>
              </w:rPr>
              <w:t xml:space="preserve">[____]</w:t>
            </w:r>
            <w:r>
              <w:rPr>
                <w:sz w:val="20"/>
                <w:szCs w:val="20"/>
              </w:rPr>
              <w:t xml:space="preserve"> TPH.</w:t>
            </w:r>
          </w:p>
        </w:tc>
        <w:tc>
          <w:tcPr>
            <w:tcW w:w="2400" w:type="dxa"/>
            <w:vAlign w:val="top"/>
          </w:tcPr>
          <w:p>
            <w:pPr>
              <w:spacing w:before="0" w:after="0" w:line="252" w:lineRule="auto"/>
              <w:jc w:val="left"/>
            </w:pPr>
            <w:r>
              <w:rPr>
                <w:sz w:val="20"/>
                <w:szCs w:val="20"/>
              </w:rPr>
              <w:t xml:space="preserve">Client certificates (Annexure-A)</w:t>
            </w:r>
          </w:p>
        </w:tc>
      </w:tr>
      <w:tr>
        <w:trPr>
          <w:cantSplit/>
        </w:trPr>
        <w:tc>
          <w:tcPr>
            <w:tcW w:w="2900" w:type="dxa"/>
            <w:vAlign w:val="top"/>
          </w:tcPr>
          <w:p>
            <w:pPr>
              <w:spacing w:before="0" w:after="0" w:line="252" w:lineRule="auto"/>
              <w:jc w:val="left"/>
            </w:pPr>
            <w:r>
              <w:rPr>
                <w:sz w:val="20"/>
                <w:szCs w:val="20"/>
              </w:rPr>
              <w:t xml:space="preserve">Experience with Reclaimer, Ship Loader &amp; PLC-based control systems</w:t>
            </w:r>
          </w:p>
        </w:tc>
        <w:tc>
          <w:tcPr>
            <w:tcW w:w="3726" w:type="dxa"/>
            <w:vAlign w:val="top"/>
          </w:tcPr>
          <w:p>
            <w:pPr>
              <w:spacing w:before="0" w:after="0" w:line="252" w:lineRule="auto"/>
              <w:jc w:val="left"/>
            </w:pPr>
            <w:r>
              <w:rPr>
                <w:sz w:val="20"/>
                <w:szCs w:val="20"/>
              </w:rPr>
              <w:t xml:space="preserve">Complies. Operations and maintenance exposure to stacker-reclaimers, loaders and PLC/SCADA-controlled conveyor systems; key personnel CVs in Annexure-B.</w:t>
            </w:r>
          </w:p>
        </w:tc>
        <w:tc>
          <w:tcPr>
            <w:tcW w:w="2400" w:type="dxa"/>
            <w:vAlign w:val="top"/>
          </w:tcPr>
          <w:p>
            <w:pPr>
              <w:spacing w:before="0" w:after="0" w:line="252" w:lineRule="auto"/>
              <w:jc w:val="left"/>
            </w:pPr>
            <w:r>
              <w:rPr>
                <w:sz w:val="20"/>
                <w:szCs w:val="20"/>
              </w:rPr>
              <w:t xml:space="preserve">Experience certificates &amp; key personnel CVs (Annexure-B)</w:t>
            </w:r>
          </w:p>
        </w:tc>
      </w:tr>
      <w:tr>
        <w:trPr>
          <w:cantSplit/>
        </w:trPr>
        <w:tc>
          <w:tcPr>
            <w:tcW w:w="2900" w:type="dxa"/>
            <w:vAlign w:val="top"/>
          </w:tcPr>
          <w:p>
            <w:pPr>
              <w:spacing w:before="0" w:after="0" w:line="252" w:lineRule="auto"/>
              <w:jc w:val="left"/>
            </w:pPr>
            <w:r>
              <w:rPr>
                <w:sz w:val="20"/>
                <w:szCs w:val="20"/>
              </w:rPr>
              <w:t xml:space="preserve">Average annual turnover of ₹100 crore or above</w:t>
            </w:r>
          </w:p>
        </w:tc>
        <w:tc>
          <w:tcPr>
            <w:tcW w:w="3726" w:type="dxa"/>
            <w:vAlign w:val="top"/>
          </w:tcPr>
          <w:p>
            <w:pPr>
              <w:spacing w:before="0" w:after="0" w:line="252" w:lineRule="auto"/>
              <w:jc w:val="left"/>
            </w:pPr>
            <w:r>
              <w:rPr>
                <w:sz w:val="20"/>
                <w:szCs w:val="20"/>
              </w:rPr>
              <w:t xml:space="preserve">Average annual turnover for the last three financial years: ₹ </w:t>
            </w:r>
            <w:r>
              <w:rPr>
                <w:b/>
                <w:bCs/>
                <w:sz w:val="20"/>
                <w:szCs w:val="20"/>
                <w:highlight w:val="yellow"/>
              </w:rPr>
              <w:t xml:space="preserve">[____]</w:t>
            </w:r>
            <w:r>
              <w:rPr>
                <w:sz w:val="20"/>
                <w:szCs w:val="20"/>
              </w:rPr>
              <w:t xml:space="preserve"> crore.</w:t>
            </w:r>
          </w:p>
        </w:tc>
        <w:tc>
          <w:tcPr>
            <w:tcW w:w="2400" w:type="dxa"/>
            <w:vAlign w:val="top"/>
          </w:tcPr>
          <w:p>
            <w:pPr>
              <w:spacing w:before="0" w:after="0" w:line="252" w:lineRule="auto"/>
              <w:jc w:val="left"/>
            </w:pPr>
            <w:r>
              <w:rPr>
                <w:sz w:val="20"/>
                <w:szCs w:val="20"/>
              </w:rPr>
              <w:t xml:space="preserve">Audited financial statements &amp; CA certificate (Annexure-C)</w:t>
            </w:r>
          </w:p>
        </w:tc>
      </w:tr>
    </w:tbl>
    <w:p>
      <w:pPr>
        <w:spacing w:before="0" w:after="0" w:line="276" w:lineRule="auto"/>
      </w:pPr>
    </w:p>
    <w:p>
      <w:pPr>
        <w:pStyle w:val="Heading2"/>
        <w:keepNext/>
        <w:spacing w:before="240" w:after="100" w:line="276" w:lineRule="auto"/>
      </w:pPr>
      <w:r>
        <w:rPr>
          <w:b/>
          <w:bCs/>
          <w:color w:val="00B050"/>
          <w:sz w:val="24"/>
          <w:szCs w:val="24"/>
        </w:rPr>
        <w:t xml:space="preserve">5.  Mobilisation and Resource Plan</w:t>
      </w:r>
    </w:p>
    <w:p>
      <w:pPr>
        <w:spacing w:before="0" w:after="60" w:line="276" w:lineRule="auto"/>
        <w:jc w:val="both"/>
      </w:pPr>
      <w:r>
        <w:t xml:space="preserve">On award, JCPPL will mobilise in a phased manner so that operations transition without any disruption to vessel schedules:</w:t>
      </w:r>
    </w:p>
    <w:p>
      <w:pPr>
        <w:pStyle w:val="ListParagraph"/>
        <w:numPr>
          <w:ilvl w:val="0"/>
          <w:numId w:val="1"/>
        </w:numPr>
        <w:spacing w:before="0" w:after="60" w:line="276" w:lineRule="auto"/>
        <w:ind w:left="720" w:hanging="360"/>
        <w:jc w:val="both"/>
      </w:pPr>
      <w:r>
        <w:rPr>
          <w:b/>
          <w:bCs/>
        </w:rPr>
        <w:t xml:space="preserve">Weeks 1-2:</w:t>
      </w:r>
      <w:r>
        <w:t xml:space="preserve"> deployment of the site management team; joint condition audit of the conveyor route, Reclaimer and Ship Loader with AM/NS; freeze of the asset register, spares list and hand-over protocol.</w:t>
      </w:r>
    </w:p>
    <w:p>
      <w:pPr>
        <w:pStyle w:val="ListParagraph"/>
        <w:numPr>
          <w:ilvl w:val="0"/>
          <w:numId w:val="1"/>
        </w:numPr>
        <w:spacing w:before="0" w:after="60" w:line="276" w:lineRule="auto"/>
        <w:ind w:left="720" w:hanging="360"/>
        <w:jc w:val="both"/>
      </w:pPr>
      <w:r>
        <w:rPr>
          <w:b/>
          <w:bCs/>
        </w:rPr>
        <w:t xml:space="preserve">Weeks 2-4:</w:t>
      </w:r>
      <w:r>
        <w:t xml:space="preserve"> induction and AM/NS safety certification of operating and maintenance crews; delivery of leased equipment, tools and tackles; commissioning of the CMMS and reporting formats.</w:t>
      </w:r>
    </w:p>
    <w:p>
      <w:pPr>
        <w:pStyle w:val="ListParagraph"/>
        <w:numPr>
          <w:ilvl w:val="0"/>
          <w:numId w:val="1"/>
        </w:numPr>
        <w:spacing w:before="0" w:after="60" w:line="276" w:lineRule="auto"/>
        <w:ind w:left="720" w:hanging="360"/>
        <w:jc w:val="both"/>
      </w:pPr>
      <w:r>
        <w:rPr>
          <w:b/>
          <w:bCs/>
        </w:rPr>
        <w:t xml:space="preserve">Weeks 4-6:</w:t>
      </w:r>
      <w:r>
        <w:t xml:space="preserve"> parallel running with the incumbent arrangement, followed by full take-over of operations and maintenance with agreed KPIs in force.</w:t>
      </w:r>
    </w:p>
    <w:p>
      <w:pPr>
        <w:spacing w:before="0" w:after="120" w:line="276" w:lineRule="auto"/>
        <w:jc w:val="both"/>
      </w:pPr>
      <w:r>
        <w:t xml:space="preserve">Equipment such as material-handling machines, mobile cranes, hydra, belt-vulcanising and splicing kits, condition-monitoring instruments and utility vehicles will be sourced through long-term lease agreements with reputed rental partners and OEMs. Lease terms will include preventive maintenance and breakdown replacement so that equipment availability is contractually assured to AM/NS.</w:t>
      </w:r>
    </w:p>
    <w:p>
      <w:pPr>
        <w:pStyle w:val="Heading2"/>
        <w:keepNext/>
        <w:spacing w:before="240" w:after="100" w:line="276" w:lineRule="auto"/>
      </w:pPr>
      <w:r>
        <w:rPr>
          <w:b/>
          <w:bCs/>
          <w:color w:val="00B050"/>
          <w:sz w:val="24"/>
          <w:szCs w:val="24"/>
        </w:rPr>
        <w:t xml:space="preserve">6.  Documents Enclosed and Next Steps</w:t>
      </w:r>
    </w:p>
    <w:p>
      <w:pPr>
        <w:spacing w:before="0" w:after="60" w:line="276" w:lineRule="auto"/>
        <w:jc w:val="both"/>
      </w:pPr>
      <w:r>
        <w:t xml:space="preserve">We enclose the following in support of this EOI and will be glad to furnish any further information, make a capability presentation, or host a site visit to facilities where our teams are deployed:</w:t>
      </w:r>
    </w:p>
    <w:p>
      <w:pPr>
        <w:pStyle w:val="ListParagraph"/>
        <w:numPr>
          <w:ilvl w:val="0"/>
          <w:numId w:val="1"/>
        </w:numPr>
        <w:spacing w:before="0" w:after="60" w:line="276" w:lineRule="auto"/>
        <w:ind w:left="720" w:hanging="360"/>
        <w:jc w:val="both"/>
      </w:pPr>
      <w:r>
        <w:t xml:space="preserve">Annexure-A: Details of relevant O&amp;M and project assignments with client certificates</w:t>
      </w:r>
    </w:p>
    <w:p>
      <w:pPr>
        <w:pStyle w:val="ListParagraph"/>
        <w:numPr>
          <w:ilvl w:val="0"/>
          <w:numId w:val="1"/>
        </w:numPr>
        <w:spacing w:before="0" w:after="60" w:line="276" w:lineRule="auto"/>
        <w:ind w:left="720" w:hanging="360"/>
        <w:jc w:val="both"/>
      </w:pPr>
      <w:r>
        <w:t xml:space="preserve">Annexure-B: Organisation chart and CVs of proposed key personnel</w:t>
      </w:r>
    </w:p>
    <w:p>
      <w:pPr>
        <w:pStyle w:val="ListParagraph"/>
        <w:numPr>
          <w:ilvl w:val="0"/>
          <w:numId w:val="1"/>
        </w:numPr>
        <w:spacing w:before="0" w:after="60" w:line="276" w:lineRule="auto"/>
        <w:ind w:left="720" w:hanging="360"/>
        <w:jc w:val="both"/>
      </w:pPr>
      <w:r>
        <w:t xml:space="preserve">Annexure-C: Audited financial statements for the last three financial years and CA turnover certificate</w:t>
      </w:r>
    </w:p>
    <w:p>
      <w:pPr>
        <w:pStyle w:val="ListParagraph"/>
        <w:numPr>
          <w:ilvl w:val="0"/>
          <w:numId w:val="1"/>
        </w:numPr>
        <w:spacing w:before="0" w:after="60" w:line="276" w:lineRule="auto"/>
        <w:ind w:left="720" w:hanging="360"/>
        <w:jc w:val="both"/>
      </w:pPr>
      <w:r>
        <w:t xml:space="preserve">Annexure-D: Certificate of Incorporation, PAN, GST registration, EPF / ESIC registrations and quality / safety certifications</w:t>
      </w:r>
    </w:p>
    <w:p>
      <w:pPr>
        <w:pStyle w:val="ListParagraph"/>
        <w:numPr>
          <w:ilvl w:val="0"/>
          <w:numId w:val="1"/>
        </w:numPr>
        <w:spacing w:before="0" w:after="120" w:line="276" w:lineRule="auto"/>
        <w:ind w:left="720" w:hanging="360"/>
        <w:jc w:val="both"/>
      </w:pPr>
      <w:r>
        <w:t xml:space="preserve">Annexure-E: HSE policy and safety performance summary</w:t>
      </w:r>
    </w:p>
    <w:p>
      <w:pPr>
        <w:spacing w:before="0" w:after="120" w:line="276" w:lineRule="auto"/>
        <w:jc w:val="both"/>
      </w:pPr>
      <w:r>
        <w:t xml:space="preserve">We confirm that the information furnished in this EOI is true and correct to the best of our knowledge, and that JCPPL is not blacklisted or debarred by any government body, PSU or private organisation.</w:t>
      </w:r>
    </w:p>
    <w:p>
      <w:pPr>
        <w:spacing w:before="0" w:after="200" w:line="276" w:lineRule="auto"/>
        <w:jc w:val="both"/>
      </w:pPr>
      <w:r>
        <w:t xml:space="preserve">We look forward to the opportunity of partnering with AM/NS Port Paradeep in driving operational excellence at the port, and request that JCPPL be considered for the subsequent stages of the selection process.</w:t>
      </w:r>
    </w:p>
    <w:p>
      <w:pPr>
        <w:spacing w:before="0" w:after="0" w:line="276" w:lineRule="auto"/>
      </w:pPr>
      <w:r>
        <w:t xml:space="preserve">Thanking you,</w:t>
      </w:r>
    </w:p>
    <w:p>
      <w:pPr>
        <w:spacing w:before="0" w:after="0" w:line="276" w:lineRule="auto"/>
      </w:pPr>
      <w:r>
        <w:t xml:space="preserve">Yours faithfully,</w:t>
      </w:r>
    </w:p>
    <w:p>
      <w:pPr>
        <w:keepNext/>
        <w:spacing w:before="0" w:after="720" w:line="276" w:lineRule="auto"/>
      </w:pPr>
      <w:r>
        <w:rPr>
          <w:b/>
          <w:bCs/>
        </w:rPr>
        <w:t xml:space="preserve">For Jagannath Corporation Projects Pvt. Ltd.</w:t>
      </w:r>
    </w:p>
    <w:p>
      <w:pPr>
        <w:spacing w:before="0" w:after="0" w:line="276" w:lineRule="auto"/>
      </w:pPr>
      <w:r>
        <w:rPr>
          <w:b/>
          <w:bCs/>
          <w:highlight w:val="yellow"/>
        </w:rPr>
        <w:t xml:space="preserve">[Name of Authorised Signatory]</w:t>
      </w:r>
    </w:p>
    <w:p>
      <w:pPr>
        <w:spacing w:before="0" w:after="0" w:line="276" w:lineRule="auto"/>
      </w:pPr>
      <w:r>
        <w:rPr>
          <w:b/>
          <w:bCs/>
          <w:highlight w:val="yellow"/>
        </w:rPr>
        <w:t xml:space="preserve">[Designation]</w:t>
      </w:r>
    </w:p>
    <w:p>
      <w:pPr>
        <w:spacing w:before="0" w:after="0" w:line="276" w:lineRule="auto"/>
      </w:pPr>
      <w:r>
        <w:t xml:space="preserve">Mobile: +91-7894444415  ·  E-mail: info@jcltd.in</w:t>
      </w:r>
    </w:p>
    <w:p>
      <w:pPr>
        <w:spacing w:before="0" w:after="0" w:line="276" w:lineRule="auto"/>
      </w:pPr>
    </w:p>
    <w:p>
      <w:pPr>
        <w:spacing w:before="0" w:after="0" w:line="276" w:lineRule="auto"/>
      </w:pPr>
      <w:r>
        <w:rPr>
          <w:i/>
          <w:iCs/>
          <w:sz w:val="20"/>
          <w:szCs w:val="20"/>
        </w:rPr>
        <w:t xml:space="preserve">Encl.: Annexures A to E, as listed above</w:t>
      </w:r>
    </w:p>
    <w:sectPr>
      <w:headerReference w:type="default" r:id="rId7"/>
      <w:headerReference w:type="first" r:id="rId8"/>
      <w:pgSz w:w="11906" w:h="16838" w:orient="portrait"/>
      <w:pgMar w:top="720" w:right="1440" w:bottom="1440" w:left="1440" w:header="567"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78"/>
      <w:tblInd w:type="dxa" w:w="-576"/>
      <w:tblBorders>
        <w:top w:val="none" w:color="FFFFFF" w:sz="0"/>
        <w:left w:val="none" w:color="FFFFFF" w:sz="0"/>
        <w:bottom w:val="none" w:color="FFFFFF" w:sz="0"/>
        <w:right w:val="none" w:color="FFFFFF" w:sz="0"/>
        <w:insideH w:val="none" w:color="FFFFFF" w:sz="0"/>
        <w:insideV w:val="none" w:color="FFFFFF" w:sz="0"/>
      </w:tblBorders>
    </w:tblPr>
    <w:tblGrid>
      <w:gridCol w:w="2304"/>
      <w:gridCol w:w="7874"/>
    </w:tblGrid>
    <w:tr>
      <w:tc>
        <w:tcPr>
          <w:tcW w:type="dxa" w:w="2304"/>
          <w:tcBorders>
            <w:top w:val="none" w:color="FFFFFF" w:sz="0"/>
            <w:left w:val="none" w:color="FFFFFF" w:sz="0"/>
            <w:bottom w:val="none" w:color="FFFFFF" w:sz="0"/>
            <w:right w:val="none" w:color="FFFFFF" w:sz="0"/>
          </w:tcBorders>
          <w:vAlign w:val="center"/>
        </w:tcPr>
        <w:p>
          <w:pPr>
            <w:spacing w:after="0" w:before="0"/>
          </w:pPr>
          <w:r>
            <w:drawing>
              <wp:inline distT="0" distB="0" distL="0" distR="0">
                <wp:extent cx="129540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95400" cy="1085850"/>
                        </a:xfrm>
                        <a:prstGeom prst="rect">
                          <a:avLst/>
                        </a:prstGeom>
                      </pic:spPr>
                    </pic:pic>
                  </a:graphicData>
                </a:graphic>
              </wp:inline>
            </w:drawing>
          </w:r>
        </w:p>
      </w:tc>
      <w:tc>
        <w:tcPr>
          <w:tcW w:type="dxa" w:w="7874"/>
          <w:tcBorders>
            <w:top w:val="none" w:color="FFFFFF" w:sz="0"/>
            <w:left w:val="none" w:color="FFFFFF" w:sz="0"/>
            <w:bottom w:val="none" w:color="FFFFFF" w:sz="0"/>
            <w:right w:val="none" w:color="FFFFFF" w:sz="0"/>
          </w:tcBorders>
          <w:vAlign w:val="center"/>
        </w:tcPr>
        <w:p>
          <w:pPr>
            <w:spacing w:after="320" w:before="0"/>
            <w:jc w:val="left"/>
          </w:pPr>
          <w:r>
            <w:rPr>
              <w:rFonts w:ascii="Cambria" w:cs="Cambria" w:eastAsia="Cambria" w:hAnsi="Cambria"/>
              <w:b/>
              <w:bCs/>
              <w:color w:val="00B050"/>
              <w:sz w:val="40"/>
              <w:szCs w:val="40"/>
            </w:rPr>
            <w:t xml:space="preserve">Jagannath Corporation Projects Pvt. Ltd.</w:t>
          </w:r>
        </w:p>
        <w:p>
          <w:pPr>
            <w:spacing w:after="20" w:before="0"/>
            <w:jc w:val="left"/>
          </w:pPr>
          <w:r>
            <w:rPr>
              <w:rFonts w:ascii="Cambria" w:cs="Cambria" w:eastAsia="Cambria" w:hAnsi="Cambria"/>
              <w:color w:val="333333"/>
              <w:sz w:val="17"/>
              <w:szCs w:val="17"/>
            </w:rPr>
            <w:t xml:space="preserve">Plot 397, Lewis Road, Sarangi Bhawan (Ground Floor), Old Town, Bhubaneswar – 751002, Odisha</w:t>
          </w:r>
        </w:p>
        <w:p>
          <w:pPr>
            <w:spacing w:after="0" w:before="0"/>
            <w:jc w:val="left"/>
          </w:pPr>
          <w:r>
            <w:rPr>
              <w:rFonts w:ascii="Cambria" w:cs="Cambria" w:eastAsia="Cambria" w:hAnsi="Cambria"/>
              <w:color w:val="333333"/>
              <w:sz w:val="17"/>
              <w:szCs w:val="17"/>
            </w:rPr>
            <w:t xml:space="preserve">Phone: +91 78944 44415   ·   Email: info@jcltd.in   ·   </w:t>
          </w:r>
          <w:r>
            <w:rPr>
              <w:rFonts w:ascii="Cambria" w:cs="Cambria" w:eastAsia="Cambria" w:hAnsi="Cambria"/>
              <w:color w:val="595959"/>
              <w:sz w:val="17"/>
              <w:szCs w:val="17"/>
            </w:rPr>
            <w:t xml:space="preserve">CIN: U27100OR2010PTC011664</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28df5a82741deb856df8ddff91709c1ebbd4afc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2026-08-22T10:48:27.701Z</dcterms:created>
  <dcterms:modified xsi:type="dcterms:W3CDTF">2026-08-22T10:48:27.717Z</dcterms:modified>
</cp:coreProperties>
</file>

<file path=docProps/custom.xml><?xml version="1.0" encoding="utf-8"?>
<Properties xmlns="http://schemas.openxmlformats.org/officeDocument/2006/custom-properties" xmlns:vt="http://schemas.openxmlformats.org/officeDocument/2006/docPropsVTypes"/>
</file>