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40CEA" w14:textId="0BB1EBE0" w:rsidR="006E0176" w:rsidRPr="00CF7512" w:rsidRDefault="00A71B09" w:rsidP="00AB7A13">
      <w:pPr>
        <w:jc w:val="center"/>
        <w:rPr>
          <w:b/>
          <w:bCs/>
          <w:color w:val="0070C0"/>
          <w:sz w:val="28"/>
          <w:szCs w:val="28"/>
          <w:u w:val="single"/>
        </w:rPr>
      </w:pPr>
      <w:r w:rsidRPr="0040264C">
        <w:rPr>
          <w:b/>
          <w:bCs/>
          <w:color w:val="0070C0"/>
          <w:sz w:val="28"/>
          <w:szCs w:val="28"/>
          <w:u w:val="single"/>
        </w:rPr>
        <w:t xml:space="preserve">Exploration and </w:t>
      </w:r>
      <w:r w:rsidR="000052B6" w:rsidRPr="0040264C">
        <w:rPr>
          <w:b/>
          <w:bCs/>
          <w:color w:val="0070C0"/>
          <w:sz w:val="28"/>
          <w:szCs w:val="28"/>
          <w:u w:val="single"/>
        </w:rPr>
        <w:t>Analys</w:t>
      </w:r>
      <w:r w:rsidR="00B82754" w:rsidRPr="0040264C">
        <w:rPr>
          <w:b/>
          <w:bCs/>
          <w:color w:val="0070C0"/>
          <w:sz w:val="28"/>
          <w:szCs w:val="28"/>
          <w:u w:val="single"/>
        </w:rPr>
        <w:t xml:space="preserve">is </w:t>
      </w:r>
      <w:r w:rsidR="00391E81" w:rsidRPr="0040264C">
        <w:rPr>
          <w:b/>
          <w:bCs/>
          <w:color w:val="0070C0"/>
          <w:sz w:val="28"/>
          <w:szCs w:val="28"/>
          <w:u w:val="single"/>
        </w:rPr>
        <w:t xml:space="preserve">of </w:t>
      </w:r>
      <w:r w:rsidR="005048F6" w:rsidRPr="0040264C">
        <w:rPr>
          <w:b/>
          <w:bCs/>
          <w:color w:val="0070C0"/>
          <w:sz w:val="28"/>
          <w:szCs w:val="28"/>
          <w:u w:val="single"/>
        </w:rPr>
        <w:t>Data</w:t>
      </w:r>
    </w:p>
    <w:p w14:paraId="0A3F1DCF" w14:textId="59DA21CB" w:rsidR="007D744D" w:rsidRPr="007270B9" w:rsidRDefault="007D744D" w:rsidP="00A82574">
      <w:pPr>
        <w:pStyle w:val="ListParagraph"/>
        <w:numPr>
          <w:ilvl w:val="0"/>
          <w:numId w:val="4"/>
        </w:numPr>
        <w:jc w:val="both"/>
        <w:rPr>
          <w:b/>
          <w:bCs/>
          <w:u w:val="single"/>
        </w:rPr>
      </w:pPr>
      <w:r w:rsidRPr="007270B9">
        <w:rPr>
          <w:b/>
          <w:bCs/>
          <w:u w:val="single"/>
        </w:rPr>
        <w:t>Pre-processing</w:t>
      </w:r>
      <w:r w:rsidR="0050499D" w:rsidRPr="007270B9">
        <w:rPr>
          <w:b/>
          <w:bCs/>
          <w:u w:val="single"/>
        </w:rPr>
        <w:t xml:space="preserve"> data before </w:t>
      </w:r>
      <w:r w:rsidR="007270B9" w:rsidRPr="007270B9">
        <w:rPr>
          <w:b/>
          <w:bCs/>
          <w:u w:val="single"/>
        </w:rPr>
        <w:t>Analysis: -</w:t>
      </w:r>
    </w:p>
    <w:p w14:paraId="15CD8054" w14:textId="77777777" w:rsidR="008F281A" w:rsidRDefault="0050499D" w:rsidP="00A82574">
      <w:pPr>
        <w:pStyle w:val="ListParagraph"/>
        <w:numPr>
          <w:ilvl w:val="0"/>
          <w:numId w:val="5"/>
        </w:numPr>
        <w:jc w:val="both"/>
      </w:pPr>
      <w:r w:rsidRPr="0050499D">
        <w:t xml:space="preserve">During data import from CSV to SQL Server, missing fields were initially blank. These were later updated to </w:t>
      </w:r>
      <w:r w:rsidRPr="00434CCC">
        <w:rPr>
          <w:b/>
          <w:bCs/>
        </w:rPr>
        <w:t>NULL</w:t>
      </w:r>
      <w:r w:rsidRPr="0050499D">
        <w:t xml:space="preserve"> or tagged as </w:t>
      </w:r>
      <w:r w:rsidRPr="00434CCC">
        <w:rPr>
          <w:b/>
          <w:bCs/>
        </w:rPr>
        <w:t>Non-member customers</w:t>
      </w:r>
      <w:r w:rsidRPr="0050499D">
        <w:t xml:space="preserve"> for better categorization and analysis.</w:t>
      </w:r>
      <w:r w:rsidR="007D744D">
        <w:t xml:space="preserve"> </w:t>
      </w:r>
    </w:p>
    <w:p w14:paraId="13DFF9CA" w14:textId="6A6BE396" w:rsidR="008F281A" w:rsidRDefault="00991D5A" w:rsidP="00A82574">
      <w:pPr>
        <w:pStyle w:val="ListParagraph"/>
        <w:numPr>
          <w:ilvl w:val="0"/>
          <w:numId w:val="5"/>
        </w:numPr>
        <w:jc w:val="both"/>
      </w:pPr>
      <w:r w:rsidRPr="00991D5A">
        <w:t xml:space="preserve">The </w:t>
      </w:r>
      <w:r w:rsidRPr="008F281A">
        <w:rPr>
          <w:b/>
          <w:bCs/>
        </w:rPr>
        <w:t>Transaction Date</w:t>
      </w:r>
      <w:r w:rsidRPr="00991D5A">
        <w:t xml:space="preserve"> column was not in the correct date format, so its data type was converted to </w:t>
      </w:r>
      <w:r w:rsidR="00FE1972" w:rsidRPr="008F281A">
        <w:rPr>
          <w:b/>
          <w:bCs/>
        </w:rPr>
        <w:t>Date Time</w:t>
      </w:r>
      <w:r w:rsidRPr="00991D5A">
        <w:t xml:space="preserve">. This column had </w:t>
      </w:r>
      <w:r w:rsidRPr="008F281A">
        <w:rPr>
          <w:b/>
          <w:bCs/>
        </w:rPr>
        <w:t>50,000 missing values</w:t>
      </w:r>
      <w:r w:rsidRPr="00991D5A">
        <w:t xml:space="preserve">, which defaulted to the date </w:t>
      </w:r>
      <w:r w:rsidRPr="008F281A">
        <w:rPr>
          <w:b/>
          <w:bCs/>
        </w:rPr>
        <w:t>'1901-01-01'</w:t>
      </w:r>
      <w:r w:rsidRPr="00991D5A">
        <w:t xml:space="preserve">. These were later updated to </w:t>
      </w:r>
      <w:r w:rsidR="008532DD">
        <w:rPr>
          <w:b/>
          <w:bCs/>
        </w:rPr>
        <w:t>Null</w:t>
      </w:r>
      <w:r w:rsidRPr="00991D5A">
        <w:t xml:space="preserve"> for accuracy.</w:t>
      </w:r>
    </w:p>
    <w:p w14:paraId="2BDE3E12" w14:textId="224590FF" w:rsidR="00843B5E" w:rsidRDefault="00FE1972" w:rsidP="00A82574">
      <w:pPr>
        <w:pStyle w:val="ListParagraph"/>
        <w:numPr>
          <w:ilvl w:val="0"/>
          <w:numId w:val="5"/>
        </w:numPr>
        <w:jc w:val="both"/>
      </w:pPr>
      <w:r w:rsidRPr="00FE1972">
        <w:t xml:space="preserve">The columns </w:t>
      </w:r>
      <w:r w:rsidRPr="00843B5E">
        <w:rPr>
          <w:b/>
          <w:bCs/>
        </w:rPr>
        <w:t>Transaction Amount</w:t>
      </w:r>
      <w:r w:rsidRPr="00FE1972">
        <w:t xml:space="preserve">, </w:t>
      </w:r>
      <w:r w:rsidRPr="00843B5E">
        <w:rPr>
          <w:b/>
          <w:bCs/>
        </w:rPr>
        <w:t>Quantity</w:t>
      </w:r>
      <w:r w:rsidRPr="00FE1972">
        <w:t xml:space="preserve">, </w:t>
      </w:r>
      <w:r w:rsidRPr="00843B5E">
        <w:rPr>
          <w:b/>
          <w:bCs/>
        </w:rPr>
        <w:t>Discount Percent</w:t>
      </w:r>
      <w:r w:rsidRPr="00FE1972">
        <w:t xml:space="preserve">, and </w:t>
      </w:r>
      <w:r w:rsidRPr="00843B5E">
        <w:rPr>
          <w:b/>
          <w:bCs/>
        </w:rPr>
        <w:t>Loyalty Points</w:t>
      </w:r>
      <w:r w:rsidRPr="00FE1972">
        <w:t xml:space="preserve"> were initially stored as </w:t>
      </w:r>
      <w:r w:rsidR="00A230F0">
        <w:rPr>
          <w:b/>
          <w:bCs/>
        </w:rPr>
        <w:t>Varchar</w:t>
      </w:r>
      <w:r w:rsidRPr="00FE1972">
        <w:t xml:space="preserve"> data types. These have been converted to </w:t>
      </w:r>
      <w:r w:rsidRPr="00843B5E">
        <w:rPr>
          <w:b/>
          <w:bCs/>
        </w:rPr>
        <w:t>numeric</w:t>
      </w:r>
      <w:r w:rsidRPr="00FE1972">
        <w:t xml:space="preserve"> data types for accurate calculations and analysis.</w:t>
      </w:r>
    </w:p>
    <w:p w14:paraId="0704A2B3" w14:textId="3695CCCA" w:rsidR="00E54C1D" w:rsidRDefault="00ED5DF9" w:rsidP="00A82574">
      <w:pPr>
        <w:pStyle w:val="ListParagraph"/>
        <w:numPr>
          <w:ilvl w:val="0"/>
          <w:numId w:val="5"/>
        </w:numPr>
        <w:jc w:val="both"/>
      </w:pPr>
      <w:r w:rsidRPr="00ED5DF9">
        <w:t xml:space="preserve">To address the issue of filling missing values in the </w:t>
      </w:r>
      <w:r w:rsidRPr="00843B5E">
        <w:rPr>
          <w:b/>
          <w:bCs/>
        </w:rPr>
        <w:t>region</w:t>
      </w:r>
      <w:r w:rsidRPr="00ED5DF9">
        <w:t xml:space="preserve"> and </w:t>
      </w:r>
      <w:r w:rsidRPr="00843B5E">
        <w:rPr>
          <w:b/>
          <w:bCs/>
        </w:rPr>
        <w:t>payment method</w:t>
      </w:r>
      <w:r w:rsidRPr="00ED5DF9">
        <w:t xml:space="preserve"> fields based on the highest number of transactions done by a customer in specific segments</w:t>
      </w:r>
      <w:r>
        <w:t>.</w:t>
      </w:r>
    </w:p>
    <w:p w14:paraId="41C0DF9A" w14:textId="77777777" w:rsidR="00082D12" w:rsidRDefault="00082D12" w:rsidP="00A82574">
      <w:pPr>
        <w:pStyle w:val="ListParagraph"/>
        <w:ind w:left="501"/>
        <w:jc w:val="both"/>
      </w:pPr>
    </w:p>
    <w:p w14:paraId="5B127734" w14:textId="77C7B677" w:rsidR="008532DD" w:rsidRPr="00082D12" w:rsidRDefault="008532DD" w:rsidP="00A82574">
      <w:pPr>
        <w:pStyle w:val="ListParagraph"/>
        <w:numPr>
          <w:ilvl w:val="0"/>
          <w:numId w:val="3"/>
        </w:numPr>
        <w:jc w:val="both"/>
        <w:rPr>
          <w:b/>
          <w:bCs/>
          <w:u w:val="single"/>
        </w:rPr>
      </w:pPr>
      <w:r w:rsidRPr="00082D12">
        <w:rPr>
          <w:b/>
          <w:bCs/>
          <w:u w:val="single"/>
        </w:rPr>
        <w:t>Facts And Exploration of data</w:t>
      </w:r>
      <w:r w:rsidR="00CF7512">
        <w:rPr>
          <w:b/>
          <w:bCs/>
          <w:u w:val="single"/>
        </w:rPr>
        <w:t>:</w:t>
      </w:r>
    </w:p>
    <w:p w14:paraId="2DC00F9A" w14:textId="77777777" w:rsidR="00FF4B50" w:rsidRPr="00FF4B50" w:rsidRDefault="00FF4B50" w:rsidP="00A82574">
      <w:pPr>
        <w:pStyle w:val="ListParagraph"/>
        <w:numPr>
          <w:ilvl w:val="0"/>
          <w:numId w:val="6"/>
        </w:numPr>
        <w:jc w:val="both"/>
      </w:pPr>
      <w:r w:rsidRPr="00FF4B50">
        <w:t xml:space="preserve">The dataset comprises </w:t>
      </w:r>
      <w:r w:rsidRPr="00FF4B50">
        <w:rPr>
          <w:b/>
          <w:bCs/>
        </w:rPr>
        <w:t>500,000 records</w:t>
      </w:r>
      <w:r w:rsidRPr="00FF4B50">
        <w:t xml:space="preserve"> and </w:t>
      </w:r>
      <w:r w:rsidRPr="00FF4B50">
        <w:rPr>
          <w:b/>
          <w:bCs/>
        </w:rPr>
        <w:t>19 columns</w:t>
      </w:r>
      <w:r w:rsidRPr="00FF4B50">
        <w:t>, indicating a substantial volume of data for analysis.</w:t>
      </w:r>
    </w:p>
    <w:p w14:paraId="7A5B8869" w14:textId="77777777" w:rsidR="00FF4B50" w:rsidRDefault="00FF4B50" w:rsidP="00A82574">
      <w:pPr>
        <w:pStyle w:val="ListParagraph"/>
        <w:numPr>
          <w:ilvl w:val="0"/>
          <w:numId w:val="6"/>
        </w:numPr>
        <w:jc w:val="both"/>
      </w:pPr>
      <w:r>
        <w:t xml:space="preserve">Around </w:t>
      </w:r>
      <w:r w:rsidRPr="00FF4B50">
        <w:rPr>
          <w:b/>
          <w:bCs/>
        </w:rPr>
        <w:t>10% of data is missing</w:t>
      </w:r>
      <w:r>
        <w:t xml:space="preserve"> across important customer attributes, including:</w:t>
      </w:r>
    </w:p>
    <w:p w14:paraId="248D0C5F" w14:textId="77777777" w:rsidR="00FF4B50" w:rsidRDefault="00FF4B50" w:rsidP="00A82574">
      <w:pPr>
        <w:pStyle w:val="ListParagraph"/>
        <w:numPr>
          <w:ilvl w:val="1"/>
          <w:numId w:val="6"/>
        </w:numPr>
        <w:jc w:val="both"/>
      </w:pPr>
      <w:r>
        <w:t>Customer IDs, Age, and Gender.</w:t>
      </w:r>
    </w:p>
    <w:p w14:paraId="52206576" w14:textId="77777777" w:rsidR="00FF4B50" w:rsidRDefault="00FF4B50" w:rsidP="00A82574">
      <w:pPr>
        <w:pStyle w:val="ListParagraph"/>
        <w:numPr>
          <w:ilvl w:val="1"/>
          <w:numId w:val="6"/>
        </w:numPr>
        <w:jc w:val="both"/>
      </w:pPr>
      <w:r>
        <w:t>Buying preferences like Payment Method, Product Name, and Region.</w:t>
      </w:r>
    </w:p>
    <w:p w14:paraId="17A7FEE3" w14:textId="5F205781" w:rsidR="00FF4B50" w:rsidRDefault="00FF4B50" w:rsidP="00A82574">
      <w:pPr>
        <w:pStyle w:val="ListParagraph"/>
        <w:numPr>
          <w:ilvl w:val="0"/>
          <w:numId w:val="6"/>
        </w:numPr>
        <w:jc w:val="both"/>
      </w:pPr>
      <w:r w:rsidRPr="00FF4B50">
        <w:t xml:space="preserve">A total of </w:t>
      </w:r>
      <w:r w:rsidRPr="00FF4B50">
        <w:rPr>
          <w:b/>
          <w:bCs/>
        </w:rPr>
        <w:t>48,995 unique customers</w:t>
      </w:r>
      <w:r w:rsidRPr="00FF4B50">
        <w:t xml:space="preserve"> have completed </w:t>
      </w:r>
      <w:r w:rsidRPr="00FF4B50">
        <w:rPr>
          <w:b/>
          <w:bCs/>
        </w:rPr>
        <w:t>500,000 transactions</w:t>
      </w:r>
      <w:r w:rsidRPr="00FF4B50">
        <w:t xml:space="preserve">, </w:t>
      </w:r>
      <w:r w:rsidRPr="00FF4B50">
        <w:rPr>
          <w:b/>
          <w:bCs/>
        </w:rPr>
        <w:t>indicating an average of approximately 10 transactions per customer</w:t>
      </w:r>
      <w:r w:rsidRPr="00FF4B50">
        <w:t>.</w:t>
      </w:r>
    </w:p>
    <w:p w14:paraId="6E73D9BC" w14:textId="389DC554" w:rsidR="008532DD" w:rsidRDefault="008532DD" w:rsidP="00A82574">
      <w:pPr>
        <w:pStyle w:val="ListParagraph"/>
        <w:numPr>
          <w:ilvl w:val="0"/>
          <w:numId w:val="6"/>
        </w:numPr>
        <w:jc w:val="both"/>
      </w:pPr>
      <w:r w:rsidRPr="00255DFB">
        <w:t xml:space="preserve">The data we have is from January 1st, 2022, to December 14th, 2022, </w:t>
      </w:r>
      <w:proofErr w:type="gramStart"/>
      <w:r w:rsidRPr="00255DFB">
        <w:t>with the exception of</w:t>
      </w:r>
      <w:proofErr w:type="gramEnd"/>
      <w:r w:rsidRPr="00255DFB">
        <w:t xml:space="preserve"> missing dates, which we have considered as January 1st, 1753.</w:t>
      </w:r>
    </w:p>
    <w:p w14:paraId="6D74E4F3" w14:textId="77777777" w:rsidR="008532DD" w:rsidRDefault="008532DD" w:rsidP="00A82574">
      <w:pPr>
        <w:pStyle w:val="ListParagraph"/>
        <w:numPr>
          <w:ilvl w:val="0"/>
          <w:numId w:val="6"/>
        </w:numPr>
        <w:jc w:val="both"/>
      </w:pPr>
      <w:r w:rsidRPr="001356F1">
        <w:t xml:space="preserve">Transactions with an amount </w:t>
      </w:r>
      <w:r w:rsidRPr="000D44E0">
        <w:rPr>
          <w:b/>
          <w:bCs/>
        </w:rPr>
        <w:t>less than 0 are considered returns,</w:t>
      </w:r>
      <w:r w:rsidRPr="001356F1">
        <w:t xml:space="preserve"> while transactions with an amount </w:t>
      </w:r>
      <w:r w:rsidRPr="000D44E0">
        <w:rPr>
          <w:b/>
          <w:bCs/>
        </w:rPr>
        <w:t>greater than 0 are considered purchases</w:t>
      </w:r>
      <w:r w:rsidRPr="001356F1">
        <w:t>.</w:t>
      </w:r>
    </w:p>
    <w:p w14:paraId="07C281D6" w14:textId="5E0A1E09" w:rsidR="008532DD" w:rsidRDefault="008532DD" w:rsidP="00A82574">
      <w:pPr>
        <w:pStyle w:val="ListParagraph"/>
        <w:numPr>
          <w:ilvl w:val="0"/>
          <w:numId w:val="6"/>
        </w:numPr>
        <w:jc w:val="both"/>
      </w:pPr>
      <w:r w:rsidRPr="0087740B">
        <w:t xml:space="preserve">A </w:t>
      </w:r>
      <w:r w:rsidRPr="00C45B37">
        <w:rPr>
          <w:b/>
          <w:bCs/>
        </w:rPr>
        <w:t>maximum discount of 50 percent</w:t>
      </w:r>
      <w:r w:rsidRPr="0087740B">
        <w:t xml:space="preserve"> has been offered, meaning that customers can receive a discount up to half the original price of the product or service.</w:t>
      </w:r>
    </w:p>
    <w:p w14:paraId="0FB62E14" w14:textId="77777777" w:rsidR="008532DD" w:rsidRDefault="008532DD" w:rsidP="00A82574">
      <w:pPr>
        <w:pStyle w:val="ListParagraph"/>
        <w:ind w:left="501"/>
        <w:jc w:val="both"/>
      </w:pPr>
    </w:p>
    <w:p w14:paraId="62A10DFC" w14:textId="6565B963" w:rsidR="00ED5DF9" w:rsidRPr="00082D12" w:rsidRDefault="00ED5DF9" w:rsidP="00A82574">
      <w:pPr>
        <w:pStyle w:val="ListParagraph"/>
        <w:numPr>
          <w:ilvl w:val="0"/>
          <w:numId w:val="4"/>
        </w:numPr>
        <w:jc w:val="both"/>
        <w:rPr>
          <w:b/>
          <w:bCs/>
          <w:u w:val="single"/>
        </w:rPr>
      </w:pPr>
      <w:r w:rsidRPr="00082D12">
        <w:rPr>
          <w:b/>
          <w:bCs/>
          <w:u w:val="single"/>
        </w:rPr>
        <w:t xml:space="preserve">Customer </w:t>
      </w:r>
      <w:r w:rsidR="00CA4B03" w:rsidRPr="00082D12">
        <w:rPr>
          <w:b/>
          <w:bCs/>
          <w:u w:val="single"/>
        </w:rPr>
        <w:t>Behaviour</w:t>
      </w:r>
      <w:r w:rsidRPr="00082D12">
        <w:rPr>
          <w:b/>
          <w:bCs/>
          <w:u w:val="single"/>
        </w:rPr>
        <w:t xml:space="preserve"> Segmentation:</w:t>
      </w:r>
    </w:p>
    <w:p w14:paraId="41201091" w14:textId="77777777" w:rsidR="000A6010" w:rsidRDefault="00ED5DF9" w:rsidP="00A82574">
      <w:pPr>
        <w:pStyle w:val="ListParagraph"/>
        <w:numPr>
          <w:ilvl w:val="0"/>
          <w:numId w:val="12"/>
        </w:numPr>
        <w:jc w:val="both"/>
      </w:pPr>
      <w:r w:rsidRPr="00ED5DF9">
        <w:t xml:space="preserve">The method ensures that the missing values for </w:t>
      </w:r>
      <w:r w:rsidRPr="000A6010">
        <w:rPr>
          <w:b/>
          <w:bCs/>
        </w:rPr>
        <w:t>region</w:t>
      </w:r>
      <w:r w:rsidRPr="00ED5DF9">
        <w:t xml:space="preserve"> and </w:t>
      </w:r>
      <w:r w:rsidRPr="000A6010">
        <w:rPr>
          <w:b/>
          <w:bCs/>
        </w:rPr>
        <w:t>payment method</w:t>
      </w:r>
      <w:r w:rsidRPr="00ED5DF9">
        <w:t xml:space="preserve"> are aligned with the customer’s historical transaction preferences.</w:t>
      </w:r>
    </w:p>
    <w:p w14:paraId="2514992E" w14:textId="293689E1" w:rsidR="000D44E0" w:rsidRDefault="00ED5DF9" w:rsidP="00A82574">
      <w:pPr>
        <w:pStyle w:val="ListParagraph"/>
        <w:numPr>
          <w:ilvl w:val="0"/>
          <w:numId w:val="12"/>
        </w:numPr>
        <w:jc w:val="both"/>
      </w:pPr>
      <w:r w:rsidRPr="00ED5DF9">
        <w:t>Customers are segmented by their transactional dominance (e.g., most-used region and payment method), improving the data's integrity for subsequent analyses.</w:t>
      </w:r>
    </w:p>
    <w:p w14:paraId="38F4EFAC" w14:textId="77777777" w:rsidR="000A6010" w:rsidRDefault="000A6010" w:rsidP="00A82574">
      <w:pPr>
        <w:pStyle w:val="ListParagraph"/>
        <w:ind w:left="501"/>
        <w:jc w:val="both"/>
      </w:pPr>
    </w:p>
    <w:p w14:paraId="5C653C21" w14:textId="43AFF741" w:rsidR="00ED5DF9" w:rsidRPr="006E0176" w:rsidRDefault="00ED5DF9" w:rsidP="00A82574">
      <w:pPr>
        <w:pStyle w:val="ListParagraph"/>
        <w:numPr>
          <w:ilvl w:val="0"/>
          <w:numId w:val="7"/>
        </w:numPr>
        <w:jc w:val="both"/>
        <w:rPr>
          <w:b/>
          <w:bCs/>
          <w:u w:val="single"/>
        </w:rPr>
      </w:pPr>
      <w:r w:rsidRPr="006E0176">
        <w:rPr>
          <w:b/>
          <w:bCs/>
          <w:u w:val="single"/>
        </w:rPr>
        <w:t>Actionable Steps in SQL:</w:t>
      </w:r>
    </w:p>
    <w:p w14:paraId="226B2C70" w14:textId="269EA660" w:rsidR="00ED5DF9" w:rsidRPr="00ED5DF9" w:rsidRDefault="00ED5DF9" w:rsidP="00A82574">
      <w:pPr>
        <w:pStyle w:val="ListParagraph"/>
        <w:numPr>
          <w:ilvl w:val="0"/>
          <w:numId w:val="8"/>
        </w:numPr>
        <w:jc w:val="both"/>
      </w:pPr>
      <w:r w:rsidRPr="00ED5DF9">
        <w:t>Ensure all transactions are grouped by customer ID.</w:t>
      </w:r>
    </w:p>
    <w:p w14:paraId="0494995C" w14:textId="08FBD6CA" w:rsidR="00ED5DF9" w:rsidRPr="00ED5DF9" w:rsidRDefault="00ED5DF9" w:rsidP="00A82574">
      <w:pPr>
        <w:pStyle w:val="ListParagraph"/>
        <w:numPr>
          <w:ilvl w:val="0"/>
          <w:numId w:val="8"/>
        </w:numPr>
        <w:jc w:val="both"/>
      </w:pPr>
      <w:r w:rsidRPr="00ED5DF9">
        <w:t xml:space="preserve">Compute the most frequent </w:t>
      </w:r>
      <w:r w:rsidRPr="000D44E0">
        <w:rPr>
          <w:b/>
          <w:bCs/>
        </w:rPr>
        <w:t>region</w:t>
      </w:r>
      <w:r w:rsidRPr="00ED5DF9">
        <w:t xml:space="preserve"> and </w:t>
      </w:r>
      <w:r w:rsidRPr="000D44E0">
        <w:rPr>
          <w:b/>
          <w:bCs/>
        </w:rPr>
        <w:t>payment method</w:t>
      </w:r>
      <w:r w:rsidRPr="00ED5DF9">
        <w:t xml:space="preserve"> for each customer.</w:t>
      </w:r>
    </w:p>
    <w:p w14:paraId="53CC1BA3" w14:textId="7701024F" w:rsidR="00ED5DF9" w:rsidRPr="00ED5DF9" w:rsidRDefault="00ED5DF9" w:rsidP="00A82574">
      <w:pPr>
        <w:pStyle w:val="ListParagraph"/>
        <w:numPr>
          <w:ilvl w:val="0"/>
          <w:numId w:val="8"/>
        </w:numPr>
        <w:jc w:val="both"/>
      </w:pPr>
      <w:r w:rsidRPr="00ED5DF9">
        <w:t xml:space="preserve">Impute the missing values in the </w:t>
      </w:r>
      <w:r w:rsidRPr="000D44E0">
        <w:rPr>
          <w:b/>
          <w:bCs/>
        </w:rPr>
        <w:t>region</w:t>
      </w:r>
      <w:r w:rsidRPr="00ED5DF9">
        <w:t xml:space="preserve"> and </w:t>
      </w:r>
      <w:r w:rsidRPr="000D44E0">
        <w:rPr>
          <w:b/>
          <w:bCs/>
        </w:rPr>
        <w:t>payment method</w:t>
      </w:r>
      <w:r w:rsidRPr="00ED5DF9">
        <w:t xml:space="preserve"> columns for each transaction based on the highest frequency calculated for that customer.</w:t>
      </w:r>
    </w:p>
    <w:p w14:paraId="2AB0DDB5" w14:textId="4BA5DD61" w:rsidR="00ED5DF9" w:rsidRDefault="00ED5DF9" w:rsidP="00A82574">
      <w:pPr>
        <w:pStyle w:val="ListParagraph"/>
        <w:numPr>
          <w:ilvl w:val="0"/>
          <w:numId w:val="8"/>
        </w:numPr>
        <w:jc w:val="both"/>
      </w:pPr>
      <w:r w:rsidRPr="00ED5DF9">
        <w:t>For customers with insufficient data, consider using aggregate preferences (e.g., region and payment method with the highest count across all customers).</w:t>
      </w:r>
    </w:p>
    <w:p w14:paraId="3A58BD8F" w14:textId="4915AF8E" w:rsidR="00FE1972" w:rsidRDefault="00D30D24" w:rsidP="00A82574">
      <w:pPr>
        <w:pStyle w:val="ListParagraph"/>
        <w:numPr>
          <w:ilvl w:val="0"/>
          <w:numId w:val="8"/>
        </w:numPr>
        <w:jc w:val="both"/>
      </w:pPr>
      <w:r w:rsidRPr="00D30D24">
        <w:t>I have considered the maximum age from the customer age bucket and used it to fill in the missing values in the customer age field in the dataset</w:t>
      </w:r>
      <w:r w:rsidR="002B1F41">
        <w:t>.</w:t>
      </w:r>
    </w:p>
    <w:p w14:paraId="02F914B4" w14:textId="77777777" w:rsidR="005E3D04" w:rsidRDefault="005E3D04" w:rsidP="00A82574">
      <w:pPr>
        <w:pStyle w:val="ListParagraph"/>
        <w:ind w:left="501"/>
        <w:jc w:val="both"/>
      </w:pPr>
    </w:p>
    <w:p w14:paraId="24917A31" w14:textId="77777777" w:rsidR="00CF7512" w:rsidRDefault="00CF7512" w:rsidP="00A82574">
      <w:pPr>
        <w:jc w:val="both"/>
      </w:pPr>
    </w:p>
    <w:p w14:paraId="78688F99" w14:textId="77777777" w:rsidR="000A6010" w:rsidRDefault="000A6010" w:rsidP="00A82574">
      <w:pPr>
        <w:jc w:val="both"/>
      </w:pPr>
    </w:p>
    <w:p w14:paraId="24819B93" w14:textId="0F77AFB7" w:rsidR="3B31EA7B" w:rsidRDefault="3B31EA7B" w:rsidP="00A82574">
      <w:pPr>
        <w:jc w:val="both"/>
      </w:pPr>
    </w:p>
    <w:p w14:paraId="70E55A2A" w14:textId="13EF3D8C" w:rsidR="00931327" w:rsidRPr="000D3EED" w:rsidRDefault="00B54C60" w:rsidP="00A82574">
      <w:pPr>
        <w:pStyle w:val="ListParagraph"/>
        <w:numPr>
          <w:ilvl w:val="0"/>
          <w:numId w:val="7"/>
        </w:numPr>
        <w:jc w:val="both"/>
        <w:rPr>
          <w:b/>
          <w:bCs/>
          <w:u w:val="single"/>
        </w:rPr>
      </w:pPr>
      <w:r w:rsidRPr="000D3EED">
        <w:rPr>
          <w:b/>
          <w:bCs/>
          <w:u w:val="single"/>
        </w:rPr>
        <w:t>Bucketing:</w:t>
      </w:r>
    </w:p>
    <w:p w14:paraId="77545F8A" w14:textId="77777777" w:rsidR="00C465CF" w:rsidRDefault="005E3D04" w:rsidP="00A82574">
      <w:pPr>
        <w:pStyle w:val="ListParagraph"/>
        <w:numPr>
          <w:ilvl w:val="0"/>
          <w:numId w:val="9"/>
        </w:numPr>
        <w:jc w:val="both"/>
      </w:pPr>
      <w:r w:rsidRPr="005E3D04">
        <w:rPr>
          <w:b/>
          <w:bCs/>
        </w:rPr>
        <w:t xml:space="preserve">One Timer – Multi Timer Tagging: </w:t>
      </w:r>
      <w:r w:rsidR="00931327" w:rsidRPr="00931327">
        <w:t>The customers who have visited only once are considered one-time buyers, while customers who have visited more than once are tagged as multi-time buyers.</w:t>
      </w:r>
    </w:p>
    <w:p w14:paraId="5E7C923F" w14:textId="77777777" w:rsidR="00D2103F" w:rsidRDefault="00E41038" w:rsidP="00A82574">
      <w:pPr>
        <w:pStyle w:val="ListParagraph"/>
        <w:numPr>
          <w:ilvl w:val="0"/>
          <w:numId w:val="9"/>
        </w:numPr>
        <w:jc w:val="both"/>
      </w:pPr>
      <w:r w:rsidRPr="00C465CF">
        <w:rPr>
          <w:b/>
          <w:bCs/>
        </w:rPr>
        <w:t>Spend Bucket Tagging:</w:t>
      </w:r>
      <w:r>
        <w:t xml:space="preserve"> I</w:t>
      </w:r>
      <w:r w:rsidRPr="00E41038">
        <w:t xml:space="preserve"> created these spend buckets to categorize customers based on their total spending, which helps us better understand their purchasing </w:t>
      </w:r>
      <w:r w:rsidR="00B54C60" w:rsidRPr="00E41038">
        <w:t>power.</w:t>
      </w:r>
      <w:r w:rsidRPr="00E41038">
        <w:t xml:space="preserve"> By grouping customers into ranges, we can identify patterns, such as high-spend customers who may be key targets for premium offerings, or low-spend customers who might need different marketing strategies.</w:t>
      </w:r>
    </w:p>
    <w:p w14:paraId="4F3BDB7A" w14:textId="77777777" w:rsidR="00D2103F" w:rsidRDefault="002D1A95" w:rsidP="00A82574">
      <w:pPr>
        <w:pStyle w:val="ListParagraph"/>
        <w:numPr>
          <w:ilvl w:val="0"/>
          <w:numId w:val="9"/>
        </w:numPr>
        <w:jc w:val="both"/>
      </w:pPr>
      <w:r w:rsidRPr="00D2103F">
        <w:rPr>
          <w:b/>
          <w:bCs/>
        </w:rPr>
        <w:t>Age Bucket Tagging:</w:t>
      </w:r>
      <w:r>
        <w:t xml:space="preserve"> </w:t>
      </w:r>
      <w:r w:rsidR="005B5FD3" w:rsidRPr="005B5FD3">
        <w:t xml:space="preserve">I created age buckets to group customers into specific age ranges, making it easier to </w:t>
      </w:r>
      <w:r w:rsidR="00B54C60" w:rsidRPr="005B5FD3">
        <w:t>analyse</w:t>
      </w:r>
      <w:r w:rsidR="005B5FD3" w:rsidRPr="005B5FD3">
        <w:t xml:space="preserve"> customer </w:t>
      </w:r>
      <w:r w:rsidR="00B54C60" w:rsidRPr="005B5FD3">
        <w:t>behaviour</w:t>
      </w:r>
      <w:r w:rsidR="005B5FD3" w:rsidRPr="005B5FD3">
        <w:t xml:space="preserve"> based on their age group. This helps us understand which age segments are more active or valuable in specific regions or product categories.</w:t>
      </w:r>
    </w:p>
    <w:p w14:paraId="5B7EB417" w14:textId="4026BB9B" w:rsidR="00BC275A" w:rsidRDefault="005B5FD3" w:rsidP="00A82574">
      <w:pPr>
        <w:pStyle w:val="ListParagraph"/>
        <w:numPr>
          <w:ilvl w:val="0"/>
          <w:numId w:val="9"/>
        </w:numPr>
        <w:jc w:val="both"/>
      </w:pPr>
      <w:r w:rsidRPr="00D2103F">
        <w:rPr>
          <w:b/>
          <w:bCs/>
        </w:rPr>
        <w:t>Reactivation</w:t>
      </w:r>
      <w:r w:rsidR="00D2103F">
        <w:rPr>
          <w:b/>
          <w:bCs/>
        </w:rPr>
        <w:t xml:space="preserve"> </w:t>
      </w:r>
      <w:r w:rsidRPr="00D2103F">
        <w:rPr>
          <w:b/>
          <w:bCs/>
        </w:rPr>
        <w:t>tagging</w:t>
      </w:r>
      <w:r w:rsidR="00D2103F">
        <w:rPr>
          <w:b/>
          <w:bCs/>
        </w:rPr>
        <w:t xml:space="preserve"> (In </w:t>
      </w:r>
      <w:r w:rsidRPr="00D2103F">
        <w:rPr>
          <w:b/>
          <w:bCs/>
        </w:rPr>
        <w:t>days</w:t>
      </w:r>
      <w:r w:rsidR="00D2103F">
        <w:rPr>
          <w:b/>
          <w:bCs/>
        </w:rPr>
        <w:t>)</w:t>
      </w:r>
      <w:r w:rsidRPr="00D2103F">
        <w:rPr>
          <w:b/>
          <w:bCs/>
        </w:rPr>
        <w:t>:</w:t>
      </w:r>
      <w:r w:rsidR="00D2103F">
        <w:t xml:space="preserve"> </w:t>
      </w:r>
      <w:r w:rsidR="00B54C60" w:rsidRPr="00B54C60">
        <w:t>I created buckets for reactivation days to analyse how long it takes for customers to visit again. This helps us identify patterns, such as how quickly customers return or when they start becoming inactive.</w:t>
      </w:r>
      <w:r w:rsidR="00CC176D">
        <w:t xml:space="preserve"> </w:t>
      </w:r>
      <w:r w:rsidR="00B54C60" w:rsidRPr="00B54C60">
        <w:t>By grouping reactivation days into buckets, we gain insights into when customers are most likely to engage again, allowing us to time win-back strategies effectively</w:t>
      </w:r>
      <w:r w:rsidR="00B54C60">
        <w:t>.</w:t>
      </w:r>
    </w:p>
    <w:p w14:paraId="5DA1EF9B" w14:textId="77777777" w:rsidR="004462A2" w:rsidRDefault="004462A2" w:rsidP="00A82574">
      <w:pPr>
        <w:pStyle w:val="ListParagraph"/>
        <w:ind w:left="501"/>
        <w:jc w:val="both"/>
      </w:pPr>
    </w:p>
    <w:p w14:paraId="1BA3B6B3" w14:textId="4DAC0F9E" w:rsidR="00BC275A" w:rsidRDefault="00A328E8" w:rsidP="00A82574">
      <w:pPr>
        <w:pStyle w:val="ListParagraph"/>
        <w:numPr>
          <w:ilvl w:val="0"/>
          <w:numId w:val="7"/>
        </w:numPr>
        <w:jc w:val="both"/>
      </w:pPr>
      <w:r w:rsidRPr="00A328E8">
        <w:t xml:space="preserve">On average, the total monthly sales amount to </w:t>
      </w:r>
      <w:r w:rsidRPr="000D3EED">
        <w:rPr>
          <w:b/>
          <w:bCs/>
        </w:rPr>
        <w:t>₹80.32 Cr</w:t>
      </w:r>
      <w:r w:rsidRPr="00A328E8">
        <w:t xml:space="preserve">. However, sales in </w:t>
      </w:r>
      <w:r w:rsidRPr="000D3EED">
        <w:rPr>
          <w:b/>
          <w:bCs/>
        </w:rPr>
        <w:t>February, June, September, and November</w:t>
      </w:r>
      <w:r w:rsidRPr="00A328E8">
        <w:t xml:space="preserve"> consistently fell below this average, indicating underperformance during these months. In contrast, </w:t>
      </w:r>
      <w:r w:rsidRPr="000D3EED">
        <w:rPr>
          <w:b/>
          <w:bCs/>
        </w:rPr>
        <w:t>August</w:t>
      </w:r>
      <w:r w:rsidRPr="00A328E8">
        <w:t xml:space="preserve"> emerged as an exceptionally high-performing month, significantly surpassing the average sales, suggesting a strong seasonal or promotional impact driving sales during this period.</w:t>
      </w:r>
    </w:p>
    <w:p w14:paraId="54AEBFEE" w14:textId="2B322A2A" w:rsidR="00BC275A" w:rsidRDefault="00516943" w:rsidP="00A82574">
      <w:pPr>
        <w:jc w:val="both"/>
      </w:pPr>
      <w:r>
        <w:rPr>
          <w:noProof/>
        </w:rPr>
        <w:drawing>
          <wp:inline distT="0" distB="0" distL="0" distR="0" wp14:anchorId="3E885E68" wp14:editId="5E59D1B9">
            <wp:extent cx="5731510" cy="2116455"/>
            <wp:effectExtent l="0" t="0" r="2540" b="17145"/>
            <wp:docPr id="545411308" name="Chart 3">
              <a:extLst xmlns:a="http://schemas.openxmlformats.org/drawingml/2006/main">
                <a:ext uri="{FF2B5EF4-FFF2-40B4-BE49-F238E27FC236}">
                  <a16:creationId xmlns:a16="http://schemas.microsoft.com/office/drawing/2014/main" id="{412215CC-057B-C356-222F-A4FBC441F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081BD2" w14:textId="77777777" w:rsidR="00A328E8" w:rsidRDefault="00A328E8" w:rsidP="00A82574">
      <w:pPr>
        <w:jc w:val="both"/>
      </w:pPr>
    </w:p>
    <w:p w14:paraId="417C3083" w14:textId="2D5D0C47" w:rsidR="00A328E8" w:rsidRPr="00CF7512" w:rsidRDefault="00A328E8" w:rsidP="00A82574">
      <w:pPr>
        <w:pStyle w:val="ListParagraph"/>
        <w:numPr>
          <w:ilvl w:val="0"/>
          <w:numId w:val="10"/>
        </w:numPr>
        <w:jc w:val="both"/>
        <w:rPr>
          <w:b/>
          <w:bCs/>
          <w:u w:val="single"/>
        </w:rPr>
      </w:pPr>
      <w:r w:rsidRPr="00CF7512">
        <w:rPr>
          <w:b/>
          <w:bCs/>
          <w:u w:val="single"/>
        </w:rPr>
        <w:t>Payment method:</w:t>
      </w:r>
    </w:p>
    <w:p w14:paraId="5ED42AA4" w14:textId="60A94585" w:rsidR="00A328E8" w:rsidRDefault="00A328E8" w:rsidP="00A82574">
      <w:pPr>
        <w:pStyle w:val="ListParagraph"/>
        <w:numPr>
          <w:ilvl w:val="0"/>
          <w:numId w:val="11"/>
        </w:numPr>
        <w:jc w:val="both"/>
      </w:pPr>
      <w:r w:rsidRPr="00CF7512">
        <w:rPr>
          <w:b/>
          <w:bCs/>
        </w:rPr>
        <w:t>UPI</w:t>
      </w:r>
      <w:r w:rsidRPr="00A328E8">
        <w:t xml:space="preserve"> transactions processed the highest </w:t>
      </w:r>
      <w:r w:rsidRPr="00CF7512">
        <w:rPr>
          <w:b/>
          <w:bCs/>
        </w:rPr>
        <w:t>total quantity (9,14,282)</w:t>
      </w:r>
      <w:r w:rsidRPr="00A328E8">
        <w:t>, yet total sales from UPI are lower than Debit Card and Cash. This suggests UPI transactions might involve lower-priced items or smaller purchase sizes</w:t>
      </w:r>
      <w:r w:rsidR="00B1017D" w:rsidRPr="00A328E8">
        <w:t>.</w:t>
      </w:r>
      <w:r w:rsidR="00B1017D">
        <w:t xml:space="preserve"> (</w:t>
      </w:r>
      <w:r w:rsidR="00C15B6D">
        <w:t>refer excel sheet</w:t>
      </w:r>
      <w:r w:rsidR="006E0176">
        <w:t>)</w:t>
      </w:r>
    </w:p>
    <w:p w14:paraId="0AADFFE1" w14:textId="17EFF7FA" w:rsidR="002C00D9" w:rsidRDefault="002C00D9" w:rsidP="00A82574">
      <w:pPr>
        <w:pStyle w:val="ListParagraph"/>
        <w:numPr>
          <w:ilvl w:val="0"/>
          <w:numId w:val="11"/>
        </w:numPr>
        <w:jc w:val="both"/>
      </w:pPr>
      <w:r w:rsidRPr="002C00D9">
        <w:t xml:space="preserve">The </w:t>
      </w:r>
      <w:r w:rsidRPr="00CF7512">
        <w:rPr>
          <w:b/>
          <w:bCs/>
        </w:rPr>
        <w:t>26–35</w:t>
      </w:r>
      <w:r w:rsidRPr="002C00D9">
        <w:t xml:space="preserve"> age group has the highest total transactions (</w:t>
      </w:r>
      <w:r w:rsidRPr="00CF7512">
        <w:rPr>
          <w:b/>
          <w:bCs/>
        </w:rPr>
        <w:t>79,001</w:t>
      </w:r>
      <w:r w:rsidRPr="002C00D9">
        <w:t>), indicating this segment as the most active and potentially the most valuable target audience for marketing efforts.</w:t>
      </w:r>
    </w:p>
    <w:p w14:paraId="0C389B70" w14:textId="03B17350" w:rsidR="002C00D9" w:rsidRDefault="002C00D9" w:rsidP="00A82574">
      <w:pPr>
        <w:pStyle w:val="ListParagraph"/>
        <w:numPr>
          <w:ilvl w:val="0"/>
          <w:numId w:val="11"/>
        </w:numPr>
        <w:jc w:val="both"/>
      </w:pPr>
      <w:r w:rsidRPr="002C00D9">
        <w:t xml:space="preserve">The </w:t>
      </w:r>
      <w:r w:rsidRPr="00CF7512">
        <w:rPr>
          <w:b/>
          <w:bCs/>
        </w:rPr>
        <w:t>18–25</w:t>
      </w:r>
      <w:r w:rsidRPr="002C00D9">
        <w:t xml:space="preserve"> age group shows a slight inclination towards </w:t>
      </w:r>
      <w:r w:rsidRPr="00CF7512">
        <w:rPr>
          <w:b/>
          <w:bCs/>
        </w:rPr>
        <w:t>Online</w:t>
      </w:r>
      <w:r w:rsidRPr="002C00D9">
        <w:t xml:space="preserve"> shopping (</w:t>
      </w:r>
      <w:r w:rsidRPr="00CF7512">
        <w:rPr>
          <w:b/>
          <w:bCs/>
        </w:rPr>
        <w:t>7.01%</w:t>
      </w:r>
      <w:r w:rsidRPr="002C00D9">
        <w:t>) compared to In-Store (</w:t>
      </w:r>
      <w:r w:rsidRPr="00CF7512">
        <w:rPr>
          <w:b/>
          <w:bCs/>
        </w:rPr>
        <w:t>6.98%</w:t>
      </w:r>
      <w:r w:rsidRPr="002C00D9">
        <w:t>), suggesting a potential opportunity to expand digital engagement for this segment.</w:t>
      </w:r>
    </w:p>
    <w:p w14:paraId="6D5DCCFF" w14:textId="5C26E220" w:rsidR="002C00D9" w:rsidRDefault="002C00D9" w:rsidP="00A82574">
      <w:pPr>
        <w:pStyle w:val="ListParagraph"/>
        <w:numPr>
          <w:ilvl w:val="0"/>
          <w:numId w:val="10"/>
        </w:numPr>
        <w:jc w:val="both"/>
      </w:pPr>
      <w:r w:rsidRPr="002C00D9">
        <w:lastRenderedPageBreak/>
        <w:t xml:space="preserve">Although marginal, the </w:t>
      </w:r>
      <w:r w:rsidRPr="00CF7512">
        <w:rPr>
          <w:b/>
          <w:bCs/>
        </w:rPr>
        <w:t>66–75</w:t>
      </w:r>
      <w:r w:rsidRPr="002C00D9">
        <w:t xml:space="preserve"> age group has a </w:t>
      </w:r>
      <w:r w:rsidRPr="00CF7512">
        <w:rPr>
          <w:b/>
          <w:bCs/>
        </w:rPr>
        <w:t>negative percent difference (-0.02%)</w:t>
      </w:r>
      <w:r w:rsidRPr="002C00D9">
        <w:t xml:space="preserve">, showing a slightly higher preference for </w:t>
      </w:r>
      <w:r w:rsidRPr="00CF7512">
        <w:rPr>
          <w:b/>
          <w:bCs/>
        </w:rPr>
        <w:t>In-Store</w:t>
      </w:r>
      <w:r w:rsidRPr="002C00D9">
        <w:t xml:space="preserve"> shopping compared to Online, which might suggest a preference for traditional shopping experiences in older demographics.</w:t>
      </w:r>
    </w:p>
    <w:p w14:paraId="7AE93653" w14:textId="27F56E0F" w:rsidR="00A6794D" w:rsidRDefault="00F145E9" w:rsidP="00A82574">
      <w:pPr>
        <w:pStyle w:val="ListParagraph"/>
        <w:numPr>
          <w:ilvl w:val="0"/>
          <w:numId w:val="10"/>
        </w:numPr>
        <w:jc w:val="both"/>
      </w:pPr>
      <w:r w:rsidRPr="00F145E9">
        <w:t xml:space="preserve">The </w:t>
      </w:r>
      <w:r w:rsidRPr="00CF7512">
        <w:rPr>
          <w:b/>
          <w:bCs/>
        </w:rPr>
        <w:t>66-75</w:t>
      </w:r>
      <w:r w:rsidRPr="00F145E9">
        <w:t xml:space="preserve"> age group shows the lowest percentages, particularly for products like Notebook</w:t>
      </w:r>
      <w:r>
        <w:t xml:space="preserve"> </w:t>
      </w:r>
      <w:r w:rsidRPr="00F145E9">
        <w:t>(</w:t>
      </w:r>
      <w:r w:rsidRPr="00CF7512">
        <w:rPr>
          <w:b/>
          <w:bCs/>
        </w:rPr>
        <w:t>15.47%</w:t>
      </w:r>
      <w:r w:rsidRPr="00F145E9">
        <w:t>) and Laptop</w:t>
      </w:r>
      <w:r>
        <w:t xml:space="preserve"> </w:t>
      </w:r>
      <w:r w:rsidRPr="00F145E9">
        <w:t>(</w:t>
      </w:r>
      <w:r w:rsidRPr="00CF7512">
        <w:rPr>
          <w:b/>
          <w:bCs/>
        </w:rPr>
        <w:t>15.42%</w:t>
      </w:r>
      <w:r w:rsidRPr="00F145E9">
        <w:t>), suggesting lower engagement or spending from this older demographic.</w:t>
      </w:r>
    </w:p>
    <w:p w14:paraId="6BE74050" w14:textId="77777777" w:rsidR="00EC5805" w:rsidRDefault="00EC5805" w:rsidP="00A82574">
      <w:pPr>
        <w:pStyle w:val="ListParagraph"/>
        <w:ind w:left="360"/>
        <w:jc w:val="both"/>
      </w:pPr>
    </w:p>
    <w:p w14:paraId="11D84BB9" w14:textId="3CBCFC69" w:rsidR="00A035BD" w:rsidRPr="00EC5805" w:rsidRDefault="00A035BD" w:rsidP="00A82574">
      <w:pPr>
        <w:pStyle w:val="ListParagraph"/>
        <w:numPr>
          <w:ilvl w:val="0"/>
          <w:numId w:val="10"/>
        </w:numPr>
        <w:jc w:val="both"/>
        <w:rPr>
          <w:b/>
          <w:u w:val="single"/>
        </w:rPr>
      </w:pPr>
      <w:r w:rsidRPr="00EC5805">
        <w:rPr>
          <w:b/>
          <w:u w:val="single"/>
        </w:rPr>
        <w:t>Spending</w:t>
      </w:r>
      <w:r w:rsidR="00EC5805" w:rsidRPr="00EC5805">
        <w:rPr>
          <w:b/>
          <w:bCs/>
          <w:u w:val="single"/>
        </w:rPr>
        <w:t xml:space="preserve"> B</w:t>
      </w:r>
      <w:r w:rsidRPr="00EC5805">
        <w:rPr>
          <w:b/>
          <w:bCs/>
          <w:u w:val="single"/>
        </w:rPr>
        <w:t>ucket</w:t>
      </w:r>
      <w:r w:rsidR="00EC5805" w:rsidRPr="00EC5805">
        <w:rPr>
          <w:b/>
          <w:bCs/>
          <w:u w:val="single"/>
        </w:rPr>
        <w:t xml:space="preserve"> T</w:t>
      </w:r>
      <w:r w:rsidRPr="00EC5805">
        <w:rPr>
          <w:b/>
          <w:bCs/>
          <w:u w:val="single"/>
        </w:rPr>
        <w:t>ag</w:t>
      </w:r>
      <w:r w:rsidRPr="00EC5805">
        <w:rPr>
          <w:b/>
          <w:u w:val="single"/>
        </w:rPr>
        <w:t>:</w:t>
      </w:r>
    </w:p>
    <w:p w14:paraId="6D14C014" w14:textId="384CA57B" w:rsidR="00BE5D18" w:rsidRDefault="00BE5D18" w:rsidP="00A82574">
      <w:pPr>
        <w:pStyle w:val="ListParagraph"/>
        <w:numPr>
          <w:ilvl w:val="0"/>
          <w:numId w:val="26"/>
        </w:numPr>
        <w:jc w:val="both"/>
      </w:pPr>
      <w:r w:rsidRPr="00BE5D18">
        <w:t xml:space="preserve">The </w:t>
      </w:r>
      <w:r w:rsidRPr="00BE5D18">
        <w:rPr>
          <w:b/>
          <w:bCs/>
        </w:rPr>
        <w:t>&gt;3L bucket</w:t>
      </w:r>
      <w:r w:rsidRPr="00BE5D18">
        <w:t xml:space="preserve"> includes </w:t>
      </w:r>
      <w:r w:rsidRPr="00BE5D18">
        <w:rPr>
          <w:b/>
          <w:bCs/>
        </w:rPr>
        <w:t>7,344 customers (15%)</w:t>
      </w:r>
      <w:r w:rsidRPr="00BE5D18">
        <w:t>, indicating a strong presence of high-value customers.</w:t>
      </w:r>
      <w:r w:rsidR="004462A2">
        <w:t xml:space="preserve"> </w:t>
      </w:r>
      <w:r>
        <w:t>So</w:t>
      </w:r>
      <w:r w:rsidR="004462A2">
        <w:t>,</w:t>
      </w:r>
      <w:r>
        <w:t xml:space="preserve"> we can </w:t>
      </w:r>
      <w:r w:rsidR="00DB47A1">
        <w:t>Consider these 15% bucket as revenue driver of the business.</w:t>
      </w:r>
    </w:p>
    <w:p w14:paraId="148F5745" w14:textId="0F162648" w:rsidR="00937D77" w:rsidRDefault="00937D77" w:rsidP="00A82574">
      <w:pPr>
        <w:pStyle w:val="ListParagraph"/>
        <w:numPr>
          <w:ilvl w:val="0"/>
          <w:numId w:val="26"/>
        </w:numPr>
        <w:jc w:val="both"/>
      </w:pPr>
      <w:r w:rsidRPr="00937D77">
        <w:t xml:space="preserve">Customers in the </w:t>
      </w:r>
      <w:r w:rsidRPr="00937D77">
        <w:rPr>
          <w:b/>
          <w:bCs/>
        </w:rPr>
        <w:t>1L-1.5L (8,737)</w:t>
      </w:r>
      <w:r w:rsidRPr="00937D77">
        <w:t xml:space="preserve"> and </w:t>
      </w:r>
      <w:r w:rsidRPr="00937D77">
        <w:rPr>
          <w:b/>
          <w:bCs/>
        </w:rPr>
        <w:t>1.5L-2L (8,927)</w:t>
      </w:r>
      <w:r w:rsidRPr="00937D77">
        <w:t xml:space="preserve"> buckets together account for </w:t>
      </w:r>
      <w:r w:rsidRPr="00937D77">
        <w:rPr>
          <w:b/>
          <w:bCs/>
        </w:rPr>
        <w:t>36% of the total customers</w:t>
      </w:r>
      <w:r>
        <w:t xml:space="preserve"> and these is Core customer base.</w:t>
      </w:r>
    </w:p>
    <w:p w14:paraId="752F709E" w14:textId="60366A40" w:rsidR="00EA4D08" w:rsidRDefault="00EA4D08" w:rsidP="00A82574">
      <w:pPr>
        <w:pStyle w:val="ListParagraph"/>
        <w:numPr>
          <w:ilvl w:val="0"/>
          <w:numId w:val="26"/>
        </w:numPr>
        <w:jc w:val="both"/>
      </w:pPr>
      <w:r w:rsidRPr="00EA4D08">
        <w:t xml:space="preserve">The </w:t>
      </w:r>
      <w:r w:rsidRPr="00EA4D08">
        <w:rPr>
          <w:b/>
          <w:bCs/>
        </w:rPr>
        <w:t>0-50K bucket</w:t>
      </w:r>
      <w:r w:rsidRPr="00EA4D08">
        <w:t xml:space="preserve"> includes only </w:t>
      </w:r>
      <w:r w:rsidRPr="00EA4D08">
        <w:rPr>
          <w:b/>
          <w:bCs/>
        </w:rPr>
        <w:t>3,981 customers (8%)</w:t>
      </w:r>
      <w:r w:rsidRPr="00EA4D08">
        <w:t>,</w:t>
      </w:r>
      <w:r>
        <w:t xml:space="preserve"> is</w:t>
      </w:r>
      <w:r w:rsidRPr="00EA4D08">
        <w:t xml:space="preserve"> the smallest segment.</w:t>
      </w:r>
    </w:p>
    <w:p w14:paraId="1D65DB43" w14:textId="550A1708" w:rsidR="002B7AA9" w:rsidRDefault="002B7AA9" w:rsidP="00A82574">
      <w:pPr>
        <w:pStyle w:val="ListParagraph"/>
        <w:numPr>
          <w:ilvl w:val="0"/>
          <w:numId w:val="26"/>
        </w:numPr>
        <w:jc w:val="both"/>
      </w:pPr>
      <w:r w:rsidRPr="002B7AA9">
        <w:t xml:space="preserve">The </w:t>
      </w:r>
      <w:r w:rsidRPr="002B7AA9">
        <w:rPr>
          <w:b/>
          <w:bCs/>
        </w:rPr>
        <w:t>2.5L-3L bucket (5,391 customers)</w:t>
      </w:r>
      <w:r w:rsidRPr="002B7AA9">
        <w:t xml:space="preserve"> is significantly smaller compared to the </w:t>
      </w:r>
      <w:r w:rsidRPr="002B7AA9">
        <w:rPr>
          <w:b/>
          <w:bCs/>
        </w:rPr>
        <w:t>1.5L-2L bucket (8,927)</w:t>
      </w:r>
      <w:r w:rsidRPr="002B7AA9">
        <w:t>, showing a potential challenge in transitioning mid-spenders to the highest-spending tier.</w:t>
      </w:r>
      <w:r w:rsidR="00BA61A0" w:rsidRPr="00BA61A0">
        <w:t xml:space="preserve"> Customers in the 2.5L-3L range might stagnate or drop out if they're not adequately incentivized to cross into the &gt;3L segment.</w:t>
      </w:r>
    </w:p>
    <w:p w14:paraId="23840AC5" w14:textId="60FB9EB1" w:rsidR="002E2818" w:rsidRDefault="002E2818" w:rsidP="00A82574">
      <w:pPr>
        <w:pStyle w:val="ListParagraph"/>
        <w:numPr>
          <w:ilvl w:val="0"/>
          <w:numId w:val="26"/>
        </w:numPr>
        <w:jc w:val="both"/>
      </w:pPr>
      <w:r>
        <w:t xml:space="preserve">There is no significant difference in </w:t>
      </w:r>
      <w:r w:rsidR="00916753">
        <w:t>spending power bifurcated by gender wise.</w:t>
      </w:r>
    </w:p>
    <w:p w14:paraId="0B5D3493" w14:textId="266E0919" w:rsidR="00823E74" w:rsidRPr="00534E4D" w:rsidRDefault="00724E75" w:rsidP="00A82574">
      <w:pPr>
        <w:pStyle w:val="ListParagraph"/>
        <w:numPr>
          <w:ilvl w:val="0"/>
          <w:numId w:val="26"/>
        </w:numPr>
        <w:jc w:val="both"/>
      </w:pPr>
      <w:r w:rsidRPr="00724E75">
        <w:rPr>
          <w:b/>
          <w:bCs/>
        </w:rPr>
        <w:t>East</w:t>
      </w:r>
      <w:r w:rsidR="0023042C">
        <w:rPr>
          <w:b/>
          <w:bCs/>
        </w:rPr>
        <w:t xml:space="preserve"> region</w:t>
      </w:r>
      <w:r w:rsidRPr="00724E75">
        <w:rPr>
          <w:b/>
          <w:bCs/>
        </w:rPr>
        <w:t xml:space="preserve"> </w:t>
      </w:r>
      <w:r>
        <w:rPr>
          <w:b/>
          <w:bCs/>
        </w:rPr>
        <w:t xml:space="preserve">shares </w:t>
      </w:r>
      <w:r w:rsidRPr="00724E75">
        <w:rPr>
          <w:b/>
          <w:bCs/>
        </w:rPr>
        <w:t xml:space="preserve">highest </w:t>
      </w:r>
      <w:r>
        <w:rPr>
          <w:b/>
          <w:bCs/>
        </w:rPr>
        <w:t xml:space="preserve">contribution </w:t>
      </w:r>
      <w:r w:rsidRPr="00724E75">
        <w:rPr>
          <w:b/>
          <w:bCs/>
        </w:rPr>
        <w:t>in the &gt;3L bucket (4.08%)</w:t>
      </w:r>
      <w:r w:rsidRPr="00724E75">
        <w:t>, indicating strong high-spending customers</w:t>
      </w:r>
      <w:r>
        <w:t xml:space="preserve"> from east region.</w:t>
      </w:r>
    </w:p>
    <w:p w14:paraId="3FFA3C89" w14:textId="003D33BA" w:rsidR="001855BE" w:rsidRDefault="00207C2F" w:rsidP="00A82574">
      <w:pPr>
        <w:pStyle w:val="ListParagraph"/>
        <w:numPr>
          <w:ilvl w:val="0"/>
          <w:numId w:val="26"/>
        </w:numPr>
        <w:jc w:val="both"/>
        <w:rPr>
          <w:b/>
          <w:bCs/>
        </w:rPr>
      </w:pPr>
      <w:r w:rsidRPr="00207C2F">
        <w:t xml:space="preserve">The </w:t>
      </w:r>
      <w:r w:rsidRPr="00207C2F">
        <w:rPr>
          <w:b/>
          <w:bCs/>
        </w:rPr>
        <w:t>&gt;3L bucket share (3.90%)</w:t>
      </w:r>
      <w:r w:rsidRPr="00207C2F">
        <w:t xml:space="preserve"> is lower </w:t>
      </w:r>
      <w:r>
        <w:t xml:space="preserve">in </w:t>
      </w:r>
      <w:r w:rsidRPr="00207C2F">
        <w:rPr>
          <w:b/>
          <w:bCs/>
        </w:rPr>
        <w:t>North</w:t>
      </w:r>
      <w:r>
        <w:t xml:space="preserve"> </w:t>
      </w:r>
      <w:r w:rsidRPr="00207C2F">
        <w:t xml:space="preserve">compared </w:t>
      </w:r>
      <w:r w:rsidRPr="00207C2F">
        <w:rPr>
          <w:b/>
          <w:bCs/>
        </w:rPr>
        <w:t>to East and South.</w:t>
      </w:r>
    </w:p>
    <w:p w14:paraId="38860D77" w14:textId="77777777" w:rsidR="00DD19BD" w:rsidRDefault="00DD19BD" w:rsidP="00A82574">
      <w:pPr>
        <w:pStyle w:val="ListParagraph"/>
        <w:ind w:left="501"/>
        <w:jc w:val="both"/>
        <w:rPr>
          <w:b/>
          <w:bCs/>
        </w:rPr>
      </w:pPr>
    </w:p>
    <w:p w14:paraId="4FC62324" w14:textId="04D2821E" w:rsidR="00207C2F" w:rsidRPr="0072472C" w:rsidRDefault="00256528" w:rsidP="00A82574">
      <w:pPr>
        <w:pStyle w:val="ListParagraph"/>
        <w:numPr>
          <w:ilvl w:val="0"/>
          <w:numId w:val="10"/>
        </w:numPr>
        <w:jc w:val="both"/>
        <w:rPr>
          <w:b/>
          <w:u w:val="single"/>
        </w:rPr>
      </w:pPr>
      <w:r w:rsidRPr="0072472C">
        <w:rPr>
          <w:b/>
          <w:u w:val="single"/>
        </w:rPr>
        <w:t xml:space="preserve">Loyalty </w:t>
      </w:r>
      <w:r w:rsidR="001F2CD9" w:rsidRPr="0072472C">
        <w:rPr>
          <w:b/>
          <w:u w:val="single"/>
        </w:rPr>
        <w:t>Points: -</w:t>
      </w:r>
    </w:p>
    <w:p w14:paraId="46727F03" w14:textId="77777777" w:rsidR="001B3F30" w:rsidRPr="001F2CD9" w:rsidRDefault="001B3F30" w:rsidP="00A82574">
      <w:pPr>
        <w:pStyle w:val="ListParagraph"/>
        <w:numPr>
          <w:ilvl w:val="0"/>
          <w:numId w:val="19"/>
        </w:numPr>
        <w:jc w:val="both"/>
      </w:pPr>
      <w:r w:rsidRPr="001F2CD9">
        <w:t>The largest bucket (6001-8000 points) has 41,393 customers, just 290 more than the smallest bucket (0-2000 points), indicating no major dominance of any bucket.</w:t>
      </w:r>
    </w:p>
    <w:p w14:paraId="317F68F6" w14:textId="77777777" w:rsidR="001B3F30" w:rsidRPr="001F2CD9" w:rsidRDefault="001B3F30" w:rsidP="00A82574">
      <w:pPr>
        <w:pStyle w:val="ListParagraph"/>
        <w:numPr>
          <w:ilvl w:val="0"/>
          <w:numId w:val="19"/>
        </w:numPr>
        <w:jc w:val="both"/>
      </w:pPr>
      <w:r w:rsidRPr="001F2CD9">
        <w:t>The highest transaction count (100,520) is observed in the 4001-6000 bucket, indicating high engagement from customers in this tier.</w:t>
      </w:r>
    </w:p>
    <w:p w14:paraId="7FEA7B28" w14:textId="77777777" w:rsidR="001B3F30" w:rsidRDefault="001B3F30" w:rsidP="00A82574">
      <w:pPr>
        <w:pStyle w:val="ListParagraph"/>
        <w:numPr>
          <w:ilvl w:val="0"/>
          <w:numId w:val="19"/>
        </w:numPr>
        <w:jc w:val="both"/>
      </w:pPr>
      <w:r w:rsidRPr="001F2CD9">
        <w:t>Despite accumulating high loyalty points, customers in the greater than 8000 points buckets exhibit a lower transaction frequency (2.42</w:t>
      </w:r>
      <w:proofErr w:type="gramStart"/>
      <w:r w:rsidRPr="001F2CD9">
        <w:t>)</w:t>
      </w:r>
      <w:proofErr w:type="gramEnd"/>
      <w:r w:rsidRPr="001F2CD9">
        <w:t xml:space="preserve"> and reduced engagement compared to other tiers.</w:t>
      </w:r>
    </w:p>
    <w:p w14:paraId="10A2EEAE" w14:textId="77777777" w:rsidR="0072472C" w:rsidRDefault="0072472C" w:rsidP="00A82574">
      <w:pPr>
        <w:pStyle w:val="ListParagraph"/>
        <w:ind w:left="501"/>
        <w:jc w:val="both"/>
      </w:pPr>
    </w:p>
    <w:p w14:paraId="6A291E0B" w14:textId="23E27949" w:rsidR="001B3F30" w:rsidRPr="0072472C" w:rsidRDefault="001B3F30" w:rsidP="00A82574">
      <w:pPr>
        <w:pStyle w:val="ListParagraph"/>
        <w:numPr>
          <w:ilvl w:val="0"/>
          <w:numId w:val="10"/>
        </w:numPr>
        <w:jc w:val="both"/>
        <w:rPr>
          <w:b/>
          <w:u w:val="single"/>
        </w:rPr>
      </w:pPr>
      <w:r w:rsidRPr="0072472C">
        <w:rPr>
          <w:b/>
          <w:u w:val="single"/>
        </w:rPr>
        <w:t>Product</w:t>
      </w:r>
      <w:r w:rsidR="18440112" w:rsidRPr="0072472C">
        <w:rPr>
          <w:b/>
          <w:bCs/>
          <w:u w:val="single"/>
        </w:rPr>
        <w:t>:</w:t>
      </w:r>
    </w:p>
    <w:p w14:paraId="67EDC511" w14:textId="3C2219F4" w:rsidR="00220E39" w:rsidRPr="00220E39" w:rsidRDefault="00F4255C" w:rsidP="00A82574">
      <w:pPr>
        <w:pStyle w:val="ListParagraph"/>
        <w:numPr>
          <w:ilvl w:val="0"/>
          <w:numId w:val="21"/>
        </w:numPr>
        <w:jc w:val="both"/>
      </w:pPr>
      <w:r w:rsidRPr="00F4255C">
        <w:t>Lucknow ranks second among cities in terms of the number of transactions, demonstrating strong customer engagement. However, Delhi takes the second spot in total quantities purchased, indicating higher purchase volumes per transaction in the region</w:t>
      </w:r>
    </w:p>
    <w:p w14:paraId="30655453" w14:textId="77777777" w:rsidR="00954675" w:rsidRDefault="00954675" w:rsidP="00A82574">
      <w:pPr>
        <w:pStyle w:val="ListParagraph"/>
        <w:numPr>
          <w:ilvl w:val="0"/>
          <w:numId w:val="21"/>
        </w:numPr>
        <w:jc w:val="both"/>
      </w:pPr>
      <w:r w:rsidRPr="00220E39">
        <w:t>The feedback distribution across all products and scores remains consistent, with no significant variance observed. This indicates that feedback scores are not contributing to any measurable differentiation between products.</w:t>
      </w:r>
    </w:p>
    <w:p w14:paraId="0D82A1C4" w14:textId="7B6D1C72" w:rsidR="0072472C" w:rsidRDefault="004819FA" w:rsidP="0033765E">
      <w:pPr>
        <w:pStyle w:val="ListParagraph"/>
        <w:numPr>
          <w:ilvl w:val="0"/>
          <w:numId w:val="21"/>
        </w:numPr>
        <w:jc w:val="both"/>
      </w:pPr>
      <w:r w:rsidRPr="004819FA">
        <w:t xml:space="preserve">Conversely, </w:t>
      </w:r>
      <w:r w:rsidRPr="004819FA">
        <w:rPr>
          <w:b/>
          <w:bCs/>
        </w:rPr>
        <w:t>Ahmedabad</w:t>
      </w:r>
      <w:r w:rsidRPr="004819FA">
        <w:t xml:space="preserve"> and </w:t>
      </w:r>
      <w:r w:rsidRPr="004819FA">
        <w:rPr>
          <w:b/>
          <w:bCs/>
        </w:rPr>
        <w:t>Mumbai</w:t>
      </w:r>
      <w:r w:rsidRPr="004819FA">
        <w:t xml:space="preserve"> show relatively lower transaction counts across categories, suggesting potential opportunities to improve customer engagement.</w:t>
      </w:r>
    </w:p>
    <w:p w14:paraId="441FF7D2" w14:textId="77777777" w:rsidR="0033765E" w:rsidRDefault="0033765E" w:rsidP="0033765E">
      <w:pPr>
        <w:pStyle w:val="ListParagraph"/>
        <w:ind w:left="501"/>
        <w:jc w:val="both"/>
      </w:pPr>
    </w:p>
    <w:p w14:paraId="061CEB73" w14:textId="659C3307" w:rsidR="004819FA" w:rsidRPr="0072472C" w:rsidRDefault="006A1366" w:rsidP="00A82574">
      <w:pPr>
        <w:pStyle w:val="ListParagraph"/>
        <w:numPr>
          <w:ilvl w:val="0"/>
          <w:numId w:val="10"/>
        </w:numPr>
        <w:jc w:val="both"/>
        <w:rPr>
          <w:b/>
          <w:u w:val="single"/>
        </w:rPr>
      </w:pPr>
      <w:r w:rsidRPr="0072472C">
        <w:rPr>
          <w:b/>
          <w:u w:val="single"/>
        </w:rPr>
        <w:t xml:space="preserve"> </w:t>
      </w:r>
      <w:r w:rsidR="007216CF" w:rsidRPr="0072472C">
        <w:rPr>
          <w:b/>
          <w:u w:val="single"/>
        </w:rPr>
        <w:t xml:space="preserve">Customer </w:t>
      </w:r>
      <w:r w:rsidR="000A3E8E" w:rsidRPr="0072472C">
        <w:rPr>
          <w:b/>
          <w:u w:val="single"/>
        </w:rPr>
        <w:t>retention</w:t>
      </w:r>
      <w:r w:rsidR="007216CF" w:rsidRPr="0072472C">
        <w:rPr>
          <w:b/>
          <w:u w:val="single"/>
        </w:rPr>
        <w:t xml:space="preserve"> duration</w:t>
      </w:r>
      <w:r w:rsidR="0F75FCF1" w:rsidRPr="0072472C">
        <w:rPr>
          <w:b/>
          <w:u w:val="single"/>
        </w:rPr>
        <w:t>: -</w:t>
      </w:r>
    </w:p>
    <w:p w14:paraId="3634BD85" w14:textId="3A52321E" w:rsidR="007216CF" w:rsidRDefault="0006008F" w:rsidP="00A82574">
      <w:pPr>
        <w:pStyle w:val="ListParagraph"/>
        <w:numPr>
          <w:ilvl w:val="0"/>
          <w:numId w:val="22"/>
        </w:numPr>
        <w:jc w:val="both"/>
      </w:pPr>
      <w:r w:rsidRPr="000A3E8E">
        <w:rPr>
          <w:b/>
          <w:bCs/>
        </w:rPr>
        <w:t>Majority Reactivate Quickly:</w:t>
      </w:r>
      <w:r w:rsidRPr="0006008F">
        <w:t xml:space="preserve"> Over half (53.13%) of the customers reactivated within the first 0-60 days, indicating a high initial re-engagement rate.</w:t>
      </w:r>
    </w:p>
    <w:p w14:paraId="297806C1" w14:textId="7079B619" w:rsidR="0006008F" w:rsidRDefault="002F019D" w:rsidP="00A82574">
      <w:pPr>
        <w:pStyle w:val="ListParagraph"/>
        <w:numPr>
          <w:ilvl w:val="0"/>
          <w:numId w:val="22"/>
        </w:numPr>
        <w:jc w:val="both"/>
      </w:pPr>
      <w:r w:rsidRPr="002F019D">
        <w:t>45.30% of customers reactivated within 61-180 days. This shows a significant portion of customers take slightly longer to re-engage</w:t>
      </w:r>
      <w:r>
        <w:t>.</w:t>
      </w:r>
    </w:p>
    <w:p w14:paraId="6FEEF951" w14:textId="0E21EC11" w:rsidR="0072472C" w:rsidRDefault="000A3E8E" w:rsidP="0033765E">
      <w:pPr>
        <w:pStyle w:val="ListParagraph"/>
        <w:numPr>
          <w:ilvl w:val="0"/>
          <w:numId w:val="22"/>
        </w:numPr>
        <w:jc w:val="both"/>
      </w:pPr>
      <w:r w:rsidRPr="000A3E8E">
        <w:t>Only 1.57% of customers reactivated after 180 days (&gt;240 days + 181-240 days). This indicates that reactivation rates drop drastically after six months, suggesting a need to revise or intensify strategies for long-term inactive customers.</w:t>
      </w:r>
    </w:p>
    <w:p w14:paraId="46E14579" w14:textId="4263FEA3" w:rsidR="00DE3079" w:rsidRPr="0072472C" w:rsidRDefault="00DE3079" w:rsidP="00A82574">
      <w:pPr>
        <w:pStyle w:val="ListParagraph"/>
        <w:numPr>
          <w:ilvl w:val="0"/>
          <w:numId w:val="10"/>
        </w:numPr>
        <w:spacing w:after="120"/>
        <w:jc w:val="both"/>
        <w:rPr>
          <w:b/>
          <w:u w:val="single"/>
        </w:rPr>
      </w:pPr>
      <w:proofErr w:type="spellStart"/>
      <w:r w:rsidRPr="0072472C">
        <w:rPr>
          <w:b/>
          <w:u w:val="single"/>
        </w:rPr>
        <w:lastRenderedPageBreak/>
        <w:t>Region_wise</w:t>
      </w:r>
      <w:proofErr w:type="spellEnd"/>
      <w:r w:rsidRPr="0072472C">
        <w:rPr>
          <w:b/>
          <w:bCs/>
          <w:u w:val="single"/>
        </w:rPr>
        <w:t>:</w:t>
      </w:r>
    </w:p>
    <w:p w14:paraId="0911F5F4" w14:textId="78563EDD" w:rsidR="00D04308" w:rsidRDefault="00DE3079" w:rsidP="00A82574">
      <w:pPr>
        <w:pStyle w:val="ListParagraph"/>
        <w:numPr>
          <w:ilvl w:val="0"/>
          <w:numId w:val="23"/>
        </w:numPr>
        <w:jc w:val="both"/>
      </w:pPr>
      <w:r w:rsidRPr="00DE3079">
        <w:t>The South region accounts for the highest number of transactions (159,653) and total sales (₹319.07 crore), making it the strongest-performing region in terms of customer activity and revenue generation.</w:t>
      </w:r>
      <w:r w:rsidR="00954675" w:rsidRPr="00DE3079">
        <w:t xml:space="preserve"> </w:t>
      </w:r>
    </w:p>
    <w:p w14:paraId="225CA40D" w14:textId="2047A2F7" w:rsidR="00DE3079" w:rsidRDefault="001E5A97" w:rsidP="00A82574">
      <w:pPr>
        <w:pStyle w:val="ListParagraph"/>
        <w:numPr>
          <w:ilvl w:val="0"/>
          <w:numId w:val="23"/>
        </w:numPr>
        <w:jc w:val="both"/>
      </w:pPr>
      <w:r w:rsidRPr="001E5A97">
        <w:t xml:space="preserve">The </w:t>
      </w:r>
      <w:r w:rsidRPr="001E5A97">
        <w:rPr>
          <w:b/>
          <w:bCs/>
        </w:rPr>
        <w:t>East region</w:t>
      </w:r>
      <w:r w:rsidRPr="001E5A97">
        <w:t xml:space="preserve"> has the second-highest number of transactions (128,328) but leads in </w:t>
      </w:r>
      <w:r w:rsidRPr="001E5A97">
        <w:rPr>
          <w:b/>
          <w:bCs/>
        </w:rPr>
        <w:t>total quantity purchased</w:t>
      </w:r>
      <w:r w:rsidRPr="001E5A97">
        <w:t xml:space="preserve"> (960,384 units).</w:t>
      </w:r>
    </w:p>
    <w:p w14:paraId="1CA9B694" w14:textId="6F8BF5AB" w:rsidR="00F94D89" w:rsidRDefault="00F94D89" w:rsidP="00A82574">
      <w:pPr>
        <w:pStyle w:val="ListParagraph"/>
        <w:numPr>
          <w:ilvl w:val="0"/>
          <w:numId w:val="23"/>
        </w:numPr>
        <w:jc w:val="both"/>
      </w:pPr>
      <w:r w:rsidRPr="00F94D89">
        <w:t xml:space="preserve">Both </w:t>
      </w:r>
      <w:r w:rsidRPr="00F94D89">
        <w:rPr>
          <w:b/>
          <w:bCs/>
        </w:rPr>
        <w:t>West</w:t>
      </w:r>
      <w:r w:rsidRPr="00F94D89">
        <w:t xml:space="preserve"> and </w:t>
      </w:r>
      <w:r w:rsidRPr="00F94D89">
        <w:rPr>
          <w:b/>
          <w:bCs/>
        </w:rPr>
        <w:t>North regions</w:t>
      </w:r>
      <w:r w:rsidRPr="00F94D89">
        <w:t xml:space="preserve"> show nearly identical figures for transactions (~101,000), distinct customers, and sales. This reflects balanced </w:t>
      </w:r>
      <w:r w:rsidR="00270AE3" w:rsidRPr="00F94D89">
        <w:t>engagement,</w:t>
      </w:r>
      <w:r w:rsidRPr="00F94D89">
        <w:t xml:space="preserve"> but slightly lower performance compared to South and East regions.</w:t>
      </w:r>
    </w:p>
    <w:p w14:paraId="2369ED62" w14:textId="2BD39597" w:rsidR="000E04E6" w:rsidRDefault="00270AE3" w:rsidP="00A82574">
      <w:pPr>
        <w:pStyle w:val="ListParagraph"/>
        <w:numPr>
          <w:ilvl w:val="0"/>
          <w:numId w:val="23"/>
        </w:numPr>
        <w:jc w:val="both"/>
      </w:pPr>
      <w:r w:rsidRPr="00270AE3">
        <w:rPr>
          <w:b/>
          <w:bCs/>
        </w:rPr>
        <w:t>South</w:t>
      </w:r>
      <w:r>
        <w:rPr>
          <w:b/>
          <w:bCs/>
        </w:rPr>
        <w:t xml:space="preserve"> and East</w:t>
      </w:r>
      <w:r w:rsidRPr="00270AE3">
        <w:rPr>
          <w:b/>
          <w:bCs/>
        </w:rPr>
        <w:t xml:space="preserve"> region</w:t>
      </w:r>
      <w:r w:rsidRPr="00270AE3">
        <w:t xml:space="preserve"> has the highest number of returns in quantity (13,428 units), but it still maintains strong overall sales.</w:t>
      </w:r>
      <w:r w:rsidR="00341A69" w:rsidRPr="00341A69">
        <w:t xml:space="preserve"> </w:t>
      </w:r>
      <w:proofErr w:type="spellStart"/>
      <w:r w:rsidR="00341A69" w:rsidRPr="00341A69">
        <w:t>Analyze</w:t>
      </w:r>
      <w:proofErr w:type="spellEnd"/>
      <w:r w:rsidR="00341A69" w:rsidRPr="00341A69">
        <w:t xml:space="preserve"> the root causes of high returns in the South and East regions. This may involve revising quality checks, return policies, or customer support processes.</w:t>
      </w:r>
    </w:p>
    <w:p w14:paraId="58662280" w14:textId="77777777" w:rsidR="000E470B" w:rsidRDefault="000E470B" w:rsidP="00A82574">
      <w:pPr>
        <w:pStyle w:val="ListParagraph"/>
        <w:ind w:left="643"/>
        <w:jc w:val="both"/>
      </w:pPr>
    </w:p>
    <w:p w14:paraId="7978AB93" w14:textId="77777777" w:rsidR="00A24F84" w:rsidRPr="00987C85" w:rsidRDefault="00A24F84" w:rsidP="00A82574">
      <w:pPr>
        <w:pStyle w:val="ListParagraph"/>
        <w:numPr>
          <w:ilvl w:val="0"/>
          <w:numId w:val="10"/>
        </w:numPr>
        <w:spacing w:after="120"/>
        <w:jc w:val="both"/>
        <w:rPr>
          <w:b/>
          <w:u w:val="single"/>
        </w:rPr>
      </w:pPr>
      <w:r w:rsidRPr="00987C85">
        <w:rPr>
          <w:b/>
          <w:u w:val="single"/>
        </w:rPr>
        <w:t>Key Insights and Summary:</w:t>
      </w:r>
    </w:p>
    <w:p w14:paraId="60CD6336" w14:textId="77777777" w:rsidR="00A24F84" w:rsidRPr="00987C85" w:rsidRDefault="00A24F84" w:rsidP="00A82574">
      <w:pPr>
        <w:numPr>
          <w:ilvl w:val="0"/>
          <w:numId w:val="25"/>
        </w:numPr>
        <w:spacing w:after="0"/>
        <w:jc w:val="both"/>
      </w:pPr>
      <w:r w:rsidRPr="00987C85">
        <w:rPr>
          <w:b/>
          <w:bCs/>
        </w:rPr>
        <w:t>Data Pre-processing</w:t>
      </w:r>
      <w:r w:rsidRPr="00987C85">
        <w:t>: Missing fields were updated to NULL or categorized (e.g., Non-member customers), while incorrect data types (dates, amounts) were converted for accuracy.</w:t>
      </w:r>
    </w:p>
    <w:p w14:paraId="33AB883A" w14:textId="7F89B40D" w:rsidR="00A24F84" w:rsidRPr="00987C85" w:rsidRDefault="00A24F84" w:rsidP="00A82574">
      <w:pPr>
        <w:numPr>
          <w:ilvl w:val="0"/>
          <w:numId w:val="25"/>
        </w:numPr>
        <w:spacing w:after="0"/>
        <w:jc w:val="both"/>
      </w:pPr>
      <w:r w:rsidRPr="00987C85">
        <w:rPr>
          <w:b/>
          <w:bCs/>
        </w:rPr>
        <w:t>Dataset Overview</w:t>
      </w:r>
      <w:r w:rsidRPr="00987C85">
        <w:t>: Comprising 500,000 transactions from 48,995 unique customers between Jan 1, 2022, and Dec 14, 2022, with 10% missing customer attributes.</w:t>
      </w:r>
    </w:p>
    <w:p w14:paraId="5695F53B" w14:textId="77777777" w:rsidR="00A24F84" w:rsidRPr="00987C85" w:rsidRDefault="00A24F84" w:rsidP="00A82574">
      <w:pPr>
        <w:numPr>
          <w:ilvl w:val="0"/>
          <w:numId w:val="25"/>
        </w:numPr>
        <w:spacing w:after="0"/>
        <w:jc w:val="both"/>
      </w:pPr>
      <w:r w:rsidRPr="00987C85">
        <w:rPr>
          <w:b/>
          <w:bCs/>
        </w:rPr>
        <w:t>Customer Segmentation</w:t>
      </w:r>
      <w:r w:rsidRPr="00987C85">
        <w:t>: Customers were tagged by purchase frequency (one-timer/multi-timer), spending power, age, and reactivation patterns for targeted strategies.</w:t>
      </w:r>
    </w:p>
    <w:p w14:paraId="51EDC24E" w14:textId="77777777" w:rsidR="00A24F84" w:rsidRPr="00987C85" w:rsidRDefault="00A24F84" w:rsidP="00A82574">
      <w:pPr>
        <w:numPr>
          <w:ilvl w:val="0"/>
          <w:numId w:val="25"/>
        </w:numPr>
        <w:spacing w:after="0"/>
        <w:jc w:val="both"/>
      </w:pPr>
      <w:r w:rsidRPr="00987C85">
        <w:rPr>
          <w:b/>
          <w:bCs/>
        </w:rPr>
        <w:t>Spending Insights</w:t>
      </w:r>
      <w:r w:rsidRPr="00987C85">
        <w:t>: High-value customers (&gt;₹3L bucket) account for 15%, making them revenue drivers. Core customer base lies in ₹1L-₹2L buckets (36%).</w:t>
      </w:r>
    </w:p>
    <w:p w14:paraId="29441D6D" w14:textId="77777777" w:rsidR="00A24F84" w:rsidRPr="00987C85" w:rsidRDefault="00A24F84" w:rsidP="00A82574">
      <w:pPr>
        <w:numPr>
          <w:ilvl w:val="0"/>
          <w:numId w:val="25"/>
        </w:numPr>
        <w:spacing w:after="0"/>
        <w:jc w:val="both"/>
      </w:pPr>
      <w:r w:rsidRPr="00987C85">
        <w:rPr>
          <w:b/>
          <w:bCs/>
        </w:rPr>
        <w:t>Regional Performance</w:t>
      </w:r>
      <w:r w:rsidRPr="00987C85">
        <w:t>: The South leads in sales (₹319.07 Cr), while the East leads in total units sold. Both regions exhibit high returns, requiring quality improvements.</w:t>
      </w:r>
    </w:p>
    <w:p w14:paraId="3529B870" w14:textId="77777777" w:rsidR="00A24F84" w:rsidRPr="00987C85" w:rsidRDefault="00A24F84" w:rsidP="00A82574">
      <w:pPr>
        <w:numPr>
          <w:ilvl w:val="0"/>
          <w:numId w:val="25"/>
        </w:numPr>
        <w:spacing w:after="0"/>
        <w:jc w:val="both"/>
      </w:pPr>
      <w:r w:rsidRPr="00987C85">
        <w:rPr>
          <w:b/>
          <w:bCs/>
        </w:rPr>
        <w:t>Loyalty Points Engagement</w:t>
      </w:r>
      <w:r w:rsidRPr="00987C85">
        <w:t>: Customers with 4,001–6,000 points show the highest transaction activity, while higher-point tiers (&gt;8,000) display reduced engagement.</w:t>
      </w:r>
    </w:p>
    <w:p w14:paraId="1C95725D" w14:textId="77777777" w:rsidR="00A24F84" w:rsidRPr="00987C85" w:rsidRDefault="00A24F84" w:rsidP="00A82574">
      <w:pPr>
        <w:numPr>
          <w:ilvl w:val="0"/>
          <w:numId w:val="25"/>
        </w:numPr>
        <w:spacing w:after="0"/>
        <w:jc w:val="both"/>
      </w:pPr>
      <w:r w:rsidRPr="00987C85">
        <w:rPr>
          <w:b/>
          <w:bCs/>
        </w:rPr>
        <w:t>Payment Method Patterns</w:t>
      </w:r>
      <w:r w:rsidRPr="00987C85">
        <w:t>: UPI dominates in quantity but not value; the 26–35 age group shows the highest activity, while 18–25 leans toward online shopping.</w:t>
      </w:r>
    </w:p>
    <w:p w14:paraId="2C510CD0" w14:textId="77777777" w:rsidR="00A24F84" w:rsidRPr="00987C85" w:rsidRDefault="00A24F84" w:rsidP="00A82574">
      <w:pPr>
        <w:numPr>
          <w:ilvl w:val="0"/>
          <w:numId w:val="25"/>
        </w:numPr>
        <w:spacing w:after="0"/>
        <w:jc w:val="both"/>
      </w:pPr>
      <w:r w:rsidRPr="00987C85">
        <w:rPr>
          <w:b/>
          <w:bCs/>
        </w:rPr>
        <w:t>Seasonal Trends</w:t>
      </w:r>
      <w:r w:rsidRPr="00987C85">
        <w:t>: Monthly sales average ₹80.32 Cr; February, June, September, and November underperform, while August shows exceptional growth.</w:t>
      </w:r>
    </w:p>
    <w:p w14:paraId="3C6555CA" w14:textId="77777777" w:rsidR="00A24F84" w:rsidRPr="00987C85" w:rsidRDefault="00A24F84" w:rsidP="00A82574">
      <w:pPr>
        <w:numPr>
          <w:ilvl w:val="0"/>
          <w:numId w:val="25"/>
        </w:numPr>
        <w:spacing w:after="0"/>
        <w:jc w:val="both"/>
      </w:pPr>
      <w:r w:rsidRPr="00987C85">
        <w:rPr>
          <w:b/>
          <w:bCs/>
        </w:rPr>
        <w:t>Reactivation Trends</w:t>
      </w:r>
      <w:r w:rsidRPr="00987C85">
        <w:t>: Over 53% of customers return within 0–60 days, while only 1.57% reactivate after six months, highlighting the need for long-term win-back strategies.</w:t>
      </w:r>
    </w:p>
    <w:p w14:paraId="1698F223" w14:textId="77777777" w:rsidR="00A24F84" w:rsidRPr="00987C85" w:rsidRDefault="00A24F84" w:rsidP="00A82574">
      <w:pPr>
        <w:numPr>
          <w:ilvl w:val="0"/>
          <w:numId w:val="25"/>
        </w:numPr>
        <w:spacing w:after="0"/>
        <w:jc w:val="both"/>
      </w:pPr>
      <w:r w:rsidRPr="00987C85">
        <w:rPr>
          <w:b/>
          <w:bCs/>
        </w:rPr>
        <w:t>Product and City Insights</w:t>
      </w:r>
      <w:r w:rsidRPr="00987C85">
        <w:t>: Lucknow ranks high in transactions, but Delhi outpaces in purchase volumes. Ahmedabad and Mumbai show lower engagement, indicating potential for growth.</w:t>
      </w:r>
    </w:p>
    <w:p w14:paraId="048DF4B2" w14:textId="77777777" w:rsidR="00A24F84" w:rsidRDefault="00A24F84" w:rsidP="00A82574">
      <w:pPr>
        <w:jc w:val="both"/>
      </w:pPr>
    </w:p>
    <w:p w14:paraId="517CD536" w14:textId="77777777" w:rsidR="0067022C" w:rsidRPr="0067022C" w:rsidRDefault="0067022C" w:rsidP="00A82574">
      <w:pPr>
        <w:jc w:val="both"/>
        <w:rPr>
          <w:lang w:val="en-US"/>
        </w:rPr>
      </w:pPr>
    </w:p>
    <w:sectPr w:rsidR="0067022C" w:rsidRPr="0067022C" w:rsidSect="0040264C">
      <w:footerReference w:type="default" r:id="rId9"/>
      <w:pgSz w:w="11906" w:h="16838"/>
      <w:pgMar w:top="1191"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70739" w14:textId="77777777" w:rsidR="00E00C2B" w:rsidRDefault="00E00C2B" w:rsidP="00E00C2B">
      <w:pPr>
        <w:spacing w:after="0" w:line="240" w:lineRule="auto"/>
      </w:pPr>
      <w:r>
        <w:separator/>
      </w:r>
    </w:p>
  </w:endnote>
  <w:endnote w:type="continuationSeparator" w:id="0">
    <w:p w14:paraId="4E7934E9" w14:textId="77777777" w:rsidR="00E00C2B" w:rsidRDefault="00E00C2B" w:rsidP="00E00C2B">
      <w:pPr>
        <w:spacing w:after="0" w:line="240" w:lineRule="auto"/>
      </w:pPr>
      <w:r>
        <w:continuationSeparator/>
      </w:r>
    </w:p>
  </w:endnote>
  <w:endnote w:type="continuationNotice" w:id="1">
    <w:p w14:paraId="091CE489" w14:textId="77777777" w:rsidR="00E00C2B" w:rsidRDefault="00E00C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7EA59" w14:textId="4BD8DDF6" w:rsidR="00EA2F97" w:rsidRDefault="00A82574">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02856181" w14:textId="77777777" w:rsidR="00E00C2B" w:rsidRDefault="00E00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BA77C" w14:textId="77777777" w:rsidR="00E00C2B" w:rsidRDefault="00E00C2B" w:rsidP="00E00C2B">
      <w:pPr>
        <w:spacing w:after="0" w:line="240" w:lineRule="auto"/>
      </w:pPr>
      <w:r>
        <w:separator/>
      </w:r>
    </w:p>
  </w:footnote>
  <w:footnote w:type="continuationSeparator" w:id="0">
    <w:p w14:paraId="18E85E26" w14:textId="77777777" w:rsidR="00E00C2B" w:rsidRDefault="00E00C2B" w:rsidP="00E00C2B">
      <w:pPr>
        <w:spacing w:after="0" w:line="240" w:lineRule="auto"/>
      </w:pPr>
      <w:r>
        <w:continuationSeparator/>
      </w:r>
    </w:p>
  </w:footnote>
  <w:footnote w:type="continuationNotice" w:id="1">
    <w:p w14:paraId="751F0BCD" w14:textId="77777777" w:rsidR="00E00C2B" w:rsidRDefault="00E00C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43F5E"/>
    <w:multiLevelType w:val="multilevel"/>
    <w:tmpl w:val="85662784"/>
    <w:lvl w:ilvl="0">
      <w:start w:val="1"/>
      <w:numFmt w:val="decimal"/>
      <w:lvlText w:val="%1."/>
      <w:lvlJc w:val="left"/>
      <w:pPr>
        <w:tabs>
          <w:tab w:val="num" w:pos="501"/>
        </w:tabs>
        <w:ind w:left="501" w:hanging="360"/>
      </w:pPr>
      <w:rPr>
        <w:rFont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AFA3781"/>
    <w:multiLevelType w:val="hybridMultilevel"/>
    <w:tmpl w:val="6128D362"/>
    <w:lvl w:ilvl="0" w:tplc="ED14CE34">
      <w:start w:val="1"/>
      <w:numFmt w:val="decimal"/>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0BCA08EA"/>
    <w:multiLevelType w:val="multilevel"/>
    <w:tmpl w:val="85662784"/>
    <w:lvl w:ilvl="0">
      <w:start w:val="1"/>
      <w:numFmt w:val="decimal"/>
      <w:lvlText w:val="%1."/>
      <w:lvlJc w:val="left"/>
      <w:pPr>
        <w:tabs>
          <w:tab w:val="num" w:pos="501"/>
        </w:tabs>
        <w:ind w:left="501" w:hanging="360"/>
      </w:pPr>
      <w:rPr>
        <w:rFont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 w15:restartNumberingAfterBreak="0">
    <w:nsid w:val="0BFF7418"/>
    <w:multiLevelType w:val="multilevel"/>
    <w:tmpl w:val="85662784"/>
    <w:lvl w:ilvl="0">
      <w:start w:val="1"/>
      <w:numFmt w:val="decimal"/>
      <w:lvlText w:val="%1."/>
      <w:lvlJc w:val="left"/>
      <w:pPr>
        <w:tabs>
          <w:tab w:val="num" w:pos="501"/>
        </w:tabs>
        <w:ind w:left="501" w:hanging="360"/>
      </w:pPr>
      <w:rPr>
        <w:rFont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4" w15:restartNumberingAfterBreak="0">
    <w:nsid w:val="0D9D017A"/>
    <w:multiLevelType w:val="hybridMultilevel"/>
    <w:tmpl w:val="AD0C5ABE"/>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 w15:restartNumberingAfterBreak="0">
    <w:nsid w:val="0F125B58"/>
    <w:multiLevelType w:val="hybridMultilevel"/>
    <w:tmpl w:val="2DF811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770826"/>
    <w:multiLevelType w:val="hybridMultilevel"/>
    <w:tmpl w:val="8CB204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866A8"/>
    <w:multiLevelType w:val="multilevel"/>
    <w:tmpl w:val="F0C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0E6D"/>
    <w:multiLevelType w:val="multilevel"/>
    <w:tmpl w:val="5186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B5CC7"/>
    <w:multiLevelType w:val="hybridMultilevel"/>
    <w:tmpl w:val="89421F8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4480BE2"/>
    <w:multiLevelType w:val="hybridMultilevel"/>
    <w:tmpl w:val="12B647D4"/>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1" w15:restartNumberingAfterBreak="0">
    <w:nsid w:val="26275A06"/>
    <w:multiLevelType w:val="hybridMultilevel"/>
    <w:tmpl w:val="B3CE6C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601065"/>
    <w:multiLevelType w:val="hybridMultilevel"/>
    <w:tmpl w:val="5914EB5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5A23B2C"/>
    <w:multiLevelType w:val="hybridMultilevel"/>
    <w:tmpl w:val="C248E1F8"/>
    <w:lvl w:ilvl="0" w:tplc="4009000F">
      <w:start w:val="1"/>
      <w:numFmt w:val="decimal"/>
      <w:lvlText w:val="%1."/>
      <w:lvlJc w:val="left"/>
      <w:pPr>
        <w:ind w:left="501" w:hanging="360"/>
      </w:pPr>
      <w:rPr>
        <w:rFonts w:hint="default"/>
      </w:rPr>
    </w:lvl>
    <w:lvl w:ilvl="1" w:tplc="FFFFFFFF">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14" w15:restartNumberingAfterBreak="0">
    <w:nsid w:val="3BA84EC0"/>
    <w:multiLevelType w:val="multilevel"/>
    <w:tmpl w:val="A082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C32EC"/>
    <w:multiLevelType w:val="hybridMultilevel"/>
    <w:tmpl w:val="79C4F31E"/>
    <w:lvl w:ilvl="0" w:tplc="4009000F">
      <w:start w:val="1"/>
      <w:numFmt w:val="decimal"/>
      <w:lvlText w:val="%1."/>
      <w:lvlJc w:val="left"/>
      <w:pPr>
        <w:ind w:left="720" w:hanging="360"/>
      </w:pPr>
    </w:lvl>
    <w:lvl w:ilvl="1" w:tplc="40090019">
      <w:start w:val="1"/>
      <w:numFmt w:val="lowerLetter"/>
      <w:lvlText w:val="%2."/>
      <w:lvlJc w:val="left"/>
      <w:pPr>
        <w:ind w:left="1068"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359BB"/>
    <w:multiLevelType w:val="hybridMultilevel"/>
    <w:tmpl w:val="66789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57736B"/>
    <w:multiLevelType w:val="multilevel"/>
    <w:tmpl w:val="856627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01CCD"/>
    <w:multiLevelType w:val="hybridMultilevel"/>
    <w:tmpl w:val="BE7AF170"/>
    <w:lvl w:ilvl="0" w:tplc="4009000F">
      <w:start w:val="1"/>
      <w:numFmt w:val="decimal"/>
      <w:lvlText w:val="%1."/>
      <w:lvlJc w:val="left"/>
      <w:pPr>
        <w:ind w:left="501" w:hanging="360"/>
      </w:pPr>
      <w:rPr>
        <w:rFont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19" w15:restartNumberingAfterBreak="0">
    <w:nsid w:val="55432F09"/>
    <w:multiLevelType w:val="hybridMultilevel"/>
    <w:tmpl w:val="54801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1062D"/>
    <w:multiLevelType w:val="hybridMultilevel"/>
    <w:tmpl w:val="39FA82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BB7034"/>
    <w:multiLevelType w:val="hybridMultilevel"/>
    <w:tmpl w:val="9828C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BF5C6D"/>
    <w:multiLevelType w:val="hybridMultilevel"/>
    <w:tmpl w:val="082CF73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435EB4"/>
    <w:multiLevelType w:val="hybridMultilevel"/>
    <w:tmpl w:val="C552796E"/>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4" w15:restartNumberingAfterBreak="0">
    <w:nsid w:val="72A03185"/>
    <w:multiLevelType w:val="multilevel"/>
    <w:tmpl w:val="856627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25" w15:restartNumberingAfterBreak="0">
    <w:nsid w:val="774A25D6"/>
    <w:multiLevelType w:val="hybridMultilevel"/>
    <w:tmpl w:val="6EE60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3861718">
    <w:abstractNumId w:val="7"/>
  </w:num>
  <w:num w:numId="2" w16cid:durableId="236675467">
    <w:abstractNumId w:val="0"/>
  </w:num>
  <w:num w:numId="3" w16cid:durableId="283777127">
    <w:abstractNumId w:val="20"/>
  </w:num>
  <w:num w:numId="4" w16cid:durableId="489171905">
    <w:abstractNumId w:val="12"/>
  </w:num>
  <w:num w:numId="5" w16cid:durableId="1560509158">
    <w:abstractNumId w:val="10"/>
  </w:num>
  <w:num w:numId="6" w16cid:durableId="1098402121">
    <w:abstractNumId w:val="15"/>
  </w:num>
  <w:num w:numId="7" w16cid:durableId="348411474">
    <w:abstractNumId w:val="22"/>
  </w:num>
  <w:num w:numId="8" w16cid:durableId="1460100490">
    <w:abstractNumId w:val="17"/>
  </w:num>
  <w:num w:numId="9" w16cid:durableId="1203714675">
    <w:abstractNumId w:val="3"/>
  </w:num>
  <w:num w:numId="10" w16cid:durableId="775445237">
    <w:abstractNumId w:val="9"/>
  </w:num>
  <w:num w:numId="11" w16cid:durableId="125396348">
    <w:abstractNumId w:val="2"/>
  </w:num>
  <w:num w:numId="12" w16cid:durableId="1819374322">
    <w:abstractNumId w:val="24"/>
  </w:num>
  <w:num w:numId="13" w16cid:durableId="1429351037">
    <w:abstractNumId w:val="11"/>
  </w:num>
  <w:num w:numId="14" w16cid:durableId="200870160">
    <w:abstractNumId w:val="19"/>
  </w:num>
  <w:num w:numId="15" w16cid:durableId="1930767656">
    <w:abstractNumId w:val="6"/>
  </w:num>
  <w:num w:numId="16" w16cid:durableId="1524320814">
    <w:abstractNumId w:val="5"/>
  </w:num>
  <w:num w:numId="17" w16cid:durableId="348799362">
    <w:abstractNumId w:val="21"/>
  </w:num>
  <w:num w:numId="18" w16cid:durableId="1005286367">
    <w:abstractNumId w:val="25"/>
  </w:num>
  <w:num w:numId="19" w16cid:durableId="386420366">
    <w:abstractNumId w:val="18"/>
  </w:num>
  <w:num w:numId="20" w16cid:durableId="754782300">
    <w:abstractNumId w:val="16"/>
  </w:num>
  <w:num w:numId="21" w16cid:durableId="1809277635">
    <w:abstractNumId w:val="4"/>
  </w:num>
  <w:num w:numId="22" w16cid:durableId="1851025097">
    <w:abstractNumId w:val="1"/>
  </w:num>
  <w:num w:numId="23" w16cid:durableId="1929805274">
    <w:abstractNumId w:val="23"/>
  </w:num>
  <w:num w:numId="24" w16cid:durableId="116611819">
    <w:abstractNumId w:val="14"/>
  </w:num>
  <w:num w:numId="25" w16cid:durableId="1550220210">
    <w:abstractNumId w:val="8"/>
  </w:num>
  <w:num w:numId="26" w16cid:durableId="1372459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2C"/>
    <w:rsid w:val="000052B6"/>
    <w:rsid w:val="000078D7"/>
    <w:rsid w:val="00010925"/>
    <w:rsid w:val="000259FB"/>
    <w:rsid w:val="0006008F"/>
    <w:rsid w:val="000601FF"/>
    <w:rsid w:val="00061656"/>
    <w:rsid w:val="00062B71"/>
    <w:rsid w:val="00063483"/>
    <w:rsid w:val="00082D12"/>
    <w:rsid w:val="000A3E8E"/>
    <w:rsid w:val="000A6010"/>
    <w:rsid w:val="000B5974"/>
    <w:rsid w:val="000D3C5F"/>
    <w:rsid w:val="000D3EED"/>
    <w:rsid w:val="000D44E0"/>
    <w:rsid w:val="000D5FB8"/>
    <w:rsid w:val="000E04E6"/>
    <w:rsid w:val="000E470B"/>
    <w:rsid w:val="00120BE7"/>
    <w:rsid w:val="00120E35"/>
    <w:rsid w:val="001252A2"/>
    <w:rsid w:val="00132CF8"/>
    <w:rsid w:val="001356F1"/>
    <w:rsid w:val="001361AA"/>
    <w:rsid w:val="00150019"/>
    <w:rsid w:val="001855BE"/>
    <w:rsid w:val="001858B3"/>
    <w:rsid w:val="001B3F30"/>
    <w:rsid w:val="001B5A2A"/>
    <w:rsid w:val="001C5F5E"/>
    <w:rsid w:val="001E5A97"/>
    <w:rsid w:val="001F2CD9"/>
    <w:rsid w:val="001F5B1F"/>
    <w:rsid w:val="00200D51"/>
    <w:rsid w:val="00207C2F"/>
    <w:rsid w:val="002168D6"/>
    <w:rsid w:val="00220E39"/>
    <w:rsid w:val="0023042C"/>
    <w:rsid w:val="00235D1B"/>
    <w:rsid w:val="00240DBE"/>
    <w:rsid w:val="00255DFB"/>
    <w:rsid w:val="00256528"/>
    <w:rsid w:val="00263846"/>
    <w:rsid w:val="00270AE3"/>
    <w:rsid w:val="00271871"/>
    <w:rsid w:val="002772D0"/>
    <w:rsid w:val="002818FB"/>
    <w:rsid w:val="00283C07"/>
    <w:rsid w:val="00296FC6"/>
    <w:rsid w:val="002A4459"/>
    <w:rsid w:val="002B1F41"/>
    <w:rsid w:val="002B7120"/>
    <w:rsid w:val="002B7AA9"/>
    <w:rsid w:val="002C00D9"/>
    <w:rsid w:val="002C7688"/>
    <w:rsid w:val="002D1A95"/>
    <w:rsid w:val="002E2818"/>
    <w:rsid w:val="002F019D"/>
    <w:rsid w:val="002F497C"/>
    <w:rsid w:val="003175D3"/>
    <w:rsid w:val="0033765E"/>
    <w:rsid w:val="00341A69"/>
    <w:rsid w:val="00376B0B"/>
    <w:rsid w:val="00387283"/>
    <w:rsid w:val="00391E81"/>
    <w:rsid w:val="003B1A34"/>
    <w:rsid w:val="003C58D5"/>
    <w:rsid w:val="003C7670"/>
    <w:rsid w:val="003D4BAA"/>
    <w:rsid w:val="003E2E12"/>
    <w:rsid w:val="003E446F"/>
    <w:rsid w:val="003F1017"/>
    <w:rsid w:val="0040264C"/>
    <w:rsid w:val="00402AEC"/>
    <w:rsid w:val="004173E9"/>
    <w:rsid w:val="004207E2"/>
    <w:rsid w:val="00420DE2"/>
    <w:rsid w:val="00434CCC"/>
    <w:rsid w:val="00445087"/>
    <w:rsid w:val="004462A2"/>
    <w:rsid w:val="00452973"/>
    <w:rsid w:val="00476460"/>
    <w:rsid w:val="004819FA"/>
    <w:rsid w:val="004B386F"/>
    <w:rsid w:val="004C2126"/>
    <w:rsid w:val="004C78F6"/>
    <w:rsid w:val="004E002F"/>
    <w:rsid w:val="00500730"/>
    <w:rsid w:val="005048F6"/>
    <w:rsid w:val="0050499D"/>
    <w:rsid w:val="00516943"/>
    <w:rsid w:val="00533755"/>
    <w:rsid w:val="00534540"/>
    <w:rsid w:val="00534E4D"/>
    <w:rsid w:val="00545024"/>
    <w:rsid w:val="005519E5"/>
    <w:rsid w:val="005A37B8"/>
    <w:rsid w:val="005A3B4E"/>
    <w:rsid w:val="005B5FD3"/>
    <w:rsid w:val="005D2E44"/>
    <w:rsid w:val="005D6E42"/>
    <w:rsid w:val="005E3D04"/>
    <w:rsid w:val="005F5A07"/>
    <w:rsid w:val="00601AC3"/>
    <w:rsid w:val="00603A6F"/>
    <w:rsid w:val="006300C1"/>
    <w:rsid w:val="0067022C"/>
    <w:rsid w:val="00682920"/>
    <w:rsid w:val="00697D79"/>
    <w:rsid w:val="006A1366"/>
    <w:rsid w:val="006A24DF"/>
    <w:rsid w:val="006B060B"/>
    <w:rsid w:val="006B1100"/>
    <w:rsid w:val="006D4930"/>
    <w:rsid w:val="006E0176"/>
    <w:rsid w:val="006E13EB"/>
    <w:rsid w:val="00703AD1"/>
    <w:rsid w:val="007079BE"/>
    <w:rsid w:val="007106CD"/>
    <w:rsid w:val="007129A8"/>
    <w:rsid w:val="00713E9B"/>
    <w:rsid w:val="007216CF"/>
    <w:rsid w:val="0072472C"/>
    <w:rsid w:val="00724E75"/>
    <w:rsid w:val="007270B9"/>
    <w:rsid w:val="00731EA4"/>
    <w:rsid w:val="00735386"/>
    <w:rsid w:val="00746AB1"/>
    <w:rsid w:val="00755D68"/>
    <w:rsid w:val="007576EB"/>
    <w:rsid w:val="007659C6"/>
    <w:rsid w:val="00765A86"/>
    <w:rsid w:val="00784F11"/>
    <w:rsid w:val="007D744D"/>
    <w:rsid w:val="007D7863"/>
    <w:rsid w:val="007E0609"/>
    <w:rsid w:val="007F2005"/>
    <w:rsid w:val="007F7134"/>
    <w:rsid w:val="00810692"/>
    <w:rsid w:val="00823E74"/>
    <w:rsid w:val="00843B5E"/>
    <w:rsid w:val="00847A04"/>
    <w:rsid w:val="008532DD"/>
    <w:rsid w:val="00863EE1"/>
    <w:rsid w:val="0087202B"/>
    <w:rsid w:val="0087740B"/>
    <w:rsid w:val="00880979"/>
    <w:rsid w:val="00894594"/>
    <w:rsid w:val="008965A1"/>
    <w:rsid w:val="008A31AB"/>
    <w:rsid w:val="008A3598"/>
    <w:rsid w:val="008C13F3"/>
    <w:rsid w:val="008D0154"/>
    <w:rsid w:val="008E79CB"/>
    <w:rsid w:val="008F162F"/>
    <w:rsid w:val="008F281A"/>
    <w:rsid w:val="00915B65"/>
    <w:rsid w:val="00916753"/>
    <w:rsid w:val="00917582"/>
    <w:rsid w:val="00922E36"/>
    <w:rsid w:val="00931327"/>
    <w:rsid w:val="00937D77"/>
    <w:rsid w:val="009433BF"/>
    <w:rsid w:val="0094382F"/>
    <w:rsid w:val="00954675"/>
    <w:rsid w:val="00970EBE"/>
    <w:rsid w:val="00991D5A"/>
    <w:rsid w:val="009935B9"/>
    <w:rsid w:val="009A2048"/>
    <w:rsid w:val="009A49B5"/>
    <w:rsid w:val="009D1BE8"/>
    <w:rsid w:val="009F43C0"/>
    <w:rsid w:val="00A035BD"/>
    <w:rsid w:val="00A230F0"/>
    <w:rsid w:val="00A23430"/>
    <w:rsid w:val="00A24F84"/>
    <w:rsid w:val="00A328E8"/>
    <w:rsid w:val="00A47172"/>
    <w:rsid w:val="00A66FBA"/>
    <w:rsid w:val="00A6794D"/>
    <w:rsid w:val="00A71B09"/>
    <w:rsid w:val="00A82574"/>
    <w:rsid w:val="00A97227"/>
    <w:rsid w:val="00AB4720"/>
    <w:rsid w:val="00AB7A13"/>
    <w:rsid w:val="00B1017D"/>
    <w:rsid w:val="00B2207B"/>
    <w:rsid w:val="00B37BD5"/>
    <w:rsid w:val="00B533D7"/>
    <w:rsid w:val="00B54C60"/>
    <w:rsid w:val="00B61958"/>
    <w:rsid w:val="00B7309D"/>
    <w:rsid w:val="00B82754"/>
    <w:rsid w:val="00B916AB"/>
    <w:rsid w:val="00B91CF0"/>
    <w:rsid w:val="00BA61A0"/>
    <w:rsid w:val="00BB6F8B"/>
    <w:rsid w:val="00BC275A"/>
    <w:rsid w:val="00BD49A1"/>
    <w:rsid w:val="00BE5D18"/>
    <w:rsid w:val="00C1025B"/>
    <w:rsid w:val="00C1269D"/>
    <w:rsid w:val="00C15B6D"/>
    <w:rsid w:val="00C361A9"/>
    <w:rsid w:val="00C404DD"/>
    <w:rsid w:val="00C45B37"/>
    <w:rsid w:val="00C465CF"/>
    <w:rsid w:val="00C6771E"/>
    <w:rsid w:val="00C9196F"/>
    <w:rsid w:val="00C92C48"/>
    <w:rsid w:val="00CA0936"/>
    <w:rsid w:val="00CA4B03"/>
    <w:rsid w:val="00CC176D"/>
    <w:rsid w:val="00CD3982"/>
    <w:rsid w:val="00CE3B1A"/>
    <w:rsid w:val="00CE4987"/>
    <w:rsid w:val="00CF64FF"/>
    <w:rsid w:val="00CF7512"/>
    <w:rsid w:val="00D04308"/>
    <w:rsid w:val="00D047C7"/>
    <w:rsid w:val="00D20CCB"/>
    <w:rsid w:val="00D2103F"/>
    <w:rsid w:val="00D30D24"/>
    <w:rsid w:val="00D33DD7"/>
    <w:rsid w:val="00D37952"/>
    <w:rsid w:val="00D66CEB"/>
    <w:rsid w:val="00D74EC3"/>
    <w:rsid w:val="00D778E1"/>
    <w:rsid w:val="00D845C3"/>
    <w:rsid w:val="00D84A15"/>
    <w:rsid w:val="00D938B4"/>
    <w:rsid w:val="00D943CC"/>
    <w:rsid w:val="00DB47A1"/>
    <w:rsid w:val="00DB55B8"/>
    <w:rsid w:val="00DD19BD"/>
    <w:rsid w:val="00DE1FB0"/>
    <w:rsid w:val="00DE3079"/>
    <w:rsid w:val="00E00C2B"/>
    <w:rsid w:val="00E14E27"/>
    <w:rsid w:val="00E17F43"/>
    <w:rsid w:val="00E35F3C"/>
    <w:rsid w:val="00E41038"/>
    <w:rsid w:val="00E54C1D"/>
    <w:rsid w:val="00EA2F97"/>
    <w:rsid w:val="00EA4D08"/>
    <w:rsid w:val="00EC058C"/>
    <w:rsid w:val="00EC2A06"/>
    <w:rsid w:val="00EC575D"/>
    <w:rsid w:val="00EC5805"/>
    <w:rsid w:val="00EC5844"/>
    <w:rsid w:val="00ED5DF9"/>
    <w:rsid w:val="00EE28AC"/>
    <w:rsid w:val="00EF1006"/>
    <w:rsid w:val="00F145E9"/>
    <w:rsid w:val="00F17DFA"/>
    <w:rsid w:val="00F4255C"/>
    <w:rsid w:val="00F467F9"/>
    <w:rsid w:val="00F54858"/>
    <w:rsid w:val="00F64CCD"/>
    <w:rsid w:val="00F66149"/>
    <w:rsid w:val="00F7300D"/>
    <w:rsid w:val="00F747BA"/>
    <w:rsid w:val="00F7749A"/>
    <w:rsid w:val="00F81392"/>
    <w:rsid w:val="00F94D89"/>
    <w:rsid w:val="00FA4F2B"/>
    <w:rsid w:val="00FA6BA2"/>
    <w:rsid w:val="00FE1972"/>
    <w:rsid w:val="00FE70FF"/>
    <w:rsid w:val="00FF4B50"/>
    <w:rsid w:val="00FF5126"/>
    <w:rsid w:val="00FF53A9"/>
    <w:rsid w:val="00FF60C4"/>
    <w:rsid w:val="0A929298"/>
    <w:rsid w:val="0F023181"/>
    <w:rsid w:val="0F75FCF1"/>
    <w:rsid w:val="18440112"/>
    <w:rsid w:val="28469C9C"/>
    <w:rsid w:val="3B31E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D4A3"/>
  <w15:chartTrackingRefBased/>
  <w15:docId w15:val="{73D346C0-E094-4DD4-A7ED-381C99A3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22C"/>
    <w:rPr>
      <w:rFonts w:eastAsiaTheme="majorEastAsia" w:cstheme="majorBidi"/>
      <w:color w:val="272727" w:themeColor="text1" w:themeTint="D8"/>
    </w:rPr>
  </w:style>
  <w:style w:type="paragraph" w:styleId="Title">
    <w:name w:val="Title"/>
    <w:basedOn w:val="Normal"/>
    <w:next w:val="Normal"/>
    <w:link w:val="TitleChar"/>
    <w:uiPriority w:val="10"/>
    <w:qFormat/>
    <w:rsid w:val="00670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22C"/>
    <w:pPr>
      <w:spacing w:before="160"/>
      <w:jc w:val="center"/>
    </w:pPr>
    <w:rPr>
      <w:i/>
      <w:iCs/>
      <w:color w:val="404040" w:themeColor="text1" w:themeTint="BF"/>
    </w:rPr>
  </w:style>
  <w:style w:type="character" w:customStyle="1" w:styleId="QuoteChar">
    <w:name w:val="Quote Char"/>
    <w:basedOn w:val="DefaultParagraphFont"/>
    <w:link w:val="Quote"/>
    <w:uiPriority w:val="29"/>
    <w:rsid w:val="0067022C"/>
    <w:rPr>
      <w:i/>
      <w:iCs/>
      <w:color w:val="404040" w:themeColor="text1" w:themeTint="BF"/>
    </w:rPr>
  </w:style>
  <w:style w:type="paragraph" w:styleId="ListParagraph">
    <w:name w:val="List Paragraph"/>
    <w:basedOn w:val="Normal"/>
    <w:uiPriority w:val="34"/>
    <w:qFormat/>
    <w:rsid w:val="0067022C"/>
    <w:pPr>
      <w:ind w:left="720"/>
      <w:contextualSpacing/>
    </w:pPr>
  </w:style>
  <w:style w:type="character" w:styleId="IntenseEmphasis">
    <w:name w:val="Intense Emphasis"/>
    <w:basedOn w:val="DefaultParagraphFont"/>
    <w:uiPriority w:val="21"/>
    <w:qFormat/>
    <w:rsid w:val="0067022C"/>
    <w:rPr>
      <w:i/>
      <w:iCs/>
      <w:color w:val="0F4761" w:themeColor="accent1" w:themeShade="BF"/>
    </w:rPr>
  </w:style>
  <w:style w:type="paragraph" w:styleId="IntenseQuote">
    <w:name w:val="Intense Quote"/>
    <w:basedOn w:val="Normal"/>
    <w:next w:val="Normal"/>
    <w:link w:val="IntenseQuoteChar"/>
    <w:uiPriority w:val="30"/>
    <w:qFormat/>
    <w:rsid w:val="00670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22C"/>
    <w:rPr>
      <w:i/>
      <w:iCs/>
      <w:color w:val="0F4761" w:themeColor="accent1" w:themeShade="BF"/>
    </w:rPr>
  </w:style>
  <w:style w:type="character" w:styleId="IntenseReference">
    <w:name w:val="Intense Reference"/>
    <w:basedOn w:val="DefaultParagraphFont"/>
    <w:uiPriority w:val="32"/>
    <w:qFormat/>
    <w:rsid w:val="0067022C"/>
    <w:rPr>
      <w:b/>
      <w:bCs/>
      <w:smallCaps/>
      <w:color w:val="0F4761" w:themeColor="accent1" w:themeShade="BF"/>
      <w:spacing w:val="5"/>
    </w:rPr>
  </w:style>
  <w:style w:type="paragraph" w:styleId="Header">
    <w:name w:val="header"/>
    <w:basedOn w:val="Normal"/>
    <w:link w:val="HeaderChar"/>
    <w:uiPriority w:val="99"/>
    <w:unhideWhenUsed/>
    <w:rsid w:val="00E00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2B"/>
  </w:style>
  <w:style w:type="paragraph" w:styleId="Footer">
    <w:name w:val="footer"/>
    <w:basedOn w:val="Normal"/>
    <w:link w:val="FooterChar"/>
    <w:uiPriority w:val="99"/>
    <w:unhideWhenUsed/>
    <w:rsid w:val="00E00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4839">
      <w:bodyDiv w:val="1"/>
      <w:marLeft w:val="0"/>
      <w:marRight w:val="0"/>
      <w:marTop w:val="0"/>
      <w:marBottom w:val="0"/>
      <w:divBdr>
        <w:top w:val="none" w:sz="0" w:space="0" w:color="auto"/>
        <w:left w:val="none" w:sz="0" w:space="0" w:color="auto"/>
        <w:bottom w:val="none" w:sz="0" w:space="0" w:color="auto"/>
        <w:right w:val="none" w:sz="0" w:space="0" w:color="auto"/>
      </w:divBdr>
      <w:divsChild>
        <w:div w:id="1398475987">
          <w:marLeft w:val="0"/>
          <w:marRight w:val="0"/>
          <w:marTop w:val="0"/>
          <w:marBottom w:val="0"/>
          <w:divBdr>
            <w:top w:val="none" w:sz="0" w:space="0" w:color="auto"/>
            <w:left w:val="none" w:sz="0" w:space="0" w:color="auto"/>
            <w:bottom w:val="none" w:sz="0" w:space="0" w:color="auto"/>
            <w:right w:val="none" w:sz="0" w:space="0" w:color="auto"/>
          </w:divBdr>
          <w:divsChild>
            <w:div w:id="1311011406">
              <w:marLeft w:val="0"/>
              <w:marRight w:val="0"/>
              <w:marTop w:val="0"/>
              <w:marBottom w:val="0"/>
              <w:divBdr>
                <w:top w:val="none" w:sz="0" w:space="0" w:color="auto"/>
                <w:left w:val="none" w:sz="0" w:space="0" w:color="auto"/>
                <w:bottom w:val="none" w:sz="0" w:space="0" w:color="auto"/>
                <w:right w:val="none" w:sz="0" w:space="0" w:color="auto"/>
              </w:divBdr>
              <w:divsChild>
                <w:div w:id="1764763479">
                  <w:marLeft w:val="0"/>
                  <w:marRight w:val="0"/>
                  <w:marTop w:val="0"/>
                  <w:marBottom w:val="0"/>
                  <w:divBdr>
                    <w:top w:val="none" w:sz="0" w:space="0" w:color="auto"/>
                    <w:left w:val="none" w:sz="0" w:space="0" w:color="auto"/>
                    <w:bottom w:val="none" w:sz="0" w:space="0" w:color="auto"/>
                    <w:right w:val="none" w:sz="0" w:space="0" w:color="auto"/>
                  </w:divBdr>
                  <w:divsChild>
                    <w:div w:id="2141072553">
                      <w:marLeft w:val="0"/>
                      <w:marRight w:val="0"/>
                      <w:marTop w:val="0"/>
                      <w:marBottom w:val="0"/>
                      <w:divBdr>
                        <w:top w:val="none" w:sz="0" w:space="0" w:color="auto"/>
                        <w:left w:val="none" w:sz="0" w:space="0" w:color="auto"/>
                        <w:bottom w:val="none" w:sz="0" w:space="0" w:color="auto"/>
                        <w:right w:val="none" w:sz="0" w:space="0" w:color="auto"/>
                      </w:divBdr>
                      <w:divsChild>
                        <w:div w:id="98911046">
                          <w:marLeft w:val="0"/>
                          <w:marRight w:val="0"/>
                          <w:marTop w:val="0"/>
                          <w:marBottom w:val="0"/>
                          <w:divBdr>
                            <w:top w:val="none" w:sz="0" w:space="0" w:color="auto"/>
                            <w:left w:val="none" w:sz="0" w:space="0" w:color="auto"/>
                            <w:bottom w:val="none" w:sz="0" w:space="0" w:color="auto"/>
                            <w:right w:val="none" w:sz="0" w:space="0" w:color="auto"/>
                          </w:divBdr>
                          <w:divsChild>
                            <w:div w:id="15720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13128">
      <w:bodyDiv w:val="1"/>
      <w:marLeft w:val="0"/>
      <w:marRight w:val="0"/>
      <w:marTop w:val="0"/>
      <w:marBottom w:val="0"/>
      <w:divBdr>
        <w:top w:val="none" w:sz="0" w:space="0" w:color="auto"/>
        <w:left w:val="none" w:sz="0" w:space="0" w:color="auto"/>
        <w:bottom w:val="none" w:sz="0" w:space="0" w:color="auto"/>
        <w:right w:val="none" w:sz="0" w:space="0" w:color="auto"/>
      </w:divBdr>
      <w:divsChild>
        <w:div w:id="1051611459">
          <w:marLeft w:val="0"/>
          <w:marRight w:val="0"/>
          <w:marTop w:val="0"/>
          <w:marBottom w:val="0"/>
          <w:divBdr>
            <w:top w:val="none" w:sz="0" w:space="0" w:color="auto"/>
            <w:left w:val="none" w:sz="0" w:space="0" w:color="auto"/>
            <w:bottom w:val="none" w:sz="0" w:space="0" w:color="auto"/>
            <w:right w:val="none" w:sz="0" w:space="0" w:color="auto"/>
          </w:divBdr>
          <w:divsChild>
            <w:div w:id="1130635264">
              <w:marLeft w:val="0"/>
              <w:marRight w:val="0"/>
              <w:marTop w:val="0"/>
              <w:marBottom w:val="0"/>
              <w:divBdr>
                <w:top w:val="none" w:sz="0" w:space="0" w:color="auto"/>
                <w:left w:val="none" w:sz="0" w:space="0" w:color="auto"/>
                <w:bottom w:val="none" w:sz="0" w:space="0" w:color="auto"/>
                <w:right w:val="none" w:sz="0" w:space="0" w:color="auto"/>
              </w:divBdr>
              <w:divsChild>
                <w:div w:id="1682511275">
                  <w:marLeft w:val="0"/>
                  <w:marRight w:val="0"/>
                  <w:marTop w:val="0"/>
                  <w:marBottom w:val="0"/>
                  <w:divBdr>
                    <w:top w:val="none" w:sz="0" w:space="0" w:color="auto"/>
                    <w:left w:val="none" w:sz="0" w:space="0" w:color="auto"/>
                    <w:bottom w:val="none" w:sz="0" w:space="0" w:color="auto"/>
                    <w:right w:val="none" w:sz="0" w:space="0" w:color="auto"/>
                  </w:divBdr>
                  <w:divsChild>
                    <w:div w:id="10758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2028">
          <w:marLeft w:val="0"/>
          <w:marRight w:val="0"/>
          <w:marTop w:val="0"/>
          <w:marBottom w:val="0"/>
          <w:divBdr>
            <w:top w:val="none" w:sz="0" w:space="0" w:color="auto"/>
            <w:left w:val="none" w:sz="0" w:space="0" w:color="auto"/>
            <w:bottom w:val="none" w:sz="0" w:space="0" w:color="auto"/>
            <w:right w:val="none" w:sz="0" w:space="0" w:color="auto"/>
          </w:divBdr>
          <w:divsChild>
            <w:div w:id="1463619550">
              <w:marLeft w:val="0"/>
              <w:marRight w:val="0"/>
              <w:marTop w:val="0"/>
              <w:marBottom w:val="0"/>
              <w:divBdr>
                <w:top w:val="none" w:sz="0" w:space="0" w:color="auto"/>
                <w:left w:val="none" w:sz="0" w:space="0" w:color="auto"/>
                <w:bottom w:val="none" w:sz="0" w:space="0" w:color="auto"/>
                <w:right w:val="none" w:sz="0" w:space="0" w:color="auto"/>
              </w:divBdr>
              <w:divsChild>
                <w:div w:id="1425110086">
                  <w:marLeft w:val="0"/>
                  <w:marRight w:val="0"/>
                  <w:marTop w:val="0"/>
                  <w:marBottom w:val="0"/>
                  <w:divBdr>
                    <w:top w:val="none" w:sz="0" w:space="0" w:color="auto"/>
                    <w:left w:val="none" w:sz="0" w:space="0" w:color="auto"/>
                    <w:bottom w:val="none" w:sz="0" w:space="0" w:color="auto"/>
                    <w:right w:val="none" w:sz="0" w:space="0" w:color="auto"/>
                  </w:divBdr>
                  <w:divsChild>
                    <w:div w:id="7000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4172">
      <w:bodyDiv w:val="1"/>
      <w:marLeft w:val="0"/>
      <w:marRight w:val="0"/>
      <w:marTop w:val="0"/>
      <w:marBottom w:val="0"/>
      <w:divBdr>
        <w:top w:val="none" w:sz="0" w:space="0" w:color="auto"/>
        <w:left w:val="none" w:sz="0" w:space="0" w:color="auto"/>
        <w:bottom w:val="none" w:sz="0" w:space="0" w:color="auto"/>
        <w:right w:val="none" w:sz="0" w:space="0" w:color="auto"/>
      </w:divBdr>
      <w:divsChild>
        <w:div w:id="1341815568">
          <w:marLeft w:val="0"/>
          <w:marRight w:val="0"/>
          <w:marTop w:val="0"/>
          <w:marBottom w:val="0"/>
          <w:divBdr>
            <w:top w:val="none" w:sz="0" w:space="0" w:color="auto"/>
            <w:left w:val="none" w:sz="0" w:space="0" w:color="auto"/>
            <w:bottom w:val="none" w:sz="0" w:space="0" w:color="auto"/>
            <w:right w:val="none" w:sz="0" w:space="0" w:color="auto"/>
          </w:divBdr>
          <w:divsChild>
            <w:div w:id="226885847">
              <w:marLeft w:val="0"/>
              <w:marRight w:val="0"/>
              <w:marTop w:val="0"/>
              <w:marBottom w:val="0"/>
              <w:divBdr>
                <w:top w:val="none" w:sz="0" w:space="0" w:color="auto"/>
                <w:left w:val="none" w:sz="0" w:space="0" w:color="auto"/>
                <w:bottom w:val="none" w:sz="0" w:space="0" w:color="auto"/>
                <w:right w:val="none" w:sz="0" w:space="0" w:color="auto"/>
              </w:divBdr>
              <w:divsChild>
                <w:div w:id="38828217">
                  <w:marLeft w:val="0"/>
                  <w:marRight w:val="0"/>
                  <w:marTop w:val="0"/>
                  <w:marBottom w:val="0"/>
                  <w:divBdr>
                    <w:top w:val="none" w:sz="0" w:space="0" w:color="auto"/>
                    <w:left w:val="none" w:sz="0" w:space="0" w:color="auto"/>
                    <w:bottom w:val="none" w:sz="0" w:space="0" w:color="auto"/>
                    <w:right w:val="none" w:sz="0" w:space="0" w:color="auto"/>
                  </w:divBdr>
                  <w:divsChild>
                    <w:div w:id="6197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4563">
          <w:marLeft w:val="0"/>
          <w:marRight w:val="0"/>
          <w:marTop w:val="0"/>
          <w:marBottom w:val="0"/>
          <w:divBdr>
            <w:top w:val="none" w:sz="0" w:space="0" w:color="auto"/>
            <w:left w:val="none" w:sz="0" w:space="0" w:color="auto"/>
            <w:bottom w:val="none" w:sz="0" w:space="0" w:color="auto"/>
            <w:right w:val="none" w:sz="0" w:space="0" w:color="auto"/>
          </w:divBdr>
          <w:divsChild>
            <w:div w:id="646857814">
              <w:marLeft w:val="0"/>
              <w:marRight w:val="0"/>
              <w:marTop w:val="0"/>
              <w:marBottom w:val="0"/>
              <w:divBdr>
                <w:top w:val="none" w:sz="0" w:space="0" w:color="auto"/>
                <w:left w:val="none" w:sz="0" w:space="0" w:color="auto"/>
                <w:bottom w:val="none" w:sz="0" w:space="0" w:color="auto"/>
                <w:right w:val="none" w:sz="0" w:space="0" w:color="auto"/>
              </w:divBdr>
              <w:divsChild>
                <w:div w:id="241572807">
                  <w:marLeft w:val="0"/>
                  <w:marRight w:val="0"/>
                  <w:marTop w:val="0"/>
                  <w:marBottom w:val="0"/>
                  <w:divBdr>
                    <w:top w:val="none" w:sz="0" w:space="0" w:color="auto"/>
                    <w:left w:val="none" w:sz="0" w:space="0" w:color="auto"/>
                    <w:bottom w:val="none" w:sz="0" w:space="0" w:color="auto"/>
                    <w:right w:val="none" w:sz="0" w:space="0" w:color="auto"/>
                  </w:divBdr>
                  <w:divsChild>
                    <w:div w:id="970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5859">
      <w:bodyDiv w:val="1"/>
      <w:marLeft w:val="0"/>
      <w:marRight w:val="0"/>
      <w:marTop w:val="0"/>
      <w:marBottom w:val="0"/>
      <w:divBdr>
        <w:top w:val="none" w:sz="0" w:space="0" w:color="auto"/>
        <w:left w:val="none" w:sz="0" w:space="0" w:color="auto"/>
        <w:bottom w:val="none" w:sz="0" w:space="0" w:color="auto"/>
        <w:right w:val="none" w:sz="0" w:space="0" w:color="auto"/>
      </w:divBdr>
    </w:div>
    <w:div w:id="794569278">
      <w:bodyDiv w:val="1"/>
      <w:marLeft w:val="0"/>
      <w:marRight w:val="0"/>
      <w:marTop w:val="0"/>
      <w:marBottom w:val="0"/>
      <w:divBdr>
        <w:top w:val="none" w:sz="0" w:space="0" w:color="auto"/>
        <w:left w:val="none" w:sz="0" w:space="0" w:color="auto"/>
        <w:bottom w:val="none" w:sz="0" w:space="0" w:color="auto"/>
        <w:right w:val="none" w:sz="0" w:space="0" w:color="auto"/>
      </w:divBdr>
    </w:div>
    <w:div w:id="902834384">
      <w:bodyDiv w:val="1"/>
      <w:marLeft w:val="0"/>
      <w:marRight w:val="0"/>
      <w:marTop w:val="0"/>
      <w:marBottom w:val="0"/>
      <w:divBdr>
        <w:top w:val="none" w:sz="0" w:space="0" w:color="auto"/>
        <w:left w:val="none" w:sz="0" w:space="0" w:color="auto"/>
        <w:bottom w:val="none" w:sz="0" w:space="0" w:color="auto"/>
        <w:right w:val="none" w:sz="0" w:space="0" w:color="auto"/>
      </w:divBdr>
      <w:divsChild>
        <w:div w:id="315884402">
          <w:marLeft w:val="0"/>
          <w:marRight w:val="0"/>
          <w:marTop w:val="0"/>
          <w:marBottom w:val="0"/>
          <w:divBdr>
            <w:top w:val="none" w:sz="0" w:space="0" w:color="auto"/>
            <w:left w:val="none" w:sz="0" w:space="0" w:color="auto"/>
            <w:bottom w:val="none" w:sz="0" w:space="0" w:color="auto"/>
            <w:right w:val="none" w:sz="0" w:space="0" w:color="auto"/>
          </w:divBdr>
          <w:divsChild>
            <w:div w:id="1041633935">
              <w:marLeft w:val="0"/>
              <w:marRight w:val="0"/>
              <w:marTop w:val="0"/>
              <w:marBottom w:val="0"/>
              <w:divBdr>
                <w:top w:val="none" w:sz="0" w:space="0" w:color="auto"/>
                <w:left w:val="none" w:sz="0" w:space="0" w:color="auto"/>
                <w:bottom w:val="none" w:sz="0" w:space="0" w:color="auto"/>
                <w:right w:val="none" w:sz="0" w:space="0" w:color="auto"/>
              </w:divBdr>
              <w:divsChild>
                <w:div w:id="1153789097">
                  <w:marLeft w:val="0"/>
                  <w:marRight w:val="0"/>
                  <w:marTop w:val="0"/>
                  <w:marBottom w:val="0"/>
                  <w:divBdr>
                    <w:top w:val="none" w:sz="0" w:space="0" w:color="auto"/>
                    <w:left w:val="none" w:sz="0" w:space="0" w:color="auto"/>
                    <w:bottom w:val="none" w:sz="0" w:space="0" w:color="auto"/>
                    <w:right w:val="none" w:sz="0" w:space="0" w:color="auto"/>
                  </w:divBdr>
                  <w:divsChild>
                    <w:div w:id="2059235711">
                      <w:marLeft w:val="0"/>
                      <w:marRight w:val="0"/>
                      <w:marTop w:val="0"/>
                      <w:marBottom w:val="0"/>
                      <w:divBdr>
                        <w:top w:val="none" w:sz="0" w:space="0" w:color="auto"/>
                        <w:left w:val="none" w:sz="0" w:space="0" w:color="auto"/>
                        <w:bottom w:val="none" w:sz="0" w:space="0" w:color="auto"/>
                        <w:right w:val="none" w:sz="0" w:space="0" w:color="auto"/>
                      </w:divBdr>
                      <w:divsChild>
                        <w:div w:id="1195924663">
                          <w:marLeft w:val="0"/>
                          <w:marRight w:val="0"/>
                          <w:marTop w:val="0"/>
                          <w:marBottom w:val="0"/>
                          <w:divBdr>
                            <w:top w:val="none" w:sz="0" w:space="0" w:color="auto"/>
                            <w:left w:val="none" w:sz="0" w:space="0" w:color="auto"/>
                            <w:bottom w:val="none" w:sz="0" w:space="0" w:color="auto"/>
                            <w:right w:val="none" w:sz="0" w:space="0" w:color="auto"/>
                          </w:divBdr>
                          <w:divsChild>
                            <w:div w:id="7306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8474">
      <w:bodyDiv w:val="1"/>
      <w:marLeft w:val="0"/>
      <w:marRight w:val="0"/>
      <w:marTop w:val="0"/>
      <w:marBottom w:val="0"/>
      <w:divBdr>
        <w:top w:val="none" w:sz="0" w:space="0" w:color="auto"/>
        <w:left w:val="none" w:sz="0" w:space="0" w:color="auto"/>
        <w:bottom w:val="none" w:sz="0" w:space="0" w:color="auto"/>
        <w:right w:val="none" w:sz="0" w:space="0" w:color="auto"/>
      </w:divBdr>
      <w:divsChild>
        <w:div w:id="41371975">
          <w:marLeft w:val="0"/>
          <w:marRight w:val="0"/>
          <w:marTop w:val="0"/>
          <w:marBottom w:val="0"/>
          <w:divBdr>
            <w:top w:val="none" w:sz="0" w:space="0" w:color="auto"/>
            <w:left w:val="none" w:sz="0" w:space="0" w:color="auto"/>
            <w:bottom w:val="none" w:sz="0" w:space="0" w:color="auto"/>
            <w:right w:val="none" w:sz="0" w:space="0" w:color="auto"/>
          </w:divBdr>
          <w:divsChild>
            <w:div w:id="1276130571">
              <w:marLeft w:val="0"/>
              <w:marRight w:val="0"/>
              <w:marTop w:val="0"/>
              <w:marBottom w:val="0"/>
              <w:divBdr>
                <w:top w:val="none" w:sz="0" w:space="0" w:color="auto"/>
                <w:left w:val="none" w:sz="0" w:space="0" w:color="auto"/>
                <w:bottom w:val="none" w:sz="0" w:space="0" w:color="auto"/>
                <w:right w:val="none" w:sz="0" w:space="0" w:color="auto"/>
              </w:divBdr>
              <w:divsChild>
                <w:div w:id="1848058938">
                  <w:marLeft w:val="0"/>
                  <w:marRight w:val="0"/>
                  <w:marTop w:val="0"/>
                  <w:marBottom w:val="0"/>
                  <w:divBdr>
                    <w:top w:val="none" w:sz="0" w:space="0" w:color="auto"/>
                    <w:left w:val="none" w:sz="0" w:space="0" w:color="auto"/>
                    <w:bottom w:val="none" w:sz="0" w:space="0" w:color="auto"/>
                    <w:right w:val="none" w:sz="0" w:space="0" w:color="auto"/>
                  </w:divBdr>
                  <w:divsChild>
                    <w:div w:id="1149902639">
                      <w:marLeft w:val="0"/>
                      <w:marRight w:val="0"/>
                      <w:marTop w:val="0"/>
                      <w:marBottom w:val="0"/>
                      <w:divBdr>
                        <w:top w:val="none" w:sz="0" w:space="0" w:color="auto"/>
                        <w:left w:val="none" w:sz="0" w:space="0" w:color="auto"/>
                        <w:bottom w:val="none" w:sz="0" w:space="0" w:color="auto"/>
                        <w:right w:val="none" w:sz="0" w:space="0" w:color="auto"/>
                      </w:divBdr>
                      <w:divsChild>
                        <w:div w:id="2029912860">
                          <w:marLeft w:val="0"/>
                          <w:marRight w:val="0"/>
                          <w:marTop w:val="0"/>
                          <w:marBottom w:val="0"/>
                          <w:divBdr>
                            <w:top w:val="none" w:sz="0" w:space="0" w:color="auto"/>
                            <w:left w:val="none" w:sz="0" w:space="0" w:color="auto"/>
                            <w:bottom w:val="none" w:sz="0" w:space="0" w:color="auto"/>
                            <w:right w:val="none" w:sz="0" w:space="0" w:color="auto"/>
                          </w:divBdr>
                          <w:divsChild>
                            <w:div w:id="360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1748">
      <w:bodyDiv w:val="1"/>
      <w:marLeft w:val="0"/>
      <w:marRight w:val="0"/>
      <w:marTop w:val="0"/>
      <w:marBottom w:val="0"/>
      <w:divBdr>
        <w:top w:val="none" w:sz="0" w:space="0" w:color="auto"/>
        <w:left w:val="none" w:sz="0" w:space="0" w:color="auto"/>
        <w:bottom w:val="none" w:sz="0" w:space="0" w:color="auto"/>
        <w:right w:val="none" w:sz="0" w:space="0" w:color="auto"/>
      </w:divBdr>
    </w:div>
    <w:div w:id="1624648417">
      <w:bodyDiv w:val="1"/>
      <w:marLeft w:val="0"/>
      <w:marRight w:val="0"/>
      <w:marTop w:val="0"/>
      <w:marBottom w:val="0"/>
      <w:divBdr>
        <w:top w:val="none" w:sz="0" w:space="0" w:color="auto"/>
        <w:left w:val="none" w:sz="0" w:space="0" w:color="auto"/>
        <w:bottom w:val="none" w:sz="0" w:space="0" w:color="auto"/>
        <w:right w:val="none" w:sz="0" w:space="0" w:color="auto"/>
      </w:divBdr>
    </w:div>
    <w:div w:id="1644697352">
      <w:bodyDiv w:val="1"/>
      <w:marLeft w:val="0"/>
      <w:marRight w:val="0"/>
      <w:marTop w:val="0"/>
      <w:marBottom w:val="0"/>
      <w:divBdr>
        <w:top w:val="none" w:sz="0" w:space="0" w:color="auto"/>
        <w:left w:val="none" w:sz="0" w:space="0" w:color="auto"/>
        <w:bottom w:val="none" w:sz="0" w:space="0" w:color="auto"/>
        <w:right w:val="none" w:sz="0" w:space="0" w:color="auto"/>
      </w:divBdr>
    </w:div>
    <w:div w:id="1742557044">
      <w:bodyDiv w:val="1"/>
      <w:marLeft w:val="0"/>
      <w:marRight w:val="0"/>
      <w:marTop w:val="0"/>
      <w:marBottom w:val="0"/>
      <w:divBdr>
        <w:top w:val="none" w:sz="0" w:space="0" w:color="auto"/>
        <w:left w:val="none" w:sz="0" w:space="0" w:color="auto"/>
        <w:bottom w:val="none" w:sz="0" w:space="0" w:color="auto"/>
        <w:right w:val="none" w:sz="0" w:space="0" w:color="auto"/>
      </w:divBdr>
    </w:div>
    <w:div w:id="2068721373">
      <w:bodyDiv w:val="1"/>
      <w:marLeft w:val="0"/>
      <w:marRight w:val="0"/>
      <w:marTop w:val="0"/>
      <w:marBottom w:val="0"/>
      <w:divBdr>
        <w:top w:val="none" w:sz="0" w:space="0" w:color="auto"/>
        <w:left w:val="none" w:sz="0" w:space="0" w:color="auto"/>
        <w:bottom w:val="none" w:sz="0" w:space="0" w:color="auto"/>
        <w:right w:val="none" w:sz="0" w:space="0" w:color="auto"/>
      </w:divBdr>
      <w:divsChild>
        <w:div w:id="277567991">
          <w:marLeft w:val="0"/>
          <w:marRight w:val="0"/>
          <w:marTop w:val="0"/>
          <w:marBottom w:val="0"/>
          <w:divBdr>
            <w:top w:val="none" w:sz="0" w:space="0" w:color="auto"/>
            <w:left w:val="none" w:sz="0" w:space="0" w:color="auto"/>
            <w:bottom w:val="none" w:sz="0" w:space="0" w:color="auto"/>
            <w:right w:val="none" w:sz="0" w:space="0" w:color="auto"/>
          </w:divBdr>
          <w:divsChild>
            <w:div w:id="1727298953">
              <w:marLeft w:val="0"/>
              <w:marRight w:val="0"/>
              <w:marTop w:val="0"/>
              <w:marBottom w:val="0"/>
              <w:divBdr>
                <w:top w:val="none" w:sz="0" w:space="0" w:color="auto"/>
                <w:left w:val="none" w:sz="0" w:space="0" w:color="auto"/>
                <w:bottom w:val="none" w:sz="0" w:space="0" w:color="auto"/>
                <w:right w:val="none" w:sz="0" w:space="0" w:color="auto"/>
              </w:divBdr>
              <w:divsChild>
                <w:div w:id="1522671784">
                  <w:marLeft w:val="0"/>
                  <w:marRight w:val="0"/>
                  <w:marTop w:val="0"/>
                  <w:marBottom w:val="0"/>
                  <w:divBdr>
                    <w:top w:val="none" w:sz="0" w:space="0" w:color="auto"/>
                    <w:left w:val="none" w:sz="0" w:space="0" w:color="auto"/>
                    <w:bottom w:val="none" w:sz="0" w:space="0" w:color="auto"/>
                    <w:right w:val="none" w:sz="0" w:space="0" w:color="auto"/>
                  </w:divBdr>
                  <w:divsChild>
                    <w:div w:id="2030329054">
                      <w:marLeft w:val="0"/>
                      <w:marRight w:val="0"/>
                      <w:marTop w:val="0"/>
                      <w:marBottom w:val="0"/>
                      <w:divBdr>
                        <w:top w:val="none" w:sz="0" w:space="0" w:color="auto"/>
                        <w:left w:val="none" w:sz="0" w:space="0" w:color="auto"/>
                        <w:bottom w:val="none" w:sz="0" w:space="0" w:color="auto"/>
                        <w:right w:val="none" w:sz="0" w:space="0" w:color="auto"/>
                      </w:divBdr>
                      <w:divsChild>
                        <w:div w:id="361636186">
                          <w:marLeft w:val="0"/>
                          <w:marRight w:val="0"/>
                          <w:marTop w:val="0"/>
                          <w:marBottom w:val="0"/>
                          <w:divBdr>
                            <w:top w:val="none" w:sz="0" w:space="0" w:color="auto"/>
                            <w:left w:val="none" w:sz="0" w:space="0" w:color="auto"/>
                            <w:bottom w:val="none" w:sz="0" w:space="0" w:color="auto"/>
                            <w:right w:val="none" w:sz="0" w:space="0" w:color="auto"/>
                          </w:divBdr>
                          <w:divsChild>
                            <w:div w:id="16023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cequitysolutions0-my.sharepoint.com/personal/pranali_jagtap_hansacequity_com/Documents/Pranali%20Assignment/Pranali%20Assignmen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400"/>
              <a:t> Total Sales </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Total Sales </c:v>
                </c:pt>
              </c:strCache>
            </c:strRef>
          </c:tx>
          <c:spPr>
            <a:ln w="34925" cap="rnd">
              <a:solidFill>
                <a:schemeClr val="lt1"/>
              </a:solidFill>
              <a:round/>
            </a:ln>
            <a:effectLst>
              <a:outerShdw dist="25400" dir="2700000" algn="tl" rotWithShape="0">
                <a:schemeClr val="accent1"/>
              </a:outerShdw>
            </a:effectLst>
          </c:spPr>
          <c:marker>
            <c:symbol val="none"/>
          </c:marker>
          <c:dLbls>
            <c:dLbl>
              <c:idx val="1"/>
              <c:layout>
                <c:manualLayout>
                  <c:x val="-3.7247542448614834E-2"/>
                  <c:y val="-0.1427344903354930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557-4B9A-94EE-03C856C8FEEE}"/>
                </c:ext>
              </c:extLst>
            </c:dLbl>
            <c:dLbl>
              <c:idx val="5"/>
              <c:layout>
                <c:manualLayout>
                  <c:x val="-3.546023235031278E-2"/>
                  <c:y val="-0.1088566988473929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557-4B9A-94EE-03C856C8FEEE}"/>
                </c:ext>
              </c:extLst>
            </c:dLbl>
            <c:dLbl>
              <c:idx val="8"/>
              <c:layout>
                <c:manualLayout>
                  <c:x val="-3.3672922252010726E-2"/>
                  <c:y val="-0.1524138593320930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557-4B9A-94EE-03C856C8FEE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trendline>
            <c:spPr>
              <a:ln w="28575" cap="rnd">
                <a:solidFill>
                  <a:schemeClr val="lt1">
                    <a:alpha val="50000"/>
                  </a:schemeClr>
                </a:solidFill>
                <a:round/>
              </a:ln>
              <a:effectLst/>
            </c:spPr>
            <c:trendlineType val="linear"/>
            <c:dispRSqr val="0"/>
            <c:dispEq val="0"/>
          </c:trendline>
          <c:cat>
            <c:numRef>
              <c:f>Sheet1!$A$2:$A$12</c:f>
              <c:numCache>
                <c:formatCode>mmm\-yy</c:formatCode>
                <c:ptCount val="11"/>
                <c:pt idx="0">
                  <c:v>44562</c:v>
                </c:pt>
                <c:pt idx="1">
                  <c:v>44593</c:v>
                </c:pt>
                <c:pt idx="2">
                  <c:v>44621</c:v>
                </c:pt>
                <c:pt idx="3">
                  <c:v>44652</c:v>
                </c:pt>
                <c:pt idx="4">
                  <c:v>44682</c:v>
                </c:pt>
                <c:pt idx="5">
                  <c:v>44713</c:v>
                </c:pt>
                <c:pt idx="6">
                  <c:v>44743</c:v>
                </c:pt>
                <c:pt idx="7">
                  <c:v>44774</c:v>
                </c:pt>
                <c:pt idx="8">
                  <c:v>44805</c:v>
                </c:pt>
                <c:pt idx="9">
                  <c:v>44835</c:v>
                </c:pt>
                <c:pt idx="10">
                  <c:v>44866</c:v>
                </c:pt>
              </c:numCache>
            </c:numRef>
          </c:cat>
          <c:val>
            <c:numRef>
              <c:f>Sheet1!$B$2:$B$12</c:f>
              <c:numCache>
                <c:formatCode>_(* #,##0.00_);_(* \(#,##0.00\);_(* "-"??_);_(@_)</c:formatCode>
                <c:ptCount val="11"/>
                <c:pt idx="0">
                  <c:v>81.451888999999994</c:v>
                </c:pt>
                <c:pt idx="1">
                  <c:v>74.418194999999997</c:v>
                </c:pt>
                <c:pt idx="2">
                  <c:v>81.887441199999998</c:v>
                </c:pt>
                <c:pt idx="3">
                  <c:v>80.187218299999998</c:v>
                </c:pt>
                <c:pt idx="4">
                  <c:v>81.956286700000007</c:v>
                </c:pt>
                <c:pt idx="5">
                  <c:v>79.046909900000003</c:v>
                </c:pt>
                <c:pt idx="6">
                  <c:v>81.7029797</c:v>
                </c:pt>
                <c:pt idx="7">
                  <c:v>82.215738200000004</c:v>
                </c:pt>
                <c:pt idx="8">
                  <c:v>79.135026100000005</c:v>
                </c:pt>
                <c:pt idx="9">
                  <c:v>81.540284</c:v>
                </c:pt>
                <c:pt idx="10">
                  <c:v>79.994563200000002</c:v>
                </c:pt>
              </c:numCache>
            </c:numRef>
          </c:val>
          <c:smooth val="0"/>
          <c:extLst>
            <c:ext xmlns:c16="http://schemas.microsoft.com/office/drawing/2014/chart" uri="{C3380CC4-5D6E-409C-BE32-E72D297353CC}">
              <c16:uniqueId val="{00000004-4557-4B9A-94EE-03C856C8FEEE}"/>
            </c:ext>
          </c:extLst>
        </c:ser>
        <c:dLbls>
          <c:dLblPos val="t"/>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75925567"/>
        <c:axId val="375926047"/>
      </c:lineChart>
      <c:dateAx>
        <c:axId val="375925567"/>
        <c:scaling>
          <c:orientation val="minMax"/>
        </c:scaling>
        <c:delete val="0"/>
        <c:axPos val="b"/>
        <c:numFmt formatCode="mmm\-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75926047"/>
        <c:crosses val="autoZero"/>
        <c:auto val="1"/>
        <c:lblOffset val="100"/>
        <c:baseTimeUnit val="months"/>
      </c:dateAx>
      <c:valAx>
        <c:axId val="375926047"/>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sz="1050"/>
                  <a:t>Sales (In Crs.)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_(* #,##0.00_);_(* \(#,##0.00\);_(* &quot;-&quot;??_);_(@_)" sourceLinked="1"/>
        <c:majorTickMark val="none"/>
        <c:minorTickMark val="none"/>
        <c:tickLblPos val="nextTo"/>
        <c:crossAx val="375925567"/>
        <c:crosses val="autoZero"/>
        <c:crossBetween val="between"/>
      </c:valAx>
      <c:spPr>
        <a:noFill/>
        <a:ln>
          <a:noFill/>
        </a:ln>
        <a:effectLst/>
      </c:spPr>
    </c:plotArea>
    <c:plotVisOnly val="1"/>
    <c:dispBlanksAs val="gap"/>
    <c:showDLblsOverMax val="0"/>
  </c:chart>
  <c:spPr>
    <a:solidFill>
      <a:schemeClr val="accent1"/>
    </a:solidFill>
    <a:ln w="12700"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EE58-18FB-4549-9BB7-810D573A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Jagtap</dc:creator>
  <cp:keywords/>
  <dc:description/>
  <cp:lastModifiedBy>Pranali Jagtap</cp:lastModifiedBy>
  <cp:revision>179</cp:revision>
  <dcterms:created xsi:type="dcterms:W3CDTF">2025-01-25T20:06:00Z</dcterms:created>
  <dcterms:modified xsi:type="dcterms:W3CDTF">2025-01-26T12:28:00Z</dcterms:modified>
</cp:coreProperties>
</file>