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College Academic Policy</w:t>
      </w:r>
    </w:p>
    <w:p>
      <w:pPr>
        <w:pStyle w:val="Heading1"/>
      </w:pPr>
      <w:r>
        <w:t>Attendance</w:t>
      </w:r>
    </w:p>
    <w:p>
      <w:r>
        <w:t>All first-year students must maintain a minimum attendance of 75% in each subject to be eligible for the end-semester examination. Students with attendance between 65% and 75% may apply for condonation with a valid medical certificate and a fee of Rs 500.</w:t>
      </w:r>
    </w:p>
    <w:p>
      <w:pPr>
        <w:pStyle w:val="Heading1"/>
      </w:pPr>
      <w:r>
        <w:t>Examinations</w:t>
      </w:r>
    </w:p>
    <w:p>
      <w:r>
        <w:t>A student must score at least 40% in aggregate to pass a subject. Re-evaluation requests must be submitted within 7 days of result declaration.</w:t>
      </w:r>
    </w:p>
    <w:p>
      <w:pPr>
        <w:pStyle w:val="Heading1"/>
      </w:pPr>
      <w:r>
        <w:t>Library</w:t>
      </w:r>
    </w:p>
    <w:p>
      <w:r>
        <w:t>Students may borrow up to 3 books at a time for 14 days. A late fee of Rs 2 per day applies after the due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