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ACHARYA SHANTI SAGAR FOUNDATION</w:t>
      </w:r>
    </w:p>
    <w:p>
      <w:pPr>
        <w:jc w:val="center"/>
      </w:pPr>
      <w:r>
        <w:rPr>
          <w:i/>
          <w:sz w:val="21"/>
        </w:rPr>
        <w:t>FINAL HOMEPAGE CONTENT | In Service of Heritage and Humanity</w:t>
      </w:r>
    </w:p>
    <w:p>
      <w:pPr>
        <w:jc w:val="center"/>
      </w:pPr>
      <w:r>
        <w:rPr>
          <w:b/>
          <w:sz w:val="20"/>
        </w:rPr>
        <w:t>Content prepared for direct placement on the ASSF website homepage</w:t>
      </w:r>
    </w:p>
    <w:p>
      <w:pPr>
        <w:spacing w:before="260" w:after="100"/>
      </w:pPr>
      <w:r>
        <w:rPr>
          <w:b/>
          <w:sz w:val="32"/>
        </w:rPr>
        <w:t>1. HERO — FIRST IMPRESSION</w:t>
      </w:r>
    </w:p>
    <w:p>
      <w:pPr>
        <w:spacing w:before="100" w:after="40"/>
      </w:pPr>
      <w:r>
        <w:rPr>
          <w:b/>
          <w:sz w:val="17"/>
        </w:rPr>
        <w:t>EYEBROW</w:t>
      </w:r>
    </w:p>
    <w:p>
      <w:pPr>
        <w:spacing w:after="100" w:line="259" w:lineRule="auto"/>
      </w:pPr>
      <w:r>
        <w:t>IN SERVICE OF HERITAGE AND HUMANITY</w:t>
      </w:r>
    </w:p>
    <w:p>
      <w:pPr>
        <w:spacing w:before="100" w:after="40"/>
      </w:pPr>
      <w:r>
        <w:rPr>
          <w:b/>
          <w:sz w:val="17"/>
        </w:rPr>
        <w:t>HEADLINE</w:t>
      </w:r>
    </w:p>
    <w:p>
      <w:pPr>
        <w:spacing w:after="100" w:line="259" w:lineRule="auto"/>
      </w:pPr>
      <w:r>
        <w:t>Preserving Wisdom. Serving People. Building for the Future.</w:t>
      </w:r>
    </w:p>
    <w:p>
      <w:pPr>
        <w:spacing w:before="100" w:after="40"/>
      </w:pPr>
      <w:r>
        <w:rPr>
          <w:b/>
          <w:sz w:val="17"/>
        </w:rPr>
        <w:t>INTRODUCTORY COPY</w:t>
      </w:r>
    </w:p>
    <w:p>
      <w:pPr>
        <w:spacing w:after="100" w:line="259" w:lineRule="auto"/>
      </w:pPr>
      <w:r>
        <w:t>Acharya Shanti Sagar Foundation is a charitable foundation established in 2019, working to preserve India’s manuscript heritage, strengthen rural communities and respond to practical human needs.</w:t>
      </w:r>
    </w:p>
    <w:p>
      <w:pPr>
        <w:spacing w:before="100" w:after="40"/>
      </w:pPr>
      <w:r>
        <w:rPr>
          <w:b/>
          <w:sz w:val="17"/>
        </w:rPr>
        <w:t>ACTION</w:t>
      </w:r>
    </w:p>
    <w:p>
      <w:pPr>
        <w:spacing w:after="100" w:line="259" w:lineRule="auto"/>
      </w:pPr>
      <w:r>
        <w:t>Explore Our Work   |   Support the Mission</w:t>
      </w:r>
    </w:p>
    <w:p>
      <w:pPr>
        <w:spacing w:before="260" w:after="100"/>
      </w:pPr>
      <w:r>
        <w:rPr>
          <w:b/>
          <w:sz w:val="32"/>
        </w:rPr>
        <w:t>2. WHO WE ARE</w:t>
      </w:r>
    </w:p>
    <w:p>
      <w:pPr>
        <w:spacing w:after="100" w:line="259" w:lineRule="auto"/>
      </w:pPr>
      <w:r>
        <w:t>The Acharya Shanti Sagar Foundation was founded with a commitment to service, heritage and the values of conscious, compassionate and non-violent living. What began with community-focused initiatives has grown into a broader programme of work that brings heritage preservation and community service together.</w:t>
      </w:r>
    </w:p>
    <w:p>
      <w:pPr>
        <w:spacing w:after="100" w:line="259" w:lineRule="auto"/>
      </w:pPr>
      <w:r>
        <w:t>Today, ASSF works through three connected areas: Manuscript Conservation, Rural Infrastructure and Community Services. Across each, the purpose is practical—to protect what is valuable, respond where there is need, and create lasting value for the communities and institutions we serve.</w:t>
      </w:r>
    </w:p>
    <w:p>
      <w:pPr>
        <w:spacing w:before="100" w:after="40"/>
      </w:pPr>
      <w:r>
        <w:rPr>
          <w:b/>
          <w:sz w:val="17"/>
        </w:rPr>
        <w:t>LINK</w:t>
      </w:r>
    </w:p>
    <w:p>
      <w:pPr>
        <w:spacing w:after="100" w:line="259" w:lineRule="auto"/>
      </w:pPr>
      <w:r>
        <w:t>Read Our Story</w:t>
      </w:r>
    </w:p>
    <w:p>
      <w:pPr>
        <w:spacing w:before="260" w:after="100"/>
      </w:pPr>
      <w:r>
        <w:rPr>
          <w:b/>
          <w:sz w:val="32"/>
        </w:rPr>
        <w:t>3. WHY THIS WORK MATTERS</w:t>
      </w:r>
    </w:p>
    <w:p>
      <w:pPr>
        <w:spacing w:after="100" w:line="259" w:lineRule="auto"/>
      </w:pPr>
      <w:r>
        <w:t>India’s heritage is held not only in monuments and museums, but also in manuscripts preserved for generations by temples, maths and traditional institutions. Many of these collections are increasingly fragile. Palm leaf can become brittle, cracked or damaged by insects; handmade paper can tear, stain and deteriorate.</w:t>
      </w:r>
    </w:p>
    <w:p>
      <w:pPr>
        <w:spacing w:after="100" w:line="259" w:lineRule="auto"/>
      </w:pPr>
      <w:r>
        <w:t>At the same time, communities continue to face practical needs that require timely and dignified responses. ASSF therefore works across both heritage and human service—preserving knowledge for the future while responding to needs in the present.</w:t>
      </w:r>
    </w:p>
    <w:p>
      <w:pPr>
        <w:spacing w:before="260" w:after="100"/>
      </w:pPr>
      <w:r>
        <w:rPr>
          <w:b/>
          <w:sz w:val="32"/>
        </w:rPr>
        <w:t>4. OUR THREE PILLARS</w:t>
      </w:r>
    </w:p>
    <w:p>
      <w:pPr>
        <w:spacing w:before="100" w:after="40"/>
      </w:pPr>
      <w:r>
        <w:rPr>
          <w:b/>
          <w:sz w:val="17"/>
        </w:rPr>
        <w:t>01 — MANUSCRIPT CONSERVATION</w:t>
      </w:r>
    </w:p>
    <w:p>
      <w:pPr>
        <w:spacing w:after="100" w:line="259" w:lineRule="auto"/>
      </w:pPr>
      <w:r>
        <w:t>Preserving Knowledge Written by Hand</w:t>
      </w:r>
    </w:p>
    <w:p>
      <w:pPr>
        <w:spacing w:after="100" w:line="259" w:lineRule="auto"/>
      </w:pPr>
      <w:r>
        <w:t>ASSF undertakes scientific conservation of fragile palm-leaf and handwritten paper manuscripts through careful assessment, treatment, documentation, archival preservation and digitisation.</w:t>
      </w:r>
    </w:p>
    <w:p>
      <w:pPr>
        <w:spacing w:before="100" w:after="40"/>
      </w:pPr>
      <w:r>
        <w:rPr>
          <w:b/>
          <w:sz w:val="17"/>
        </w:rPr>
        <w:t>02 — RURAL INFRASTRUCTURE</w:t>
      </w:r>
    </w:p>
    <w:p>
      <w:pPr>
        <w:spacing w:after="100" w:line="259" w:lineRule="auto"/>
      </w:pPr>
      <w:r>
        <w:t>Creating Spaces That Serve Communities</w:t>
      </w:r>
    </w:p>
    <w:p>
      <w:pPr>
        <w:spacing w:after="100" w:line="259" w:lineRule="auto"/>
      </w:pPr>
      <w:r>
        <w:t>ASSF supports practical rural infrastructure that enables communities and institutions to create safe, functional spaces for learning, gathering, accommodation and community life.</w:t>
      </w:r>
    </w:p>
    <w:p>
      <w:pPr>
        <w:spacing w:before="100" w:after="40"/>
      </w:pPr>
      <w:r>
        <w:rPr>
          <w:b/>
          <w:sz w:val="17"/>
        </w:rPr>
        <w:t>03 — COMMUNITY SERVICES</w:t>
      </w:r>
    </w:p>
    <w:p>
      <w:pPr>
        <w:spacing w:after="100" w:line="259" w:lineRule="auto"/>
      </w:pPr>
      <w:r>
        <w:t>Responding Where the Need Is Immediate</w:t>
      </w:r>
    </w:p>
    <w:p>
      <w:pPr>
        <w:spacing w:after="100" w:line="259" w:lineRule="auto"/>
      </w:pPr>
      <w:r>
        <w:t>ASSF responds to immediate needs through healthcare, education support and humanitarian relief, with interventions shaped by the circumstances of the communities being served.</w:t>
      </w:r>
    </w:p>
    <w:p>
      <w:pPr>
        <w:spacing w:before="100" w:after="40"/>
      </w:pPr>
      <w:r>
        <w:rPr>
          <w:b/>
          <w:sz w:val="17"/>
        </w:rPr>
        <w:t>LINK</w:t>
      </w:r>
    </w:p>
    <w:p>
      <w:pPr>
        <w:spacing w:after="100" w:line="259" w:lineRule="auto"/>
      </w:pPr>
      <w:r>
        <w:t>Explore Our Work</w:t>
      </w:r>
    </w:p>
    <w:p>
      <w:pPr>
        <w:spacing w:before="260" w:after="100"/>
      </w:pPr>
      <w:r>
        <w:rPr>
          <w:b/>
          <w:sz w:val="32"/>
        </w:rPr>
        <w:t>5. MANUSCRIPT CONSERVATION — FROM PRESERVATION TO ACCESS</w:t>
      </w:r>
    </w:p>
    <w:p>
      <w:pPr>
        <w:spacing w:after="100" w:line="259" w:lineRule="auto"/>
      </w:pPr>
      <w:r>
        <w:t>For ASSF, conservation is not simply about repairing old manuscripts. It is about protecting the material record of knowledge so that the texts, ideas and traditions they contain remain available to future generations.</w:t>
      </w:r>
    </w:p>
    <w:p>
      <w:pPr>
        <w:spacing w:after="100" w:line="259" w:lineRule="auto"/>
      </w:pPr>
      <w:r>
        <w:t>Our conservation work brings together skilled conservators, scientific treatment, documentation, archival housing and digitisation. Each collection presents different materials and conditions, requiring careful assessment and appropriate treatment.</w:t>
      </w:r>
    </w:p>
    <w:p>
      <w:pPr>
        <w:spacing w:before="100" w:after="40"/>
      </w:pPr>
      <w:r>
        <w:rPr>
          <w:b/>
          <w:sz w:val="17"/>
        </w:rPr>
        <w:t>OUR WORK SO FAR</w:t>
      </w:r>
    </w:p>
    <w:tbl>
      <w:tblPr>
        <w:tblW w:type="auto" w:w="0"/>
        <w:jc w:val="center"/>
        <w:tblLook w:firstColumn="1" w:firstRow="1" w:lastColumn="0" w:lastRow="0" w:noHBand="0" w:noVBand="1" w:val="04A0"/>
      </w:tblPr>
      <w:tblGrid>
        <w:gridCol w:w="4968"/>
        <w:gridCol w:w="4968"/>
      </w:tblGrid>
      <w:tr>
        <w:tc>
          <w:tcPr>
            <w:tcW w:type="dxa" w:w="4968"/>
          </w:tcPr>
          <w:p>
            <w:r>
              <w:rPr>
                <w:b/>
              </w:rPr>
              <w:t>Measure</w:t>
            </w:r>
          </w:p>
        </w:tc>
        <w:tc>
          <w:tcPr>
            <w:tcW w:type="dxa" w:w="4968"/>
          </w:tcPr>
          <w:p>
            <w:r>
              <w:rPr>
                <w:b/>
              </w:rPr>
              <w:t>Documented Impact</w:t>
            </w:r>
          </w:p>
        </w:tc>
      </w:tr>
      <w:tr>
        <w:tc>
          <w:tcPr>
            <w:tcW w:type="dxa" w:w="4968"/>
          </w:tcPr>
          <w:p>
            <w:r>
              <w:t>Manuscripts / objects conserved</w:t>
            </w:r>
          </w:p>
        </w:tc>
        <w:tc>
          <w:tcPr>
            <w:tcW w:type="dxa" w:w="4968"/>
          </w:tcPr>
          <w:p>
            <w:r>
              <w:t>1,620</w:t>
            </w:r>
          </w:p>
        </w:tc>
      </w:tr>
      <w:tr>
        <w:tc>
          <w:tcPr>
            <w:tcW w:type="dxa" w:w="4968"/>
          </w:tcPr>
          <w:p>
            <w:r>
              <w:t>Folios conserved</w:t>
            </w:r>
          </w:p>
        </w:tc>
        <w:tc>
          <w:tcPr>
            <w:tcW w:type="dxa" w:w="4968"/>
          </w:tcPr>
          <w:p>
            <w:r>
              <w:t>1,34,545</w:t>
            </w:r>
          </w:p>
        </w:tc>
      </w:tr>
      <w:tr>
        <w:tc>
          <w:tcPr>
            <w:tcW w:type="dxa" w:w="4968"/>
          </w:tcPr>
          <w:p>
            <w:r>
              <w:t>Repositories surveyed</w:t>
            </w:r>
          </w:p>
        </w:tc>
        <w:tc>
          <w:tcPr>
            <w:tcW w:type="dxa" w:w="4968"/>
          </w:tcPr>
          <w:p>
            <w:r>
              <w:t>18</w:t>
            </w:r>
          </w:p>
        </w:tc>
      </w:tr>
      <w:tr>
        <w:tc>
          <w:tcPr>
            <w:tcW w:type="dxa" w:w="4968"/>
          </w:tcPr>
          <w:p>
            <w:r>
              <w:t>Manuscripts documented through survey</w:t>
            </w:r>
          </w:p>
        </w:tc>
        <w:tc>
          <w:tcPr>
            <w:tcW w:type="dxa" w:w="4968"/>
          </w:tcPr>
          <w:p>
            <w:r>
              <w:t>12,681</w:t>
            </w:r>
          </w:p>
        </w:tc>
      </w:tr>
      <w:tr>
        <w:tc>
          <w:tcPr>
            <w:tcW w:type="dxa" w:w="4968"/>
          </w:tcPr>
          <w:p>
            <w:r>
              <w:t>Folios documented through survey</w:t>
            </w:r>
          </w:p>
        </w:tc>
        <w:tc>
          <w:tcPr>
            <w:tcW w:type="dxa" w:w="4968"/>
          </w:tcPr>
          <w:p>
            <w:r>
              <w:t>17,14,928</w:t>
            </w:r>
          </w:p>
        </w:tc>
      </w:tr>
    </w:tbl>
    <w:p>
      <w:pPr>
        <w:spacing w:after="80"/>
      </w:pPr>
      <w:r>
        <w:rPr>
          <w:i/>
          <w:sz w:val="18"/>
        </w:rPr>
        <w:t>These figures should be published with the final management-approved definitions and verification date.</w:t>
      </w:r>
    </w:p>
    <w:p>
      <w:pPr>
        <w:spacing w:before="100" w:after="40"/>
      </w:pPr>
      <w:r>
        <w:rPr>
          <w:b/>
          <w:sz w:val="17"/>
        </w:rPr>
        <w:t>LINK</w:t>
      </w:r>
    </w:p>
    <w:p>
      <w:pPr>
        <w:spacing w:after="100" w:line="259" w:lineRule="auto"/>
      </w:pPr>
      <w:r>
        <w:t>Explore Manuscript Conservation</w:t>
      </w:r>
    </w:p>
    <w:p>
      <w:pPr>
        <w:spacing w:before="260" w:after="100"/>
      </w:pPr>
      <w:r>
        <w:rPr>
          <w:b/>
          <w:sz w:val="32"/>
        </w:rPr>
        <w:t>6. FROM COMPLETED WORK TO ONGOING WORK</w:t>
      </w:r>
    </w:p>
    <w:p>
      <w:pPr>
        <w:spacing w:before="100" w:after="40"/>
      </w:pPr>
      <w:r>
        <w:rPr>
          <w:b/>
          <w:sz w:val="17"/>
        </w:rPr>
        <w:t>KUMBHOJ, MAHARASHTRA</w:t>
      </w:r>
    </w:p>
    <w:p>
      <w:pPr>
        <w:spacing w:after="100" w:line="259" w:lineRule="auto"/>
      </w:pPr>
      <w:r>
        <w:t>Bahubali Siddhopeth Granthalaya</w:t>
      </w:r>
    </w:p>
    <w:p>
      <w:pPr>
        <w:spacing w:after="100" w:line="259" w:lineRule="auto"/>
      </w:pPr>
      <w:r>
        <w:t>ASSF conserved 1,399 manuscripts comprising 1,06,277 folios. The conserved collection was also digitised, creating a durable record for future access and study.</w:t>
      </w:r>
    </w:p>
    <w:p>
      <w:pPr>
        <w:spacing w:before="100" w:after="40"/>
      </w:pPr>
      <w:r>
        <w:rPr>
          <w:b/>
          <w:sz w:val="17"/>
        </w:rPr>
        <w:t>KARANJA LAD, MAHARASHTRA</w:t>
      </w:r>
    </w:p>
    <w:p>
      <w:pPr>
        <w:spacing w:after="100" w:line="259" w:lineRule="auto"/>
      </w:pPr>
      <w:r>
        <w:t>Mahaveer Gurukul Ashram</w:t>
      </w:r>
    </w:p>
    <w:p>
      <w:pPr>
        <w:spacing w:after="100" w:line="259" w:lineRule="auto"/>
      </w:pPr>
      <w:r>
        <w:t>Between October 2024 and August 2025, ASSF conserved 221 manuscripts comprising 28,268 folios. The work involved the treatment of fragile palm-leaf and paper collections affected by deterioration, insect damage, staining and structural loss.</w:t>
      </w:r>
    </w:p>
    <w:p>
      <w:pPr>
        <w:spacing w:before="100" w:after="40"/>
      </w:pPr>
      <w:r>
        <w:rPr>
          <w:b/>
          <w:sz w:val="17"/>
        </w:rPr>
        <w:t>SHRAVANABELAGOLA, KARNATAKA</w:t>
      </w:r>
    </w:p>
    <w:p>
      <w:pPr>
        <w:spacing w:after="100" w:line="259" w:lineRule="auto"/>
      </w:pPr>
      <w:r>
        <w:t>Bahubali Prakrit Bhawan</w:t>
      </w:r>
    </w:p>
    <w:p>
      <w:pPr>
        <w:spacing w:after="100" w:line="259" w:lineRule="auto"/>
      </w:pPr>
      <w:r>
        <w:t>The ongoing conservation programme began on 11 July 2025. The surveyed collection comprises 2,695 granthas and 3,65,520 folios. The programme represents one of ASSF’s major continuing efforts to protect a significant manuscript collection.</w:t>
      </w:r>
    </w:p>
    <w:p>
      <w:pPr>
        <w:spacing w:before="100" w:after="40"/>
      </w:pPr>
      <w:r>
        <w:rPr>
          <w:b/>
          <w:sz w:val="17"/>
        </w:rPr>
        <w:t>KARANJA LAD — CONTINUING WORK</w:t>
      </w:r>
    </w:p>
    <w:p>
      <w:pPr>
        <w:spacing w:after="100" w:line="259" w:lineRule="auto"/>
      </w:pPr>
      <w:r>
        <w:t>Shri Mulsang Balatkar Gan Mandir</w:t>
      </w:r>
    </w:p>
    <w:p>
      <w:pPr>
        <w:spacing w:after="100" w:line="259" w:lineRule="auto"/>
      </w:pPr>
      <w:r>
        <w:t>Building on its earlier work at Karanja Lad, ASSF is continuing conservation across additional repositories, extending the work to collections that require sustained care and documentation.</w:t>
      </w:r>
    </w:p>
    <w:p>
      <w:pPr>
        <w:spacing w:before="100" w:after="40"/>
      </w:pPr>
      <w:r>
        <w:rPr>
          <w:b/>
          <w:sz w:val="17"/>
        </w:rPr>
        <w:t>LINK</w:t>
      </w:r>
    </w:p>
    <w:p>
      <w:pPr>
        <w:spacing w:after="100" w:line="259" w:lineRule="auto"/>
      </w:pPr>
      <w:r>
        <w:t>View Projects</w:t>
      </w:r>
    </w:p>
    <w:p>
      <w:pPr>
        <w:spacing w:before="260" w:after="100"/>
      </w:pPr>
      <w:r>
        <w:rPr>
          <w:b/>
          <w:sz w:val="32"/>
        </w:rPr>
        <w:t>7. LATEST FROM THE FIELD</w:t>
      </w:r>
    </w:p>
    <w:p>
      <w:pPr>
        <w:spacing w:after="100" w:line="259" w:lineRule="auto"/>
      </w:pPr>
      <w:r>
        <w:t>The work continues beyond completed projects. ASSF’s conservation teams are currently engaged in ongoing field programmes, particularly at Shravanabelagola and Karanja Lad, while the Foundation continues to document collections, strengthen conservation capacity and expand its work with custodial institutions.</w:t>
      </w:r>
    </w:p>
    <w:p>
      <w:pPr>
        <w:spacing w:after="100" w:line="259" w:lineRule="auto"/>
      </w:pPr>
      <w:r>
        <w:t>Current project updates, field reports, events and stories from the work will appear here.</w:t>
      </w:r>
    </w:p>
    <w:p>
      <w:pPr>
        <w:spacing w:before="100" w:after="40"/>
      </w:pPr>
      <w:r>
        <w:rPr>
          <w:b/>
          <w:sz w:val="17"/>
        </w:rPr>
        <w:t>LINK</w:t>
      </w:r>
    </w:p>
    <w:p>
      <w:pPr>
        <w:spacing w:after="100" w:line="259" w:lineRule="auto"/>
      </w:pPr>
      <w:r>
        <w:t>View News &amp; Updates</w:t>
      </w:r>
    </w:p>
    <w:p>
      <w:pPr>
        <w:spacing w:before="260" w:after="100"/>
      </w:pPr>
      <w:r>
        <w:rPr>
          <w:b/>
          <w:sz w:val="32"/>
        </w:rPr>
        <w:t>8. COMMUNITY SERVICES — SERVICE WHERE IT IS NEEDED</w:t>
      </w:r>
    </w:p>
    <w:p>
      <w:pPr>
        <w:spacing w:after="100" w:line="259" w:lineRule="auto"/>
      </w:pPr>
      <w:r>
        <w:t>Alongside heritage preservation, ASSF has undertaken practical initiatives addressing immediate community needs. These include healthcare camps, education support and humanitarian relief during emergencies.</w:t>
      </w:r>
    </w:p>
    <w:p>
      <w:pPr>
        <w:spacing w:before="100" w:after="40"/>
      </w:pPr>
      <w:r>
        <w:rPr>
          <w:b/>
          <w:sz w:val="17"/>
        </w:rPr>
        <w:t>HEALTHCARE</w:t>
      </w:r>
    </w:p>
    <w:p>
      <w:pPr>
        <w:spacing w:after="100" w:line="259" w:lineRule="auto"/>
      </w:pPr>
      <w:r>
        <w:t>Free medical camps have brought specialist healthcare to underserved communities. At Yarnal, Belagavi, a health camp reached around 1,800 villagers, with 78 cataract cases subsequently receiving free surgery.</w:t>
      </w:r>
    </w:p>
    <w:p>
      <w:pPr>
        <w:spacing w:before="100" w:after="40"/>
      </w:pPr>
      <w:r>
        <w:rPr>
          <w:b/>
          <w:sz w:val="17"/>
        </w:rPr>
        <w:t>EDUCATION SUPPORT</w:t>
      </w:r>
    </w:p>
    <w:p>
      <w:pPr>
        <w:spacing w:after="100" w:line="259" w:lineRule="auto"/>
      </w:pPr>
      <w:r>
        <w:t>ASSF has supported students in underserved communities through learning materials and educational assistance, including the distribution of books and stationery to nearly 500 students in a documented programme.</w:t>
      </w:r>
    </w:p>
    <w:p>
      <w:pPr>
        <w:spacing w:before="100" w:after="40"/>
      </w:pPr>
      <w:r>
        <w:rPr>
          <w:b/>
          <w:sz w:val="17"/>
        </w:rPr>
        <w:t>HUMANITARIAN RELIEF</w:t>
      </w:r>
    </w:p>
    <w:p>
      <w:pPr>
        <w:spacing w:after="100" w:line="259" w:lineRule="auto"/>
      </w:pPr>
      <w:r>
        <w:t>During the COVID-19 humanitarian response, 7,77,534 cooked meal packets and 2,795 food-grain kits were distributed between 1 April and 3 May 2020. ASSF has also supported communities affected by floods through food, essential supplies and assistance for affected families.</w:t>
      </w:r>
    </w:p>
    <w:p>
      <w:pPr>
        <w:spacing w:before="100" w:after="40"/>
      </w:pPr>
      <w:r>
        <w:rPr>
          <w:b/>
          <w:sz w:val="17"/>
        </w:rPr>
        <w:t>LINK</w:t>
      </w:r>
    </w:p>
    <w:p>
      <w:pPr>
        <w:spacing w:after="100" w:line="259" w:lineRule="auto"/>
      </w:pPr>
      <w:r>
        <w:t>See Community Services</w:t>
      </w:r>
    </w:p>
    <w:p>
      <w:pPr>
        <w:spacing w:before="260" w:after="100"/>
      </w:pPr>
      <w:r>
        <w:rPr>
          <w:b/>
          <w:sz w:val="32"/>
        </w:rPr>
        <w:t>9. RURAL INFRASTRUCTURE — BUILDING FOR COMMUNITY LIFE</w:t>
      </w:r>
    </w:p>
    <w:p>
      <w:pPr>
        <w:spacing w:after="100" w:line="259" w:lineRule="auto"/>
      </w:pPr>
      <w:r>
        <w:t>A strong community needs more than individual support. It also needs spaces in which people can learn, gather, work, stay and participate in community life.</w:t>
      </w:r>
    </w:p>
    <w:p>
      <w:pPr>
        <w:spacing w:after="100" w:line="259" w:lineRule="auto"/>
      </w:pPr>
      <w:r>
        <w:t>ASSF’s rural infrastructure initiatives have included community facilities and staff accommodation, with a focus on practical gaps and lasting use. At Yarnal, for example, ASSF has supported community spaces intended for gatherings, educational activities and local cultural life.</w:t>
      </w:r>
    </w:p>
    <w:p>
      <w:pPr>
        <w:spacing w:after="100" w:line="259" w:lineRule="auto"/>
      </w:pPr>
      <w:r>
        <w:t>The question is not simply what we build, but what the space enables a community to do.</w:t>
      </w:r>
    </w:p>
    <w:p>
      <w:pPr>
        <w:spacing w:before="100" w:after="40"/>
      </w:pPr>
      <w:r>
        <w:rPr>
          <w:b/>
          <w:sz w:val="17"/>
        </w:rPr>
        <w:t>LINK</w:t>
      </w:r>
    </w:p>
    <w:p>
      <w:pPr>
        <w:spacing w:after="100" w:line="259" w:lineRule="auto"/>
      </w:pPr>
      <w:r>
        <w:t>See Rural Infrastructure</w:t>
      </w:r>
    </w:p>
    <w:p>
      <w:pPr>
        <w:spacing w:before="260" w:after="100"/>
      </w:pPr>
      <w:r>
        <w:rPr>
          <w:b/>
          <w:sz w:val="32"/>
        </w:rPr>
        <w:t>10. THE SCALE OF THE WORK AHEAD</w:t>
      </w:r>
    </w:p>
    <w:p>
      <w:pPr>
        <w:spacing w:after="100" w:line="259" w:lineRule="auto"/>
      </w:pPr>
      <w:r>
        <w:t>What we have conserved is significant. What remains to be protected is far greater.</w:t>
      </w:r>
    </w:p>
    <w:p>
      <w:pPr>
        <w:spacing w:after="100" w:line="259" w:lineRule="auto"/>
      </w:pPr>
      <w:r>
        <w:t>To understand the wider need, ASSF undertook a structured survey across Karnataka, Maharashtra and Tamil Nadu. The survey covered 18 repositories and documented 12,681 manuscripts comprising 17,14,928 folios.</w:t>
      </w:r>
    </w:p>
    <w:p>
      <w:pPr>
        <w:spacing w:after="100" w:line="259" w:lineRule="auto"/>
      </w:pPr>
      <w:r>
        <w:t>These collections are held by temples, maths and traditional institutions that have safeguarded their heritage for generations. The scale of the collections makes clear that conservation cannot be treated as a one-time intervention. It requires trained people, scientific expertise, documentation, digitisation, institutional partnerships and sustained support.</w:t>
      </w:r>
    </w:p>
    <w:p>
      <w:pPr>
        <w:spacing w:after="100" w:line="259" w:lineRule="auto"/>
      </w:pPr>
      <w:r>
        <w:t>ASSF’s work is therefore continuing—not only to conserve individual collections, but to build the capacity required to protect more of India’s manuscript heritage over the long term.</w:t>
      </w:r>
    </w:p>
    <w:p>
      <w:pPr>
        <w:spacing w:before="100" w:after="40"/>
      </w:pPr>
      <w:r>
        <w:rPr>
          <w:b/>
          <w:sz w:val="17"/>
        </w:rPr>
        <w:t>LINK</w:t>
      </w:r>
    </w:p>
    <w:p>
      <w:pPr>
        <w:spacing w:after="100" w:line="259" w:lineRule="auto"/>
      </w:pPr>
      <w:r>
        <w:t>Understand the Scale of the Work</w:t>
      </w:r>
    </w:p>
    <w:p>
      <w:pPr>
        <w:spacing w:before="260" w:after="100"/>
      </w:pPr>
      <w:r>
        <w:rPr>
          <w:b/>
          <w:sz w:val="32"/>
        </w:rPr>
        <w:t>11. VOICES FROM THE WORK</w:t>
      </w:r>
    </w:p>
    <w:p>
      <w:pPr>
        <w:spacing w:after="100" w:line="259" w:lineRule="auto"/>
      </w:pPr>
      <w:r>
        <w:t>The impact of this work is best understood through the people and institutions who experience it directly.</w:t>
      </w:r>
    </w:p>
    <w:p>
      <w:pPr>
        <w:spacing w:after="100" w:line="259" w:lineRule="auto"/>
      </w:pPr>
      <w:r>
        <w:t>“[Approved testimonial from a manuscript custodian or institutional partner]”</w:t>
      </w:r>
    </w:p>
    <w:p>
      <w:pPr>
        <w:spacing w:after="100" w:line="259" w:lineRule="auto"/>
      </w:pPr>
      <w:r>
        <w:t>— Name | Role | Institution / Location</w:t>
      </w:r>
    </w:p>
    <w:p>
      <w:pPr>
        <w:spacing w:after="100" w:line="259" w:lineRule="auto"/>
      </w:pPr>
      <w:r>
        <w:t>“[Approved testimonial from a community beneficiary or representative]”</w:t>
      </w:r>
    </w:p>
    <w:p>
      <w:pPr>
        <w:spacing w:after="100" w:line="259" w:lineRule="auto"/>
      </w:pPr>
      <w:r>
        <w:t>— Name | Role | Location</w:t>
      </w:r>
    </w:p>
    <w:p>
      <w:pPr>
        <w:spacing w:after="100" w:line="259" w:lineRule="auto"/>
      </w:pPr>
      <w:r>
        <w:t>“[Approved testimonial from a conservation professional, trainee or partner]”</w:t>
      </w:r>
    </w:p>
    <w:p>
      <w:pPr>
        <w:spacing w:after="100" w:line="259" w:lineRule="auto"/>
      </w:pPr>
      <w:r>
        <w:t>— Name | Role | Institution / Location</w:t>
      </w:r>
    </w:p>
    <w:p>
      <w:pPr>
        <w:spacing w:after="80"/>
      </w:pPr>
      <w:r>
        <w:rPr>
          <w:i/>
          <w:sz w:val="18"/>
        </w:rPr>
        <w:t>Only verified and approved testimonials should be inserted. Direct quotations should be used only with the speaker’s consent.</w:t>
      </w:r>
    </w:p>
    <w:p>
      <w:pPr>
        <w:spacing w:before="100" w:after="40"/>
      </w:pPr>
      <w:r>
        <w:rPr>
          <w:b/>
          <w:sz w:val="17"/>
        </w:rPr>
        <w:t>LINK</w:t>
      </w:r>
    </w:p>
    <w:p>
      <w:pPr>
        <w:spacing w:after="100" w:line="259" w:lineRule="auto"/>
      </w:pPr>
      <w:r>
        <w:t>Read More Stories</w:t>
      </w:r>
    </w:p>
    <w:p>
      <w:pPr>
        <w:spacing w:before="260" w:after="100"/>
      </w:pPr>
      <w:r>
        <w:rPr>
          <w:b/>
          <w:sz w:val="32"/>
        </w:rPr>
        <w:t>12. WHAT GUIDES US</w:t>
      </w:r>
    </w:p>
    <w:p>
      <w:pPr>
        <w:spacing w:before="100" w:after="40"/>
      </w:pPr>
      <w:r>
        <w:rPr>
          <w:b/>
          <w:sz w:val="17"/>
        </w:rPr>
        <w:t>MISSION</w:t>
      </w:r>
    </w:p>
    <w:p>
      <w:pPr>
        <w:spacing w:after="100" w:line="259" w:lineRule="auto"/>
      </w:pPr>
      <w:r>
        <w:t>To guard what is ancient, serve what is present, and build what is needed.</w:t>
      </w:r>
    </w:p>
    <w:p>
      <w:pPr>
        <w:spacing w:before="100" w:after="40"/>
      </w:pPr>
      <w:r>
        <w:rPr>
          <w:b/>
          <w:sz w:val="17"/>
        </w:rPr>
        <w:t>VISION</w:t>
      </w:r>
    </w:p>
    <w:p>
      <w:pPr>
        <w:spacing w:after="100" w:line="259" w:lineRule="auto"/>
      </w:pPr>
      <w:r>
        <w:t>To carry forward a way of living shaped by conscious, compassionate and non-violent values—preserving the knowledge that expresses those values and putting them into practice through service.</w:t>
      </w:r>
    </w:p>
    <w:p>
      <w:pPr>
        <w:spacing w:before="100" w:after="40"/>
      </w:pPr>
      <w:r>
        <w:rPr>
          <w:b/>
          <w:sz w:val="17"/>
        </w:rPr>
        <w:t>VALUES</w:t>
      </w:r>
    </w:p>
    <w:p>
      <w:pPr>
        <w:spacing w:after="100" w:line="259" w:lineRule="auto"/>
      </w:pPr>
      <w:r>
        <w:t>Ahimsa — Non-violence</w:t>
      </w:r>
    </w:p>
    <w:p>
      <w:pPr>
        <w:spacing w:after="100" w:line="259" w:lineRule="auto"/>
      </w:pPr>
      <w:r>
        <w:t>Satya — Truth</w:t>
      </w:r>
    </w:p>
    <w:p>
      <w:pPr>
        <w:spacing w:after="100" w:line="259" w:lineRule="auto"/>
      </w:pPr>
      <w:r>
        <w:t>Aparigraha — Responsible restraint</w:t>
      </w:r>
    </w:p>
    <w:p>
      <w:pPr>
        <w:spacing w:after="100" w:line="259" w:lineRule="auto"/>
      </w:pPr>
      <w:r>
        <w:t>Anekantavada — Respect for the many-sided nature of truth</w:t>
      </w:r>
    </w:p>
    <w:p>
      <w:pPr>
        <w:spacing w:after="100" w:line="259" w:lineRule="auto"/>
      </w:pPr>
      <w:r>
        <w:t>Compassion and Seva — Service with care and responsibility</w:t>
      </w:r>
    </w:p>
    <w:p>
      <w:pPr>
        <w:spacing w:before="260" w:after="100"/>
      </w:pPr>
      <w:r>
        <w:rPr>
          <w:b/>
          <w:sz w:val="32"/>
        </w:rPr>
        <w:t>13. LEADERSHIP &amp; GOVERNANCE</w:t>
      </w:r>
    </w:p>
    <w:p>
      <w:pPr>
        <w:spacing w:after="100" w:line="259" w:lineRule="auto"/>
      </w:pPr>
      <w:r>
        <w:t>ASSF is guided by trustees and advisors committed to responsible stewardship of the Foundation’s work, resources and long-term purpose. Their experience and oversight support the Foundation’s programmes across heritage conservation, community service and rural development.</w:t>
      </w:r>
    </w:p>
    <w:p>
      <w:pPr>
        <w:spacing w:before="100" w:after="40"/>
      </w:pPr>
      <w:r>
        <w:rPr>
          <w:b/>
          <w:sz w:val="17"/>
        </w:rPr>
        <w:t>LINK</w:t>
      </w:r>
    </w:p>
    <w:p>
      <w:pPr>
        <w:spacing w:after="100" w:line="259" w:lineRule="auto"/>
      </w:pPr>
      <w:r>
        <w:t>Meet Our Trustees</w:t>
      </w:r>
    </w:p>
    <w:p>
      <w:pPr>
        <w:spacing w:before="260" w:after="100"/>
      </w:pPr>
      <w:r>
        <w:rPr>
          <w:b/>
          <w:sz w:val="32"/>
        </w:rPr>
        <w:t>14. JOIN THE WORK</w:t>
      </w:r>
    </w:p>
    <w:p>
      <w:pPr>
        <w:spacing w:after="100" w:line="259" w:lineRule="auto"/>
      </w:pPr>
      <w:r>
        <w:t>Preserving knowledge and serving communities are long-term responsibilities. They require people, expertise, institutions, resources and partnerships.</w:t>
      </w:r>
    </w:p>
    <w:p>
      <w:pPr>
        <w:spacing w:after="100" w:line="259" w:lineRule="auto"/>
      </w:pPr>
      <w:r>
        <w:t>Whether through support, institutional collaboration, professional expertise or participation, there are many ways to contribute to work that protects heritage and creates lasting value for communities.</w:t>
      </w:r>
    </w:p>
    <w:p>
      <w:pPr>
        <w:spacing w:before="100" w:after="40"/>
      </w:pPr>
      <w:r>
        <w:rPr>
          <w:b/>
          <w:sz w:val="17"/>
        </w:rPr>
        <w:t>ACTIONS</w:t>
      </w:r>
    </w:p>
    <w:p>
      <w:pPr>
        <w:spacing w:after="100" w:line="259" w:lineRule="auto"/>
      </w:pPr>
      <w:r>
        <w:t>Support Our Work   |   Partner With Us   |   Work With Us   |   Contact Us</w:t>
      </w:r>
    </w:p>
    <w:p>
      <w:pPr>
        <w:spacing w:before="260" w:after="100"/>
      </w:pPr>
      <w:r>
        <w:rPr>
          <w:b/>
          <w:sz w:val="32"/>
        </w:rPr>
        <w:t>15. CLOSING BRAND LINE</w:t>
      </w:r>
    </w:p>
    <w:p>
      <w:pPr>
        <w:spacing w:after="100" w:line="259" w:lineRule="auto"/>
      </w:pPr>
      <w:r>
        <w:t>In Service of Heritage and Humanity</w:t>
      </w:r>
    </w:p>
    <w:p>
      <w:pPr>
        <w:spacing w:before="260" w:after="100"/>
      </w:pPr>
      <w:r>
        <w:rPr>
          <w:b/>
          <w:sz w:val="32"/>
        </w:rPr>
        <w:t>16. FOOTER CONTENT</w:t>
      </w:r>
    </w:p>
    <w:p>
      <w:pPr>
        <w:spacing w:after="100" w:line="259" w:lineRule="auto"/>
      </w:pPr>
      <w:r>
        <w:t>Acharya Shanti Sagar Foundation</w:t>
      </w:r>
    </w:p>
    <w:p>
      <w:pPr>
        <w:spacing w:after="100" w:line="259" w:lineRule="auto"/>
      </w:pPr>
      <w:r>
        <w:t>In Service of Heritage and Humanity</w:t>
      </w:r>
    </w:p>
    <w:p>
      <w:pPr>
        <w:spacing w:after="100" w:line="259" w:lineRule="auto"/>
      </w:pPr>
      <w:r>
        <w:t>About Us | Our Work | Projects | Impact | Stories | News &amp; Updates | Support Us | Careers | Contact</w:t>
      </w:r>
    </w:p>
    <w:p>
      <w:pPr>
        <w:spacing w:after="80"/>
      </w:pPr>
      <w:r>
        <w:rPr>
          <w:i/>
          <w:sz w:val="18"/>
        </w:rPr>
        <w:t>Final registered-office address, statutory information, contact details and donation information to be inserted from the management-approved master information.</w:t>
      </w:r>
    </w:p>
    <w:p>
      <w:pPr>
        <w:spacing w:before="260" w:after="100"/>
      </w:pPr>
      <w:r>
        <w:rPr>
          <w:b/>
          <w:sz w:val="32"/>
        </w:rPr>
        <w:t>17. FINAL CONTENT REVIEW</w:t>
      </w:r>
    </w:p>
    <w:p>
      <w:pPr>
        <w:spacing w:after="100" w:line="259" w:lineRule="auto"/>
      </w:pPr>
      <w:r>
        <w:t>This homepage is structured as one continuous narrative: it begins by establishing who ASSF is, explains why its work matters, introduces the three pillars, demonstrates the Foundation’s manuscript conservation record, shows completed and ongoing work, presents community and rural initiatives, establishes the scale of the challenge ahead, brings in authentic voices, and closes with the values and ways to participate.</w:t>
      </w:r>
    </w:p>
    <w:p>
      <w:pPr>
        <w:spacing w:after="100" w:line="259" w:lineRule="auto"/>
      </w:pPr>
      <w:r>
        <w:t>Detailed conservation methodology, full project histories, extensive community case studies, trustee biographies, reports and other supporting material should remain available through the relevant inner pages rather than being placed in full on the homepage.</w:t>
      </w:r>
    </w:p>
    <w:p>
      <w:pPr>
        <w:spacing w:after="80"/>
      </w:pPr>
      <w:r>
        <w:rPr>
          <w:i/>
          <w:sz w:val="18"/>
        </w:rPr>
        <w:t>All numerical figures and current-project descriptions should be checked against the latest management-approved records immediately before publication.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