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260581B7"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260581B7"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260581B7"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260581B7"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260581B7"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31FDCD48">
            <w:pPr>
              <w:rPr>
                <w:rFonts w:eastAsia="Times New Roman"/>
                <w:sz w:val="20"/>
                <w:szCs w:val="20"/>
              </w:rPr>
            </w:pPr>
            <w:r w:rsidRPr="260581B7" w:rsidR="3EAEB42F">
              <w:rPr>
                <w:rFonts w:eastAsia="Times New Roman"/>
                <w:sz w:val="20"/>
                <w:szCs w:val="20"/>
              </w:rPr>
              <w:t>{</w:t>
            </w:r>
            <w:r w:rsidRPr="260581B7" w:rsidR="4E5537E4">
              <w:rPr>
                <w:rFonts w:eastAsia="Times New Roman"/>
                <w:sz w:val="20"/>
                <w:szCs w:val="20"/>
              </w:rPr>
              <w:t>abc</w:t>
            </w:r>
            <w:r w:rsidRPr="260581B7" w:rsidR="3EAEB42F">
              <w:rPr>
                <w:rFonts w:eastAsia="Times New Roman"/>
                <w:sz w:val="20"/>
                <w:szCs w:val="20"/>
              </w:rPr>
              <w:t>}</w:t>
            </w:r>
          </w:p>
        </w:tc>
      </w:tr>
      <w:tr xmlns:wp14="http://schemas.microsoft.com/office/word/2010/wordml" w:rsidR="00000000" w:rsidTr="260581B7"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260581B7"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260581B7"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2CE75BE9">
            <w:pPr/>
            <w:r w:rsidRPr="260581B7" w:rsidR="19D5B86C">
              <w:rPr>
                <w:rFonts w:ascii="Times New Roman" w:hAnsi="Times New Roman" w:eastAsia="" w:cs="Times New Roman" w:eastAsiaTheme="minorEastAsia"/>
                <w:color w:val="auto"/>
                <w:sz w:val="20"/>
                <w:szCs w:val="20"/>
                <w:lang w:eastAsia="ja-JP" w:bidi="ar-SA"/>
              </w:rPr>
              <w:t>{</w:t>
            </w:r>
            <w:r w:rsidRPr="260581B7" w:rsidR="38F84026">
              <w:rPr>
                <w:rFonts w:ascii="Times New Roman" w:hAnsi="Times New Roman" w:eastAsia="" w:cs="Times New Roman" w:eastAsiaTheme="minorEastAsia"/>
                <w:color w:val="auto"/>
                <w:sz w:val="20"/>
                <w:szCs w:val="20"/>
                <w:lang w:eastAsia="ja-JP" w:bidi="ar-SA"/>
              </w:rPr>
              <w:t>def</w:t>
            </w:r>
            <w:r w:rsidRPr="260581B7" w:rsidR="19D5B86C">
              <w:rPr>
                <w:rFonts w:ascii="Times New Roman" w:hAnsi="Times New Roman" w:eastAsia="" w:cs="Times New Roman" w:eastAsiaTheme="minorEastAsia"/>
                <w:color w:val="auto"/>
                <w:sz w:val="20"/>
                <w:szCs w:val="20"/>
                <w:lang w:eastAsia="ja-JP" w:bidi="ar-SA"/>
              </w:rPr>
              <w:t>}</w:t>
            </w:r>
          </w:p>
        </w:tc>
      </w:tr>
      <w:tr w:rsidR="349B3168" w:rsidTr="260581B7"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260581B7"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260581B7"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10000</w:t>
            </w:r>
            <w:r w:rsidRPr="496E0CA4" w:rsidR="00131701">
              <w:rPr>
                <w:rFonts w:eastAsia="Times New Roman"/>
                <w:sz w:val="20"/>
                <w:szCs w:val="20"/>
              </w:rPr>
              <w:t> ₺</w:t>
            </w:r>
          </w:p>
        </w:tc>
      </w:tr>
      <w:tr xmlns:wp14="http://schemas.microsoft.com/office/word/2010/wordml" w:rsidR="00000000" w:rsidTr="260581B7"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120000</w:t>
            </w:r>
          </w:p>
        </w:tc>
      </w:tr>
      <w:tr xmlns:wp14="http://schemas.microsoft.com/office/word/2010/wordml" w:rsidR="00000000" w:rsidTr="260581B7"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260581B7"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260581B7"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260581B7"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12.04.2026</w:t>
            </w:r>
          </w:p>
        </w:tc>
      </w:tr>
      <w:tr w:rsidR="260581B7" w:rsidTr="260581B7" w14:paraId="6E6A06FB">
        <w:trPr>
          <w:tblCellSpacing w:w="15" w:type="dxa"/>
          <w:trHeight w:val="300"/>
        </w:trPr>
        <w:tc>
          <w:tcPr>
            <w:tcW w:w="3570" w:type="dxa"/>
            <w:tcMar>
              <w:top w:w="30" w:type="dxa"/>
              <w:left w:w="30" w:type="dxa"/>
              <w:bottom w:w="30" w:type="dxa"/>
              <w:right w:w="30" w:type="dxa"/>
            </w:tcMar>
            <w:vAlign w:val="center"/>
            <w:hideMark/>
          </w:tcPr>
          <w:p w:rsidR="23028285" w:rsidP="260581B7" w:rsidRDefault="23028285" w14:paraId="159B7128" w14:textId="5AA7AA0B">
            <w:pPr>
              <w:pStyle w:val="Normal"/>
              <w:rPr>
                <w:rFonts w:eastAsia="Times New Roman"/>
                <w:sz w:val="20"/>
                <w:szCs w:val="20"/>
              </w:rPr>
            </w:pPr>
            <w:r w:rsidRPr="260581B7" w:rsidR="23028285">
              <w:rPr>
                <w:rFonts w:eastAsia="Times New Roman"/>
                <w:sz w:val="20"/>
                <w:szCs w:val="20"/>
              </w:rPr>
              <w:t xml:space="preserve">Kiraya Veren Ad </w:t>
            </w:r>
            <w:r w:rsidRPr="260581B7" w:rsidR="23028285">
              <w:rPr>
                <w:rFonts w:eastAsia="Times New Roman"/>
                <w:sz w:val="20"/>
                <w:szCs w:val="20"/>
              </w:rPr>
              <w:t>Soyad</w:t>
            </w:r>
          </w:p>
        </w:tc>
        <w:tc>
          <w:tcPr>
            <w:tcW w:w="4144" w:type="dxa"/>
            <w:tcMar>
              <w:top w:w="30" w:type="dxa"/>
              <w:left w:w="30" w:type="dxa"/>
              <w:bottom w:w="30" w:type="dxa"/>
              <w:right w:w="30" w:type="dxa"/>
            </w:tcMar>
            <w:vAlign w:val="center"/>
            <w:hideMark/>
          </w:tcPr>
          <w:p w:rsidR="23028285" w:rsidP="260581B7" w:rsidRDefault="23028285" w14:paraId="042750EA" w14:textId="0FD0D7A2">
            <w:pPr>
              <w:pStyle w:val="Normal"/>
              <w:rPr>
                <w:rFonts w:eastAsia="Times New Roman"/>
                <w:sz w:val="20"/>
                <w:szCs w:val="20"/>
              </w:rPr>
            </w:pPr>
            <w:r w:rsidRPr="260581B7" w:rsidR="23028285">
              <w:rPr>
                <w:rFonts w:eastAsia="Times New Roman"/>
                <w:sz w:val="20"/>
                <w:szCs w:val="20"/>
              </w:rPr>
              <w:t>Mehmet</w:t>
            </w:r>
          </w:p>
        </w:tc>
      </w:tr>
      <w:tr w:rsidR="260581B7" w:rsidTr="260581B7" w14:paraId="2FAA424F">
        <w:trPr>
          <w:tblCellSpacing w:w="15" w:type="dxa"/>
          <w:trHeight w:val="300"/>
        </w:trPr>
        <w:tc>
          <w:tcPr>
            <w:tcW w:w="3570" w:type="dxa"/>
            <w:tcMar>
              <w:top w:w="30" w:type="dxa"/>
              <w:left w:w="30" w:type="dxa"/>
              <w:bottom w:w="30" w:type="dxa"/>
              <w:right w:w="30" w:type="dxa"/>
            </w:tcMar>
            <w:vAlign w:val="center"/>
            <w:hideMark/>
          </w:tcPr>
          <w:p w:rsidR="23028285" w:rsidP="260581B7" w:rsidRDefault="23028285" w14:paraId="56210756" w14:textId="006B6A8D">
            <w:pPr>
              <w:pStyle w:val="Normal"/>
              <w:rPr>
                <w:rFonts w:eastAsia="Times New Roman"/>
                <w:sz w:val="20"/>
                <w:szCs w:val="20"/>
              </w:rPr>
            </w:pPr>
            <w:r w:rsidRPr="260581B7" w:rsidR="23028285">
              <w:rPr>
                <w:rFonts w:eastAsia="Times New Roman"/>
                <w:sz w:val="20"/>
                <w:szCs w:val="20"/>
              </w:rPr>
              <w:t xml:space="preserve">Kiracı Ad Soyad / Unvan  </w:t>
            </w:r>
          </w:p>
        </w:tc>
        <w:tc>
          <w:tcPr>
            <w:tcW w:w="4144" w:type="dxa"/>
            <w:tcMar>
              <w:top w:w="30" w:type="dxa"/>
              <w:left w:w="30" w:type="dxa"/>
              <w:bottom w:w="30" w:type="dxa"/>
              <w:right w:w="30" w:type="dxa"/>
            </w:tcMar>
            <w:vAlign w:val="center"/>
            <w:hideMark/>
          </w:tcPr>
          <w:p w:rsidR="23028285" w:rsidP="260581B7" w:rsidRDefault="23028285" w14:paraId="7DE9D8B0" w14:textId="5898A1A1">
            <w:pPr>
              <w:pStyle w:val="Normal"/>
              <w:rPr>
                <w:rFonts w:eastAsia="Times New Roman"/>
                <w:sz w:val="20"/>
                <w:szCs w:val="20"/>
              </w:rPr>
            </w:pPr>
            <w:r w:rsidRPr="260581B7" w:rsidR="23028285">
              <w:rPr>
                <w:rFonts w:eastAsia="Times New Roman"/>
                <w:sz w:val="20"/>
                <w:szCs w:val="20"/>
              </w:rPr>
              <w:t>Gizem</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10000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3028285"/>
    <w:rsid w:val="260581B7"/>
    <w:rsid w:val="26C9700E"/>
    <w:rsid w:val="2805ED47"/>
    <w:rsid w:val="2994EF82"/>
    <w:rsid w:val="2D93974A"/>
    <w:rsid w:val="2F0B1DA4"/>
    <w:rsid w:val="2F9F775D"/>
    <w:rsid w:val="304A8BE1"/>
    <w:rsid w:val="313EB54D"/>
    <w:rsid w:val="32272B6C"/>
    <w:rsid w:val="349B3168"/>
    <w:rsid w:val="349CC1A6"/>
    <w:rsid w:val="380E4811"/>
    <w:rsid w:val="380E4811"/>
    <w:rsid w:val="38E4C383"/>
    <w:rsid w:val="38F84026"/>
    <w:rsid w:val="39E02E84"/>
    <w:rsid w:val="3A4BF1AD"/>
    <w:rsid w:val="3AFADB3B"/>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E5537E4"/>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9976A32"/>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4</revision>
  <dcterms:created xsi:type="dcterms:W3CDTF">2025-04-05T20:21:00.0000000Z</dcterms:created>
  <dcterms:modified xsi:type="dcterms:W3CDTF">2025-04-05T22:35:53.3904058Z</dcterms:modified>
</coreProperties>
</file>