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As I moved on in the first few paragraphs, I noticed that the narrator was using the same, almost dead tone - like he was just bored of this. The death just keeps going, and going, and going. It escalates to the point of children and adults dying, and that much tragedy, especially to people relatively close to you, shouldn’t be something just glossed over - except the narrator continues in the same tone. I think this is an analogy to the fact that life goes on, and no matter how much tragedy happens, you can’t wait. When you don’t have time to take in your situation, you just start to become desensitized. “And we had the usual heavy mortality rate among the grandparents, or maybe it was heavier this year, it seemed so.” The children are shown to be “frightened,” so the narrator has to keep going for the children - and that’s also another interesting theme, that we have to be strong for others in the face of tragedy.</w:t>
      </w:r>
    </w:p>
    <w:p w:rsidR="00000000" w:rsidDel="00000000" w:rsidP="00000000" w:rsidRDefault="00000000" w:rsidRPr="00000000" w14:paraId="00000002">
      <w:pPr>
        <w:rPr/>
      </w:pPr>
      <w:r w:rsidDel="00000000" w:rsidR="00000000" w:rsidRPr="00000000">
        <w:rPr>
          <w:rtl w:val="0"/>
        </w:rPr>
        <w:t xml:space="preserve">We get to the discussion about death between the narrator and the children, and I feel at this point that Barthelme is tired of the illusion that these are regular children - that this place isn’t normal, and he is trying to talk more directly to the reader. The discussion is very interesting, and we are given another theme. There is so much death, and if you spend your life doing the same thing every day, you won’t be happy with your life. Death is “a fundamental datum,” so you need to live your life the way you want, and you need to do it before death claims you.</w:t>
      </w:r>
    </w:p>
    <w:p w:rsidR="00000000" w:rsidDel="00000000" w:rsidP="00000000" w:rsidRDefault="00000000" w:rsidRPr="00000000" w14:paraId="00000003">
      <w:pPr>
        <w:rPr/>
      </w:pPr>
      <w:r w:rsidDel="00000000" w:rsidR="00000000" w:rsidRPr="00000000">
        <w:rPr>
          <w:rtl w:val="0"/>
        </w:rPr>
        <w:t xml:space="preserve">Then we get to the part where the children ask the narrator to “make love” with his assistant Helen. Through so much death, you also need to make way to new life, and you can’t be dragged down by your sorrows. To quote George Saunders, “Everything has changed between them. Suddenly there is also death, but love.” I feel that new life is a part of the cycle of death, and even if the new gerbil ends up dying, at least it was fun while it lasted.</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4">
    <w:pPr>
      <w:rPr/>
    </w:pPr>
    <w:r w:rsidDel="00000000" w:rsidR="00000000" w:rsidRPr="00000000">
      <w:rPr>
        <w:rtl w:val="0"/>
      </w:rPr>
      <w:t xml:space="preserve">Homework Week 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w:cs="Times" w:eastAsia="Times" w:hAnsi="Times"/>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