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D7DD3" w14:textId="56A89AF9" w:rsidR="00BC6279" w:rsidRPr="003C4BD7" w:rsidRDefault="00C14053" w:rsidP="009909A5">
      <w:pPr>
        <w:spacing w:after="0" w:line="360" w:lineRule="auto"/>
        <w:jc w:val="center"/>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t>BRIEF</w:t>
      </w:r>
      <w:r w:rsidR="00164CC2" w:rsidRPr="003C4BD7">
        <w:rPr>
          <w:rFonts w:ascii="Century Schoolbook" w:hAnsi="Century Schoolbook" w:cstheme="minorHAnsi"/>
          <w:b/>
          <w:sz w:val="24"/>
          <w:szCs w:val="24"/>
          <w:u w:val="single"/>
        </w:rPr>
        <w:t xml:space="preserve"> FOR OPINION</w:t>
      </w:r>
    </w:p>
    <w:p w14:paraId="57B0BC1A" w14:textId="1D4E212B" w:rsidR="00164CC2" w:rsidRPr="003C4BD7" w:rsidRDefault="00164CC2" w:rsidP="009909A5">
      <w:pPr>
        <w:spacing w:after="0" w:line="360" w:lineRule="auto"/>
        <w:jc w:val="center"/>
        <w:rPr>
          <w:rFonts w:ascii="Century Schoolbook" w:hAnsi="Century Schoolbook" w:cstheme="minorHAnsi"/>
          <w:sz w:val="24"/>
          <w:szCs w:val="24"/>
        </w:rPr>
      </w:pPr>
    </w:p>
    <w:p w14:paraId="595B38E0" w14:textId="2F7EBDD6" w:rsidR="00C14053" w:rsidRPr="003C4BD7" w:rsidRDefault="00C14053" w:rsidP="009909A5">
      <w:pPr>
        <w:spacing w:after="0" w:line="360" w:lineRule="auto"/>
        <w:rPr>
          <w:rFonts w:ascii="Century Schoolbook" w:hAnsi="Century Schoolbook" w:cstheme="minorHAnsi"/>
          <w:i/>
          <w:sz w:val="24"/>
          <w:szCs w:val="24"/>
        </w:rPr>
      </w:pPr>
      <w:r w:rsidRPr="003C4BD7">
        <w:rPr>
          <w:rFonts w:ascii="Century Schoolbook" w:hAnsi="Century Schoolbook" w:cstheme="minorHAnsi"/>
          <w:i/>
          <w:sz w:val="24"/>
          <w:szCs w:val="24"/>
        </w:rPr>
        <w:t>Client: J. K. Cement Limited</w:t>
      </w:r>
    </w:p>
    <w:p w14:paraId="539C93B8" w14:textId="729472DD" w:rsidR="00D51E5E" w:rsidRPr="003C4BD7" w:rsidRDefault="00D51E5E" w:rsidP="00D51E5E">
      <w:pPr>
        <w:spacing w:after="0" w:line="360" w:lineRule="auto"/>
        <w:jc w:val="both"/>
        <w:rPr>
          <w:rFonts w:ascii="Century Schoolbook" w:hAnsi="Century Schoolbook" w:cstheme="minorHAnsi"/>
          <w:sz w:val="24"/>
          <w:szCs w:val="24"/>
        </w:rPr>
      </w:pPr>
    </w:p>
    <w:p w14:paraId="440778E7" w14:textId="21426726" w:rsidR="000A2D82" w:rsidRPr="003C4BD7" w:rsidRDefault="000A2D82" w:rsidP="000A2D82">
      <w:pPr>
        <w:spacing w:after="0"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INDEX</w:t>
      </w:r>
    </w:p>
    <w:p w14:paraId="0B7BF107" w14:textId="77777777" w:rsidR="000A2D82" w:rsidRPr="003C4BD7" w:rsidRDefault="000A2D82" w:rsidP="000A2D82">
      <w:pPr>
        <w:spacing w:after="0" w:line="360" w:lineRule="auto"/>
        <w:jc w:val="center"/>
        <w:rPr>
          <w:rFonts w:ascii="Century Schoolbook" w:hAnsi="Century Schoolbook" w:cstheme="minorHAnsi"/>
          <w:b/>
          <w:sz w:val="24"/>
          <w:szCs w:val="24"/>
        </w:rPr>
      </w:pPr>
    </w:p>
    <w:tbl>
      <w:tblPr>
        <w:tblStyle w:val="TableGrid"/>
        <w:tblW w:w="0" w:type="auto"/>
        <w:tblLook w:val="04A0" w:firstRow="1" w:lastRow="0" w:firstColumn="1" w:lastColumn="0" w:noHBand="0" w:noVBand="1"/>
      </w:tblPr>
      <w:tblGrid>
        <w:gridCol w:w="1165"/>
        <w:gridCol w:w="6570"/>
        <w:gridCol w:w="1281"/>
      </w:tblGrid>
      <w:tr w:rsidR="000A2D82" w:rsidRPr="003C4BD7" w14:paraId="77C5E0E2" w14:textId="77777777" w:rsidTr="000A2D82">
        <w:tc>
          <w:tcPr>
            <w:tcW w:w="1165" w:type="dxa"/>
          </w:tcPr>
          <w:p w14:paraId="65BD2747" w14:textId="13F8E2C7" w:rsidR="000A2D82" w:rsidRPr="003C4BD7" w:rsidRDefault="000A2D82"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S. No.</w:t>
            </w:r>
          </w:p>
        </w:tc>
        <w:tc>
          <w:tcPr>
            <w:tcW w:w="6570" w:type="dxa"/>
          </w:tcPr>
          <w:p w14:paraId="2498AFB7" w14:textId="125BB258" w:rsidR="000A2D82" w:rsidRPr="003C4BD7" w:rsidRDefault="000A2D82"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Contents</w:t>
            </w:r>
          </w:p>
        </w:tc>
        <w:tc>
          <w:tcPr>
            <w:tcW w:w="1281" w:type="dxa"/>
          </w:tcPr>
          <w:p w14:paraId="1099CFCF" w14:textId="04FB6987" w:rsidR="000A2D82" w:rsidRPr="003C4BD7" w:rsidRDefault="000A2D82"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Page No.</w:t>
            </w:r>
          </w:p>
        </w:tc>
      </w:tr>
      <w:tr w:rsidR="000A2D82" w:rsidRPr="003C4BD7" w14:paraId="30F2E074" w14:textId="77777777" w:rsidTr="000A2D82">
        <w:tc>
          <w:tcPr>
            <w:tcW w:w="1165" w:type="dxa"/>
          </w:tcPr>
          <w:p w14:paraId="7D513024" w14:textId="34309FB1" w:rsidR="000A2D82" w:rsidRPr="003C4BD7" w:rsidRDefault="000A2D82"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1.</w:t>
            </w:r>
          </w:p>
        </w:tc>
        <w:tc>
          <w:tcPr>
            <w:tcW w:w="6570" w:type="dxa"/>
          </w:tcPr>
          <w:p w14:paraId="2EB0C09A" w14:textId="0ED2EA20" w:rsidR="000A2D82" w:rsidRPr="003C4BD7" w:rsidRDefault="000A2D82"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Brief for Opinion</w:t>
            </w:r>
          </w:p>
        </w:tc>
        <w:tc>
          <w:tcPr>
            <w:tcW w:w="1281" w:type="dxa"/>
          </w:tcPr>
          <w:p w14:paraId="4DD9A099" w14:textId="53613699" w:rsidR="000A2D82" w:rsidRPr="003C4BD7" w:rsidRDefault="00CD684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 xml:space="preserve">2 </w:t>
            </w:r>
            <w:r w:rsidR="00036224">
              <w:rPr>
                <w:rFonts w:ascii="Century Schoolbook" w:hAnsi="Century Schoolbook" w:cstheme="minorHAnsi"/>
                <w:sz w:val="24"/>
                <w:szCs w:val="24"/>
              </w:rPr>
              <w:t>–</w:t>
            </w:r>
            <w:r w:rsidRPr="003C4BD7">
              <w:rPr>
                <w:rFonts w:ascii="Century Schoolbook" w:hAnsi="Century Schoolbook" w:cstheme="minorHAnsi"/>
                <w:sz w:val="24"/>
                <w:szCs w:val="24"/>
              </w:rPr>
              <w:t xml:space="preserve"> 1</w:t>
            </w:r>
            <w:r w:rsidR="00036224">
              <w:rPr>
                <w:rFonts w:ascii="Century Schoolbook" w:hAnsi="Century Schoolbook" w:cstheme="minorHAnsi"/>
                <w:sz w:val="24"/>
                <w:szCs w:val="24"/>
              </w:rPr>
              <w:t>7</w:t>
            </w:r>
          </w:p>
        </w:tc>
      </w:tr>
      <w:tr w:rsidR="000A2D82" w:rsidRPr="003C4BD7" w14:paraId="2CD1748E" w14:textId="77777777" w:rsidTr="000A2D82">
        <w:tc>
          <w:tcPr>
            <w:tcW w:w="1165" w:type="dxa"/>
          </w:tcPr>
          <w:p w14:paraId="709997EE" w14:textId="7BA6FCD6" w:rsidR="000A2D82" w:rsidRPr="003C4BD7" w:rsidRDefault="000A2D82"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2.</w:t>
            </w:r>
          </w:p>
        </w:tc>
        <w:tc>
          <w:tcPr>
            <w:tcW w:w="6570" w:type="dxa"/>
          </w:tcPr>
          <w:p w14:paraId="5D82D81D" w14:textId="77777777" w:rsidR="00702C7C" w:rsidRPr="003C4BD7" w:rsidRDefault="000A2D82"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1 </w:t>
            </w:r>
          </w:p>
          <w:p w14:paraId="4F6684D7" w14:textId="7FA9CA11" w:rsidR="000A2D82" w:rsidRPr="003C4BD7" w:rsidRDefault="000A2D82"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 xml:space="preserve"> Common Cause v. Union of India [2</w:t>
            </w:r>
            <w:r w:rsidRPr="003C4BD7">
              <w:rPr>
                <w:rFonts w:ascii="Century Schoolbook" w:hAnsi="Century Schoolbook" w:cstheme="minorHAnsi"/>
                <w:sz w:val="24"/>
                <w:szCs w:val="24"/>
                <w:vertAlign w:val="superscript"/>
              </w:rPr>
              <w:t>nd</w:t>
            </w:r>
            <w:r w:rsidRPr="003C4BD7">
              <w:rPr>
                <w:rFonts w:ascii="Century Schoolbook" w:hAnsi="Century Schoolbook" w:cstheme="minorHAnsi"/>
                <w:sz w:val="24"/>
                <w:szCs w:val="24"/>
              </w:rPr>
              <w:t xml:space="preserve"> August 2017]</w:t>
            </w:r>
          </w:p>
        </w:tc>
        <w:tc>
          <w:tcPr>
            <w:tcW w:w="1281" w:type="dxa"/>
          </w:tcPr>
          <w:p w14:paraId="2B02FDDB" w14:textId="77777777" w:rsidR="000A2D82" w:rsidRPr="003C4BD7" w:rsidRDefault="000A2D82" w:rsidP="00527A36">
            <w:pPr>
              <w:spacing w:line="360" w:lineRule="auto"/>
              <w:jc w:val="center"/>
              <w:rPr>
                <w:rFonts w:ascii="Century Schoolbook" w:hAnsi="Century Schoolbook" w:cstheme="minorHAnsi"/>
                <w:sz w:val="24"/>
                <w:szCs w:val="24"/>
              </w:rPr>
            </w:pPr>
          </w:p>
        </w:tc>
      </w:tr>
      <w:tr w:rsidR="000A2D82" w:rsidRPr="003C4BD7" w14:paraId="58DDF426" w14:textId="77777777" w:rsidTr="000A2D82">
        <w:tc>
          <w:tcPr>
            <w:tcW w:w="1165" w:type="dxa"/>
          </w:tcPr>
          <w:p w14:paraId="7A7135B0" w14:textId="35025B9F" w:rsidR="000A2D82" w:rsidRPr="003C4BD7" w:rsidRDefault="00FF434E"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3.</w:t>
            </w:r>
          </w:p>
        </w:tc>
        <w:tc>
          <w:tcPr>
            <w:tcW w:w="6570" w:type="dxa"/>
          </w:tcPr>
          <w:p w14:paraId="41D3F51E" w14:textId="77777777" w:rsidR="00702C7C" w:rsidRPr="003C4BD7" w:rsidRDefault="00FF434E"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2 </w:t>
            </w:r>
          </w:p>
          <w:p w14:paraId="6425936D" w14:textId="08CD2A14" w:rsidR="000A2D82" w:rsidRPr="003C4BD7" w:rsidRDefault="00FF434E"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 xml:space="preserve"> EIA 1994</w:t>
            </w:r>
          </w:p>
        </w:tc>
        <w:tc>
          <w:tcPr>
            <w:tcW w:w="1281" w:type="dxa"/>
          </w:tcPr>
          <w:p w14:paraId="1095AB6B" w14:textId="77777777" w:rsidR="000A2D82" w:rsidRPr="003C4BD7" w:rsidRDefault="000A2D82" w:rsidP="00527A36">
            <w:pPr>
              <w:spacing w:line="360" w:lineRule="auto"/>
              <w:jc w:val="center"/>
              <w:rPr>
                <w:rFonts w:ascii="Century Schoolbook" w:hAnsi="Century Schoolbook" w:cstheme="minorHAnsi"/>
                <w:sz w:val="24"/>
                <w:szCs w:val="24"/>
              </w:rPr>
            </w:pPr>
          </w:p>
        </w:tc>
      </w:tr>
      <w:tr w:rsidR="000A2D82" w:rsidRPr="003C4BD7" w14:paraId="724BA87E" w14:textId="77777777" w:rsidTr="000A2D82">
        <w:tc>
          <w:tcPr>
            <w:tcW w:w="1165" w:type="dxa"/>
          </w:tcPr>
          <w:p w14:paraId="55EC2C32" w14:textId="0ED782DA" w:rsidR="000A2D82" w:rsidRPr="003C4BD7" w:rsidRDefault="00FF434E"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4.</w:t>
            </w:r>
          </w:p>
        </w:tc>
        <w:tc>
          <w:tcPr>
            <w:tcW w:w="6570" w:type="dxa"/>
          </w:tcPr>
          <w:p w14:paraId="679D0479" w14:textId="77777777" w:rsidR="00702C7C" w:rsidRPr="003C4BD7" w:rsidRDefault="00FF434E"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3 </w:t>
            </w:r>
          </w:p>
          <w:p w14:paraId="60686490" w14:textId="78120D81" w:rsidR="000A2D82" w:rsidRPr="003C4BD7" w:rsidRDefault="00FF434E"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 xml:space="preserve"> EIA 1996</w:t>
            </w:r>
          </w:p>
        </w:tc>
        <w:tc>
          <w:tcPr>
            <w:tcW w:w="1281" w:type="dxa"/>
          </w:tcPr>
          <w:p w14:paraId="1FE6BF75" w14:textId="77777777" w:rsidR="000A2D82" w:rsidRPr="003C4BD7" w:rsidRDefault="000A2D82" w:rsidP="00527A36">
            <w:pPr>
              <w:spacing w:line="360" w:lineRule="auto"/>
              <w:jc w:val="center"/>
              <w:rPr>
                <w:rFonts w:ascii="Century Schoolbook" w:hAnsi="Century Schoolbook" w:cstheme="minorHAnsi"/>
                <w:sz w:val="24"/>
                <w:szCs w:val="24"/>
              </w:rPr>
            </w:pPr>
          </w:p>
        </w:tc>
      </w:tr>
      <w:tr w:rsidR="000A2D82" w:rsidRPr="003C4BD7" w14:paraId="79F9585E" w14:textId="77777777" w:rsidTr="000A2D82">
        <w:tc>
          <w:tcPr>
            <w:tcW w:w="1165" w:type="dxa"/>
          </w:tcPr>
          <w:p w14:paraId="5B8BE46E" w14:textId="25036E4C"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5.</w:t>
            </w:r>
          </w:p>
        </w:tc>
        <w:tc>
          <w:tcPr>
            <w:tcW w:w="6570" w:type="dxa"/>
          </w:tcPr>
          <w:p w14:paraId="01486B29" w14:textId="77777777" w:rsidR="00154D28" w:rsidRPr="003C4BD7" w:rsidRDefault="00527A36"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4 </w:t>
            </w:r>
          </w:p>
          <w:p w14:paraId="20C73724" w14:textId="6D1CB493"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Notification No.S.O.804(E) dated 14</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March 2017</w:t>
            </w:r>
          </w:p>
        </w:tc>
        <w:tc>
          <w:tcPr>
            <w:tcW w:w="1281" w:type="dxa"/>
          </w:tcPr>
          <w:p w14:paraId="159B1821" w14:textId="77777777" w:rsidR="000A2D82" w:rsidRPr="003C4BD7" w:rsidRDefault="000A2D82" w:rsidP="00527A36">
            <w:pPr>
              <w:spacing w:line="360" w:lineRule="auto"/>
              <w:jc w:val="center"/>
              <w:rPr>
                <w:rFonts w:ascii="Century Schoolbook" w:hAnsi="Century Schoolbook" w:cstheme="minorHAnsi"/>
                <w:sz w:val="24"/>
                <w:szCs w:val="24"/>
              </w:rPr>
            </w:pPr>
          </w:p>
        </w:tc>
      </w:tr>
      <w:tr w:rsidR="000A2D82" w:rsidRPr="003C4BD7" w14:paraId="35BAFC7D" w14:textId="77777777" w:rsidTr="000A2D82">
        <w:tc>
          <w:tcPr>
            <w:tcW w:w="1165" w:type="dxa"/>
          </w:tcPr>
          <w:p w14:paraId="6DBFF8B2" w14:textId="185084A1"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6.</w:t>
            </w:r>
          </w:p>
        </w:tc>
        <w:tc>
          <w:tcPr>
            <w:tcW w:w="6570" w:type="dxa"/>
          </w:tcPr>
          <w:p w14:paraId="3FE601C4" w14:textId="77777777" w:rsidR="00154D28" w:rsidRPr="003C4BD7" w:rsidRDefault="00527A36"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5 </w:t>
            </w:r>
          </w:p>
          <w:p w14:paraId="78B4A9E4" w14:textId="0923DD1B"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Notification No. S.O.1030(E) dated 8</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March 2018</w:t>
            </w:r>
          </w:p>
        </w:tc>
        <w:tc>
          <w:tcPr>
            <w:tcW w:w="1281" w:type="dxa"/>
          </w:tcPr>
          <w:p w14:paraId="45E678F4" w14:textId="77777777" w:rsidR="000A2D82" w:rsidRPr="003C4BD7" w:rsidRDefault="000A2D82" w:rsidP="00527A36">
            <w:pPr>
              <w:spacing w:line="360" w:lineRule="auto"/>
              <w:jc w:val="center"/>
              <w:rPr>
                <w:rFonts w:ascii="Century Schoolbook" w:hAnsi="Century Schoolbook" w:cstheme="minorHAnsi"/>
                <w:sz w:val="24"/>
                <w:szCs w:val="24"/>
              </w:rPr>
            </w:pPr>
          </w:p>
        </w:tc>
      </w:tr>
      <w:tr w:rsidR="000A2D82" w:rsidRPr="003C4BD7" w14:paraId="3E9D8499" w14:textId="77777777" w:rsidTr="000A2D82">
        <w:tc>
          <w:tcPr>
            <w:tcW w:w="1165" w:type="dxa"/>
          </w:tcPr>
          <w:p w14:paraId="617504B3" w14:textId="74F4905D"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7.</w:t>
            </w:r>
          </w:p>
        </w:tc>
        <w:tc>
          <w:tcPr>
            <w:tcW w:w="6570" w:type="dxa"/>
          </w:tcPr>
          <w:p w14:paraId="6D602B88" w14:textId="77777777" w:rsidR="00154D28" w:rsidRPr="003C4BD7" w:rsidRDefault="00527A36" w:rsidP="00527A36">
            <w:pPr>
              <w:spacing w:line="360" w:lineRule="auto"/>
              <w:jc w:val="center"/>
              <w:rPr>
                <w:rFonts w:ascii="Century Schoolbook" w:hAnsi="Century Schoolbook" w:cstheme="minorHAnsi"/>
                <w:b/>
                <w:sz w:val="24"/>
                <w:szCs w:val="24"/>
              </w:rPr>
            </w:pPr>
            <w:r w:rsidRPr="003C4BD7">
              <w:rPr>
                <w:rFonts w:ascii="Century Schoolbook" w:hAnsi="Century Schoolbook" w:cstheme="minorHAnsi"/>
                <w:b/>
                <w:sz w:val="24"/>
                <w:szCs w:val="24"/>
              </w:rPr>
              <w:t xml:space="preserve">Annexure 6 </w:t>
            </w:r>
          </w:p>
          <w:p w14:paraId="61423731" w14:textId="7717F6B3" w:rsidR="000A2D82" w:rsidRPr="003C4BD7" w:rsidRDefault="00527A36" w:rsidP="00527A36">
            <w:pPr>
              <w:spacing w:line="360" w:lineRule="auto"/>
              <w:jc w:val="center"/>
              <w:rPr>
                <w:rFonts w:ascii="Century Schoolbook" w:hAnsi="Century Schoolbook" w:cstheme="minorHAnsi"/>
                <w:sz w:val="24"/>
                <w:szCs w:val="24"/>
              </w:rPr>
            </w:pPr>
            <w:r w:rsidRPr="003C4BD7">
              <w:rPr>
                <w:rFonts w:ascii="Century Schoolbook" w:hAnsi="Century Schoolbook" w:cstheme="minorHAnsi"/>
                <w:sz w:val="24"/>
                <w:szCs w:val="24"/>
              </w:rPr>
              <w:t>Notification No. S.O.1530(E) dated 6</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April 2018</w:t>
            </w:r>
          </w:p>
        </w:tc>
        <w:tc>
          <w:tcPr>
            <w:tcW w:w="1281" w:type="dxa"/>
          </w:tcPr>
          <w:p w14:paraId="444C4FC8" w14:textId="77777777" w:rsidR="000A2D82" w:rsidRPr="003C4BD7" w:rsidRDefault="000A2D82" w:rsidP="00527A36">
            <w:pPr>
              <w:spacing w:line="360" w:lineRule="auto"/>
              <w:jc w:val="center"/>
              <w:rPr>
                <w:rFonts w:ascii="Century Schoolbook" w:hAnsi="Century Schoolbook" w:cstheme="minorHAnsi"/>
                <w:sz w:val="24"/>
                <w:szCs w:val="24"/>
              </w:rPr>
            </w:pPr>
          </w:p>
        </w:tc>
      </w:tr>
    </w:tbl>
    <w:p w14:paraId="1B4253B3" w14:textId="77777777" w:rsidR="000A2D82" w:rsidRPr="003C4BD7" w:rsidRDefault="000A2D82" w:rsidP="000A2D82">
      <w:pPr>
        <w:spacing w:after="0" w:line="360" w:lineRule="auto"/>
        <w:jc w:val="center"/>
        <w:rPr>
          <w:rFonts w:ascii="Century Schoolbook" w:hAnsi="Century Schoolbook" w:cstheme="minorHAnsi"/>
          <w:b/>
          <w:sz w:val="24"/>
          <w:szCs w:val="24"/>
        </w:rPr>
      </w:pPr>
    </w:p>
    <w:p w14:paraId="7C92D6A1" w14:textId="2840CDE9" w:rsidR="000A2D82" w:rsidRPr="003C4BD7" w:rsidRDefault="000A2D82" w:rsidP="00D51E5E">
      <w:pPr>
        <w:spacing w:after="0" w:line="360" w:lineRule="auto"/>
        <w:jc w:val="both"/>
        <w:rPr>
          <w:rFonts w:ascii="Century Schoolbook" w:hAnsi="Century Schoolbook" w:cstheme="minorHAnsi"/>
          <w:sz w:val="24"/>
          <w:szCs w:val="24"/>
        </w:rPr>
      </w:pPr>
    </w:p>
    <w:p w14:paraId="59281B04" w14:textId="72A14B35" w:rsidR="000A2D82" w:rsidRPr="003C4BD7" w:rsidRDefault="000A2D82" w:rsidP="00D51E5E">
      <w:pPr>
        <w:spacing w:after="0" w:line="360" w:lineRule="auto"/>
        <w:jc w:val="both"/>
        <w:rPr>
          <w:rFonts w:ascii="Century Schoolbook" w:hAnsi="Century Schoolbook" w:cstheme="minorHAnsi"/>
          <w:sz w:val="24"/>
          <w:szCs w:val="24"/>
        </w:rPr>
      </w:pPr>
    </w:p>
    <w:p w14:paraId="30CF1988" w14:textId="141331D4" w:rsidR="000A2D82" w:rsidRPr="003C4BD7" w:rsidRDefault="000A2D82" w:rsidP="00D51E5E">
      <w:pPr>
        <w:spacing w:after="0" w:line="360" w:lineRule="auto"/>
        <w:jc w:val="both"/>
        <w:rPr>
          <w:rFonts w:ascii="Century Schoolbook" w:hAnsi="Century Schoolbook" w:cstheme="minorHAnsi"/>
          <w:sz w:val="24"/>
          <w:szCs w:val="24"/>
        </w:rPr>
      </w:pPr>
    </w:p>
    <w:p w14:paraId="3F6B4711" w14:textId="119221BC" w:rsidR="000A2D82" w:rsidRPr="003C4BD7" w:rsidRDefault="000A2D82" w:rsidP="00D51E5E">
      <w:pPr>
        <w:spacing w:after="0" w:line="360" w:lineRule="auto"/>
        <w:jc w:val="both"/>
        <w:rPr>
          <w:rFonts w:ascii="Century Schoolbook" w:hAnsi="Century Schoolbook" w:cstheme="minorHAnsi"/>
          <w:sz w:val="24"/>
          <w:szCs w:val="24"/>
        </w:rPr>
      </w:pPr>
    </w:p>
    <w:p w14:paraId="2E24D282" w14:textId="55AC9B51" w:rsidR="000A2D82" w:rsidRPr="003C4BD7" w:rsidRDefault="000A2D82" w:rsidP="00D51E5E">
      <w:pPr>
        <w:spacing w:after="0" w:line="360" w:lineRule="auto"/>
        <w:jc w:val="both"/>
        <w:rPr>
          <w:rFonts w:ascii="Century Schoolbook" w:hAnsi="Century Schoolbook" w:cstheme="minorHAnsi"/>
          <w:sz w:val="24"/>
          <w:szCs w:val="24"/>
        </w:rPr>
      </w:pPr>
    </w:p>
    <w:p w14:paraId="59CF6750" w14:textId="04BB4FB1" w:rsidR="000A2D82" w:rsidRPr="003C4BD7" w:rsidRDefault="000A2D82" w:rsidP="00D51E5E">
      <w:pPr>
        <w:spacing w:after="0" w:line="360" w:lineRule="auto"/>
        <w:jc w:val="both"/>
        <w:rPr>
          <w:rFonts w:ascii="Century Schoolbook" w:hAnsi="Century Schoolbook" w:cstheme="minorHAnsi"/>
          <w:sz w:val="24"/>
          <w:szCs w:val="24"/>
        </w:rPr>
      </w:pPr>
    </w:p>
    <w:p w14:paraId="20ECF4CC" w14:textId="3D77F221" w:rsidR="000A2D82" w:rsidRPr="003C4BD7" w:rsidRDefault="000A2D82" w:rsidP="00D51E5E">
      <w:pPr>
        <w:spacing w:after="0" w:line="360" w:lineRule="auto"/>
        <w:jc w:val="both"/>
        <w:rPr>
          <w:rFonts w:ascii="Century Schoolbook" w:hAnsi="Century Schoolbook" w:cstheme="minorHAnsi"/>
          <w:sz w:val="24"/>
          <w:szCs w:val="24"/>
        </w:rPr>
      </w:pPr>
    </w:p>
    <w:p w14:paraId="3D90A26C" w14:textId="70B3D92E" w:rsidR="000A2D82" w:rsidRPr="003C4BD7" w:rsidRDefault="000A2D82" w:rsidP="00D51E5E">
      <w:pPr>
        <w:spacing w:after="0" w:line="360" w:lineRule="auto"/>
        <w:jc w:val="both"/>
        <w:rPr>
          <w:rFonts w:ascii="Century Schoolbook" w:hAnsi="Century Schoolbook" w:cstheme="minorHAnsi"/>
          <w:sz w:val="24"/>
          <w:szCs w:val="24"/>
        </w:rPr>
      </w:pPr>
    </w:p>
    <w:p w14:paraId="3E9FB2A5" w14:textId="0F954461" w:rsidR="000A2D82" w:rsidRPr="003C4BD7" w:rsidRDefault="000A2D82" w:rsidP="00D51E5E">
      <w:pPr>
        <w:spacing w:after="0" w:line="360" w:lineRule="auto"/>
        <w:jc w:val="both"/>
        <w:rPr>
          <w:rFonts w:ascii="Century Schoolbook" w:hAnsi="Century Schoolbook" w:cstheme="minorHAnsi"/>
          <w:sz w:val="24"/>
          <w:szCs w:val="24"/>
        </w:rPr>
      </w:pPr>
    </w:p>
    <w:p w14:paraId="6C6CE7F2" w14:textId="290B1D49" w:rsidR="000A2D82" w:rsidRPr="003C4BD7" w:rsidRDefault="000A2D82" w:rsidP="00D51E5E">
      <w:pPr>
        <w:spacing w:after="0" w:line="360" w:lineRule="auto"/>
        <w:jc w:val="both"/>
        <w:rPr>
          <w:rFonts w:ascii="Century Schoolbook" w:hAnsi="Century Schoolbook" w:cstheme="minorHAnsi"/>
          <w:sz w:val="24"/>
          <w:szCs w:val="24"/>
        </w:rPr>
      </w:pPr>
    </w:p>
    <w:p w14:paraId="44563CAD" w14:textId="6C2F1935" w:rsidR="000A2D82" w:rsidRPr="003C4BD7" w:rsidRDefault="00821F28" w:rsidP="000A2D82">
      <w:pPr>
        <w:spacing w:after="0" w:line="360" w:lineRule="auto"/>
        <w:jc w:val="center"/>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lastRenderedPageBreak/>
        <w:t>Brief of Opinion</w:t>
      </w:r>
    </w:p>
    <w:p w14:paraId="65E6F632" w14:textId="77777777" w:rsidR="00821F28" w:rsidRPr="003C4BD7" w:rsidRDefault="00821F28" w:rsidP="000A2D82">
      <w:pPr>
        <w:spacing w:after="0" w:line="360" w:lineRule="auto"/>
        <w:jc w:val="center"/>
        <w:rPr>
          <w:rFonts w:ascii="Century Schoolbook" w:hAnsi="Century Schoolbook" w:cstheme="minorHAnsi"/>
          <w:sz w:val="24"/>
          <w:szCs w:val="24"/>
        </w:rPr>
      </w:pPr>
    </w:p>
    <w:p w14:paraId="1C85C98C" w14:textId="28C262D5" w:rsidR="00D51E5E" w:rsidRPr="003C4BD7" w:rsidRDefault="00D51E5E" w:rsidP="00D51E5E">
      <w:pPr>
        <w:spacing w:after="0" w:line="360" w:lineRule="auto"/>
        <w:jc w:val="both"/>
        <w:rPr>
          <w:rFonts w:ascii="Century Schoolbook" w:hAnsi="Century Schoolbook" w:cstheme="minorHAnsi"/>
          <w:b/>
          <w:sz w:val="24"/>
          <w:szCs w:val="24"/>
        </w:rPr>
      </w:pPr>
      <w:r w:rsidRPr="003C4BD7">
        <w:rPr>
          <w:rFonts w:ascii="Century Schoolbook" w:hAnsi="Century Schoolbook" w:cstheme="minorHAnsi"/>
          <w:sz w:val="24"/>
          <w:szCs w:val="24"/>
        </w:rPr>
        <w:t>The present brief for opinion (“</w:t>
      </w:r>
      <w:r w:rsidRPr="003C4BD7">
        <w:rPr>
          <w:rFonts w:ascii="Century Schoolbook" w:hAnsi="Century Schoolbook" w:cstheme="minorHAnsi"/>
          <w:b/>
          <w:sz w:val="24"/>
          <w:szCs w:val="24"/>
        </w:rPr>
        <w:t>Brief</w:t>
      </w:r>
      <w:r w:rsidRPr="003C4BD7">
        <w:rPr>
          <w:rFonts w:ascii="Century Schoolbook" w:hAnsi="Century Schoolbook" w:cstheme="minorHAnsi"/>
          <w:sz w:val="24"/>
          <w:szCs w:val="24"/>
        </w:rPr>
        <w:t xml:space="preserve">”) pertains to certain </w:t>
      </w:r>
      <w:r w:rsidRPr="003C4BD7">
        <w:rPr>
          <w:rFonts w:ascii="Century Schoolbook" w:hAnsi="Century Schoolbook" w:cstheme="minorHAnsi"/>
          <w:sz w:val="24"/>
          <w:szCs w:val="24"/>
          <w:lang w:val="en-IN"/>
        </w:rPr>
        <w:t xml:space="preserve">issues and disputes regarding M/s J.K. Cement Limited </w:t>
      </w:r>
      <w:r w:rsidRPr="003C4BD7">
        <w:rPr>
          <w:rFonts w:ascii="Century Schoolbook" w:hAnsi="Century Schoolbook" w:cstheme="minorHAnsi"/>
          <w:sz w:val="24"/>
          <w:szCs w:val="24"/>
        </w:rPr>
        <w:t>(</w:t>
      </w:r>
      <w:r w:rsidRPr="003C4BD7">
        <w:rPr>
          <w:rFonts w:ascii="Century Schoolbook" w:hAnsi="Century Schoolbook" w:cstheme="minorHAnsi"/>
          <w:b/>
          <w:sz w:val="24"/>
          <w:szCs w:val="24"/>
        </w:rPr>
        <w:t>“the Querist</w:t>
      </w:r>
      <w:r w:rsidRPr="003C4BD7">
        <w:rPr>
          <w:rFonts w:ascii="Century Schoolbook" w:hAnsi="Century Schoolbook" w:cstheme="minorHAnsi"/>
          <w:sz w:val="24"/>
          <w:szCs w:val="24"/>
        </w:rPr>
        <w:t xml:space="preserve">”) </w:t>
      </w:r>
      <w:r w:rsidRPr="003C4BD7">
        <w:rPr>
          <w:rFonts w:ascii="Century Schoolbook" w:hAnsi="Century Schoolbook" w:cstheme="minorHAnsi"/>
          <w:sz w:val="24"/>
          <w:szCs w:val="24"/>
          <w:lang w:val="en-IN"/>
        </w:rPr>
        <w:t>and its engagement in production of cement in States of Rajasthan, Karnataka, Madhya Pradesh and Haryana.</w:t>
      </w:r>
      <w:r w:rsidR="00AE2A6C" w:rsidRPr="003C4BD7">
        <w:rPr>
          <w:rFonts w:ascii="Century Schoolbook" w:hAnsi="Century Schoolbook" w:cstheme="minorHAnsi"/>
          <w:sz w:val="24"/>
          <w:szCs w:val="24"/>
          <w:lang w:val="en-IN"/>
        </w:rPr>
        <w:t xml:space="preserve"> The querist has several mines engaged in the mining of Limestone for the production of cement. The Querist is looking for an opinion in terms of direction passed in the Supreme Court judgment, </w:t>
      </w:r>
      <w:r w:rsidR="00AE2A6C" w:rsidRPr="003C4BD7">
        <w:rPr>
          <w:rFonts w:ascii="Century Schoolbook" w:hAnsi="Century Schoolbook" w:cstheme="minorHAnsi"/>
          <w:b/>
          <w:i/>
          <w:sz w:val="24"/>
          <w:szCs w:val="24"/>
          <w:lang w:val="en-IN"/>
        </w:rPr>
        <w:t>“Common Cause v. Union of India”</w:t>
      </w:r>
      <w:r w:rsidR="00837C6B" w:rsidRPr="003C4BD7">
        <w:rPr>
          <w:rFonts w:ascii="Century Schoolbook" w:hAnsi="Century Schoolbook" w:cstheme="minorHAnsi"/>
          <w:b/>
          <w:i/>
          <w:sz w:val="24"/>
          <w:szCs w:val="24"/>
          <w:lang w:val="en-IN"/>
        </w:rPr>
        <w:t xml:space="preserve"> August 2, 2017</w:t>
      </w:r>
      <w:r w:rsidR="00AE2A6C" w:rsidRPr="003C4BD7">
        <w:rPr>
          <w:rFonts w:ascii="Century Schoolbook" w:hAnsi="Century Schoolbook" w:cstheme="minorHAnsi"/>
          <w:b/>
          <w:i/>
          <w:sz w:val="24"/>
          <w:szCs w:val="24"/>
          <w:lang w:val="en-IN"/>
        </w:rPr>
        <w:t xml:space="preserve"> </w:t>
      </w:r>
      <w:r w:rsidR="00837C6B" w:rsidRPr="003C4BD7">
        <w:rPr>
          <w:rFonts w:ascii="Century Schoolbook" w:hAnsi="Century Schoolbook" w:cstheme="minorHAnsi"/>
          <w:b/>
          <w:i/>
          <w:sz w:val="24"/>
          <w:szCs w:val="24"/>
          <w:lang w:val="en-IN"/>
        </w:rPr>
        <w:t>[</w:t>
      </w:r>
      <w:r w:rsidR="00AE2A6C" w:rsidRPr="003C4BD7">
        <w:rPr>
          <w:rFonts w:ascii="Century Schoolbook" w:hAnsi="Century Schoolbook" w:cstheme="minorHAnsi"/>
          <w:b/>
          <w:i/>
          <w:sz w:val="24"/>
          <w:szCs w:val="24"/>
          <w:lang w:val="en-IN"/>
        </w:rPr>
        <w:t>Writ Petition (Civil)</w:t>
      </w:r>
      <w:r w:rsidR="00C20C81" w:rsidRPr="003C4BD7">
        <w:rPr>
          <w:rFonts w:ascii="Century Schoolbook" w:hAnsi="Century Schoolbook" w:cstheme="minorHAnsi"/>
          <w:b/>
          <w:i/>
          <w:sz w:val="24"/>
          <w:szCs w:val="24"/>
          <w:lang w:val="en-IN"/>
        </w:rPr>
        <w:t xml:space="preserve"> No.</w:t>
      </w:r>
      <w:r w:rsidR="00AE2A6C" w:rsidRPr="003C4BD7">
        <w:rPr>
          <w:rFonts w:ascii="Century Schoolbook" w:hAnsi="Century Schoolbook" w:cstheme="minorHAnsi"/>
          <w:b/>
          <w:i/>
          <w:sz w:val="24"/>
          <w:szCs w:val="24"/>
          <w:lang w:val="en-IN"/>
        </w:rPr>
        <w:t xml:space="preserve"> 114 of 2014</w:t>
      </w:r>
      <w:r w:rsidR="00837C6B" w:rsidRPr="003C4BD7">
        <w:rPr>
          <w:rFonts w:ascii="Century Schoolbook" w:hAnsi="Century Schoolbook" w:cstheme="minorHAnsi"/>
          <w:b/>
          <w:i/>
          <w:sz w:val="24"/>
          <w:szCs w:val="24"/>
          <w:lang w:val="en-IN"/>
        </w:rPr>
        <w:t xml:space="preserve">]. </w:t>
      </w:r>
      <w:r w:rsidR="00A709A9" w:rsidRPr="003C4BD7">
        <w:rPr>
          <w:rFonts w:ascii="Century Schoolbook" w:hAnsi="Century Schoolbook" w:cstheme="minorHAnsi"/>
          <w:sz w:val="24"/>
          <w:szCs w:val="24"/>
          <w:lang w:val="en-IN"/>
        </w:rPr>
        <w:t xml:space="preserve">A copy of the judgment is annexed herewith as </w:t>
      </w:r>
      <w:r w:rsidR="00A709A9" w:rsidRPr="003C4BD7">
        <w:rPr>
          <w:rFonts w:ascii="Century Schoolbook" w:hAnsi="Century Schoolbook" w:cstheme="minorHAnsi"/>
          <w:b/>
          <w:sz w:val="24"/>
          <w:szCs w:val="24"/>
          <w:lang w:val="en-IN"/>
        </w:rPr>
        <w:t>Annexure – 1.</w:t>
      </w:r>
    </w:p>
    <w:p w14:paraId="27D38644" w14:textId="77777777" w:rsidR="00C14053" w:rsidRPr="003C4BD7" w:rsidRDefault="00C14053" w:rsidP="009909A5">
      <w:pPr>
        <w:spacing w:after="0" w:line="360" w:lineRule="auto"/>
        <w:jc w:val="center"/>
        <w:rPr>
          <w:rFonts w:ascii="Century Schoolbook" w:hAnsi="Century Schoolbook" w:cstheme="minorHAnsi"/>
          <w:sz w:val="24"/>
          <w:szCs w:val="24"/>
        </w:rPr>
      </w:pPr>
    </w:p>
    <w:p w14:paraId="2925F63E" w14:textId="77777777" w:rsidR="000A2D82" w:rsidRPr="003C4BD7" w:rsidRDefault="000A2D82" w:rsidP="000A2D82">
      <w:pPr>
        <w:pStyle w:val="ListParagraph"/>
        <w:numPr>
          <w:ilvl w:val="0"/>
          <w:numId w:val="1"/>
        </w:numPr>
        <w:spacing w:after="0" w:line="360" w:lineRule="auto"/>
        <w:jc w:val="both"/>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t>FACTS</w:t>
      </w:r>
    </w:p>
    <w:p w14:paraId="30646DAF" w14:textId="77777777" w:rsidR="000A2D82" w:rsidRPr="003C4BD7" w:rsidRDefault="000A2D82" w:rsidP="000A2D82">
      <w:pPr>
        <w:pStyle w:val="ListParagraph"/>
        <w:spacing w:after="0" w:line="360" w:lineRule="auto"/>
        <w:jc w:val="both"/>
        <w:rPr>
          <w:rFonts w:ascii="Century Schoolbook" w:hAnsi="Century Schoolbook" w:cstheme="minorHAnsi"/>
          <w:sz w:val="24"/>
          <w:szCs w:val="24"/>
        </w:rPr>
      </w:pPr>
    </w:p>
    <w:p w14:paraId="17D09F27" w14:textId="77777777" w:rsidR="000A2D82" w:rsidRPr="003C4BD7" w:rsidRDefault="000A2D82" w:rsidP="000A2D82">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M/s J.K. Cement Limited (</w:t>
      </w:r>
      <w:r w:rsidRPr="003C4BD7">
        <w:rPr>
          <w:rFonts w:ascii="Century Schoolbook" w:hAnsi="Century Schoolbook" w:cstheme="minorHAnsi"/>
          <w:b/>
          <w:sz w:val="24"/>
          <w:szCs w:val="24"/>
        </w:rPr>
        <w:t>“the Querist</w:t>
      </w:r>
      <w:r w:rsidRPr="003C4BD7">
        <w:rPr>
          <w:rFonts w:ascii="Century Schoolbook" w:hAnsi="Century Schoolbook" w:cstheme="minorHAnsi"/>
          <w:sz w:val="24"/>
          <w:szCs w:val="24"/>
        </w:rPr>
        <w:t xml:space="preserve">”) is engaged in production of grey &amp; white cement in States of Rajasthan, Karnataka, Haryana and Madhya Pradesh. In the State of Rajasthan, the Querist has 5 mines of limestone, which is the main raw material for production of cement. Out of these 5 mines, 4 mines were allotted prior to the year 1984 and are operating. </w:t>
      </w:r>
    </w:p>
    <w:p w14:paraId="39766712" w14:textId="77777777" w:rsidR="000A2D82" w:rsidRPr="003C4BD7" w:rsidRDefault="000A2D82" w:rsidP="000A2D82">
      <w:pPr>
        <w:pStyle w:val="ListParagraph"/>
        <w:spacing w:after="0" w:line="360" w:lineRule="auto"/>
        <w:jc w:val="both"/>
        <w:rPr>
          <w:rFonts w:ascii="Century Schoolbook" w:hAnsi="Century Schoolbook" w:cstheme="minorHAnsi"/>
          <w:sz w:val="24"/>
          <w:szCs w:val="24"/>
        </w:rPr>
      </w:pPr>
    </w:p>
    <w:p w14:paraId="0E5CF775" w14:textId="1A5EBA76" w:rsidR="000A2D82" w:rsidRPr="003C4BD7" w:rsidRDefault="000A2D82" w:rsidP="000A2D82">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 xml:space="preserve">Insofar as the Querist is concerned, it was operating its mines in State of Rajasthan prior to 27.01.1994 after taking all the statutory permissions and clearances, including </w:t>
      </w:r>
      <w:r w:rsidR="00702C7C" w:rsidRPr="003C4BD7">
        <w:rPr>
          <w:rFonts w:ascii="Century Schoolbook" w:hAnsi="Century Schoolbook" w:cstheme="minorHAnsi"/>
          <w:sz w:val="24"/>
          <w:szCs w:val="24"/>
        </w:rPr>
        <w:t xml:space="preserve">Consent to Operate </w:t>
      </w:r>
      <w:r w:rsidRPr="003C4BD7">
        <w:rPr>
          <w:rFonts w:ascii="Century Schoolbook" w:hAnsi="Century Schoolbook" w:cstheme="minorHAnsi"/>
          <w:sz w:val="24"/>
          <w:szCs w:val="24"/>
        </w:rPr>
        <w:t xml:space="preserve">from </w:t>
      </w:r>
      <w:r w:rsidR="00702C7C" w:rsidRPr="003C4BD7">
        <w:rPr>
          <w:rFonts w:ascii="Century Schoolbook" w:hAnsi="Century Schoolbook" w:cstheme="minorHAnsi"/>
          <w:sz w:val="24"/>
          <w:szCs w:val="24"/>
        </w:rPr>
        <w:t xml:space="preserve">the respective </w:t>
      </w:r>
      <w:r w:rsidRPr="003C4BD7">
        <w:rPr>
          <w:rFonts w:ascii="Century Schoolbook" w:hAnsi="Century Schoolbook" w:cstheme="minorHAnsi"/>
          <w:sz w:val="24"/>
          <w:szCs w:val="24"/>
        </w:rPr>
        <w:t>State Pollution Control Board. The Querist has obtained E</w:t>
      </w:r>
      <w:r w:rsidR="00D25BEA" w:rsidRPr="003C4BD7">
        <w:rPr>
          <w:rFonts w:ascii="Century Schoolbook" w:hAnsi="Century Schoolbook" w:cstheme="minorHAnsi"/>
          <w:sz w:val="24"/>
          <w:szCs w:val="24"/>
        </w:rPr>
        <w:t xml:space="preserve">nvironmental </w:t>
      </w:r>
      <w:r w:rsidR="003C4BD7" w:rsidRPr="003C4BD7">
        <w:rPr>
          <w:rFonts w:ascii="Century Schoolbook" w:hAnsi="Century Schoolbook" w:cstheme="minorHAnsi"/>
          <w:sz w:val="24"/>
          <w:szCs w:val="24"/>
        </w:rPr>
        <w:t>Clearance</w:t>
      </w:r>
      <w:r w:rsidR="00D25BEA" w:rsidRPr="003C4BD7">
        <w:rPr>
          <w:rFonts w:ascii="Century Schoolbook" w:hAnsi="Century Schoolbook" w:cstheme="minorHAnsi"/>
          <w:sz w:val="24"/>
          <w:szCs w:val="24"/>
        </w:rPr>
        <w:t xml:space="preserve"> </w:t>
      </w:r>
      <w:r w:rsidR="00D25BEA" w:rsidRPr="003C4BD7">
        <w:rPr>
          <w:rFonts w:ascii="Century Schoolbook" w:hAnsi="Century Schoolbook" w:cstheme="minorHAnsi"/>
          <w:b/>
          <w:sz w:val="24"/>
          <w:szCs w:val="24"/>
        </w:rPr>
        <w:t>(“EC”)</w:t>
      </w:r>
      <w:r w:rsidRPr="003C4BD7">
        <w:rPr>
          <w:rFonts w:ascii="Century Schoolbook" w:hAnsi="Century Schoolbook" w:cstheme="minorHAnsi"/>
          <w:sz w:val="24"/>
          <w:szCs w:val="24"/>
        </w:rPr>
        <w:t xml:space="preserve"> for all its 4 mines in the year 2003. Further, except for one Mine, EC was also obtained under the</w:t>
      </w:r>
      <w:r w:rsidR="00702C7C" w:rsidRPr="003C4BD7">
        <w:rPr>
          <w:rFonts w:ascii="Century Schoolbook" w:hAnsi="Century Schoolbook" w:cstheme="minorHAnsi"/>
          <w:sz w:val="24"/>
          <w:szCs w:val="24"/>
        </w:rPr>
        <w:t xml:space="preserve"> EIA Notification,</w:t>
      </w:r>
      <w:r w:rsidRPr="003C4BD7">
        <w:rPr>
          <w:rFonts w:ascii="Century Schoolbook" w:hAnsi="Century Schoolbook" w:cstheme="minorHAnsi"/>
          <w:sz w:val="24"/>
          <w:szCs w:val="24"/>
        </w:rPr>
        <w:t xml:space="preserve"> 2006</w:t>
      </w:r>
      <w:r w:rsidR="00702C7C" w:rsidRPr="003C4BD7">
        <w:rPr>
          <w:rFonts w:ascii="Century Schoolbook" w:hAnsi="Century Schoolbook" w:cstheme="minorHAnsi"/>
          <w:sz w:val="24"/>
          <w:szCs w:val="24"/>
        </w:rPr>
        <w:t>.</w:t>
      </w:r>
      <w:r w:rsidRPr="003C4BD7">
        <w:rPr>
          <w:rFonts w:ascii="Century Schoolbook" w:hAnsi="Century Schoolbook" w:cstheme="minorHAnsi"/>
          <w:sz w:val="24"/>
          <w:szCs w:val="24"/>
        </w:rPr>
        <w:t xml:space="preserve"> </w:t>
      </w:r>
    </w:p>
    <w:p w14:paraId="1F8DF5C8" w14:textId="77777777" w:rsidR="000A2D82" w:rsidRPr="003C4BD7" w:rsidRDefault="000A2D82" w:rsidP="000A2D82">
      <w:pPr>
        <w:pStyle w:val="ListParagraph"/>
        <w:spacing w:after="0" w:line="360" w:lineRule="auto"/>
        <w:jc w:val="both"/>
        <w:rPr>
          <w:rFonts w:ascii="Century Schoolbook" w:hAnsi="Century Schoolbook" w:cstheme="minorHAnsi"/>
          <w:sz w:val="24"/>
          <w:szCs w:val="24"/>
        </w:rPr>
      </w:pPr>
    </w:p>
    <w:p w14:paraId="241ACEED" w14:textId="1677F39F" w:rsidR="000A2D82" w:rsidRPr="003C4BD7" w:rsidRDefault="000A2D82" w:rsidP="000A2D82">
      <w:pPr>
        <w:pStyle w:val="ListParagraph"/>
        <w:numPr>
          <w:ilvl w:val="1"/>
          <w:numId w:val="1"/>
        </w:numPr>
        <w:spacing w:after="0" w:line="360" w:lineRule="auto"/>
        <w:jc w:val="both"/>
        <w:rPr>
          <w:rFonts w:ascii="Century Schoolbook" w:hAnsi="Century Schoolbook" w:cstheme="minorHAnsi"/>
          <w:i/>
          <w:sz w:val="24"/>
          <w:szCs w:val="24"/>
        </w:rPr>
      </w:pPr>
      <w:r w:rsidRPr="003C4BD7">
        <w:rPr>
          <w:rFonts w:ascii="Century Schoolbook" w:hAnsi="Century Schoolbook" w:cstheme="minorHAnsi"/>
          <w:sz w:val="24"/>
          <w:szCs w:val="24"/>
        </w:rPr>
        <w:t>Details of the Mines given below: Mine</w:t>
      </w:r>
      <w:r w:rsidR="00BE1C7D">
        <w:rPr>
          <w:rFonts w:ascii="Century Schoolbook" w:hAnsi="Century Schoolbook" w:cstheme="minorHAnsi"/>
          <w:sz w:val="24"/>
          <w:szCs w:val="24"/>
        </w:rPr>
        <w:t xml:space="preserve"> </w:t>
      </w:r>
      <w:r w:rsidRPr="003C4BD7">
        <w:rPr>
          <w:rFonts w:ascii="Century Schoolbook" w:hAnsi="Century Schoolbook" w:cstheme="minorHAnsi"/>
          <w:sz w:val="24"/>
          <w:szCs w:val="24"/>
        </w:rPr>
        <w:t>wise chart is attached herewith.</w:t>
      </w:r>
    </w:p>
    <w:p w14:paraId="2D9B5FFD" w14:textId="77777777" w:rsidR="000A2D82" w:rsidRPr="003C4BD7" w:rsidRDefault="000A2D82" w:rsidP="000A2D82">
      <w:pPr>
        <w:spacing w:after="0" w:line="240" w:lineRule="auto"/>
        <w:rPr>
          <w:rFonts w:ascii="Century Schoolbook" w:hAnsi="Century Schoolbook"/>
          <w:sz w:val="24"/>
          <w:szCs w:val="24"/>
        </w:rPr>
      </w:pPr>
    </w:p>
    <w:tbl>
      <w:tblPr>
        <w:tblStyle w:val="TableGrid"/>
        <w:tblW w:w="9358" w:type="dxa"/>
        <w:tblLook w:val="04A0" w:firstRow="1" w:lastRow="0" w:firstColumn="1" w:lastColumn="0" w:noHBand="0" w:noVBand="1"/>
      </w:tblPr>
      <w:tblGrid>
        <w:gridCol w:w="1871"/>
        <w:gridCol w:w="1406"/>
        <w:gridCol w:w="1418"/>
        <w:gridCol w:w="1532"/>
        <w:gridCol w:w="1532"/>
        <w:gridCol w:w="1599"/>
      </w:tblGrid>
      <w:tr w:rsidR="000A2D82" w:rsidRPr="003C4BD7" w14:paraId="7D2762F6" w14:textId="77777777" w:rsidTr="00036224">
        <w:tc>
          <w:tcPr>
            <w:tcW w:w="9358" w:type="dxa"/>
            <w:gridSpan w:val="6"/>
            <w:shd w:val="clear" w:color="auto" w:fill="FFFF00"/>
          </w:tcPr>
          <w:p w14:paraId="3CBE3D9C" w14:textId="4ABA747D" w:rsidR="000A2D82" w:rsidRPr="003C4BD7" w:rsidRDefault="000A2D82" w:rsidP="005402EA">
            <w:pPr>
              <w:jc w:val="center"/>
              <w:rPr>
                <w:rFonts w:ascii="Century Schoolbook" w:hAnsi="Century Schoolbook"/>
                <w:b/>
                <w:sz w:val="24"/>
                <w:szCs w:val="24"/>
              </w:rPr>
            </w:pPr>
            <w:proofErr w:type="spellStart"/>
            <w:r w:rsidRPr="003C4BD7">
              <w:rPr>
                <w:rFonts w:ascii="Century Schoolbook" w:hAnsi="Century Schoolbook"/>
                <w:b/>
                <w:sz w:val="24"/>
                <w:szCs w:val="24"/>
              </w:rPr>
              <w:t>Nimbahera</w:t>
            </w:r>
            <w:proofErr w:type="spellEnd"/>
            <w:r w:rsidR="00BE1C7D">
              <w:rPr>
                <w:rFonts w:ascii="Century Schoolbook" w:hAnsi="Century Schoolbook"/>
                <w:b/>
                <w:sz w:val="24"/>
                <w:szCs w:val="24"/>
              </w:rPr>
              <w:t xml:space="preserve"> </w:t>
            </w:r>
            <w:r w:rsidRPr="003C4BD7">
              <w:rPr>
                <w:rFonts w:ascii="Century Schoolbook" w:hAnsi="Century Schoolbook"/>
                <w:b/>
                <w:sz w:val="24"/>
                <w:szCs w:val="24"/>
              </w:rPr>
              <w:t>-</w:t>
            </w:r>
            <w:r w:rsidR="00BE1C7D">
              <w:rPr>
                <w:rFonts w:ascii="Century Schoolbook" w:hAnsi="Century Schoolbook"/>
                <w:b/>
                <w:sz w:val="24"/>
                <w:szCs w:val="24"/>
              </w:rPr>
              <w:t xml:space="preserve"> </w:t>
            </w:r>
            <w:proofErr w:type="spellStart"/>
            <w:r w:rsidRPr="003C4BD7">
              <w:rPr>
                <w:rFonts w:ascii="Century Schoolbook" w:hAnsi="Century Schoolbook"/>
                <w:b/>
                <w:sz w:val="24"/>
                <w:szCs w:val="24"/>
              </w:rPr>
              <w:t>Ahirpura</w:t>
            </w:r>
            <w:proofErr w:type="spellEnd"/>
            <w:r w:rsidRPr="003C4BD7">
              <w:rPr>
                <w:rFonts w:ascii="Century Schoolbook" w:hAnsi="Century Schoolbook"/>
                <w:b/>
                <w:sz w:val="24"/>
                <w:szCs w:val="24"/>
              </w:rPr>
              <w:t xml:space="preserve"> – ML No.2 of 1997</w:t>
            </w:r>
          </w:p>
          <w:p w14:paraId="694E5533" w14:textId="77777777" w:rsidR="000A2D82" w:rsidRPr="003C4BD7" w:rsidRDefault="000A2D82" w:rsidP="005402EA">
            <w:pPr>
              <w:jc w:val="center"/>
              <w:rPr>
                <w:rFonts w:ascii="Century Schoolbook" w:hAnsi="Century Schoolbook"/>
                <w:sz w:val="24"/>
                <w:szCs w:val="24"/>
              </w:rPr>
            </w:pPr>
          </w:p>
        </w:tc>
      </w:tr>
      <w:tr w:rsidR="00036224" w:rsidRPr="003C4BD7" w14:paraId="35EDE821" w14:textId="77777777" w:rsidTr="00036224">
        <w:tc>
          <w:tcPr>
            <w:tcW w:w="1705" w:type="dxa"/>
          </w:tcPr>
          <w:p w14:paraId="6B0C649C" w14:textId="77777777" w:rsidR="000A2D82" w:rsidRPr="003C4BD7" w:rsidRDefault="000A2D82" w:rsidP="00036224">
            <w:pPr>
              <w:ind w:right="60"/>
              <w:rPr>
                <w:rFonts w:ascii="Century Schoolbook" w:hAnsi="Century Schoolbook"/>
                <w:sz w:val="24"/>
                <w:szCs w:val="24"/>
              </w:rPr>
            </w:pPr>
            <w:r w:rsidRPr="003C4BD7">
              <w:rPr>
                <w:rFonts w:ascii="Century Schoolbook" w:hAnsi="Century Schoolbook"/>
                <w:sz w:val="24"/>
                <w:szCs w:val="24"/>
              </w:rPr>
              <w:t>Date of Grant of ML, renewal and validity</w:t>
            </w:r>
          </w:p>
        </w:tc>
        <w:tc>
          <w:tcPr>
            <w:tcW w:w="1572" w:type="dxa"/>
          </w:tcPr>
          <w:p w14:paraId="557CAE94" w14:textId="61BD9A0E" w:rsidR="000A2D82" w:rsidRPr="003C4BD7" w:rsidRDefault="000A2D82" w:rsidP="005402EA">
            <w:pPr>
              <w:ind w:right="105"/>
              <w:jc w:val="center"/>
              <w:rPr>
                <w:rFonts w:ascii="Century Schoolbook" w:hAnsi="Century Schoolbook"/>
                <w:sz w:val="24"/>
                <w:szCs w:val="24"/>
              </w:rPr>
            </w:pPr>
            <w:r w:rsidRPr="003C4BD7">
              <w:rPr>
                <w:rFonts w:ascii="Century Schoolbook" w:hAnsi="Century Schoolbook"/>
                <w:sz w:val="24"/>
                <w:szCs w:val="24"/>
              </w:rPr>
              <w:t xml:space="preserve">Area of ML (In </w:t>
            </w:r>
            <w:r w:rsidR="00BE1C7D" w:rsidRPr="003C4BD7">
              <w:rPr>
                <w:rFonts w:ascii="Century Schoolbook" w:hAnsi="Century Schoolbook"/>
                <w:sz w:val="24"/>
                <w:szCs w:val="24"/>
              </w:rPr>
              <w:t>Hectares</w:t>
            </w:r>
            <w:r w:rsidRPr="003C4BD7">
              <w:rPr>
                <w:rFonts w:ascii="Century Schoolbook" w:hAnsi="Century Schoolbook"/>
                <w:sz w:val="24"/>
                <w:szCs w:val="24"/>
              </w:rPr>
              <w:t>)</w:t>
            </w:r>
          </w:p>
        </w:tc>
        <w:tc>
          <w:tcPr>
            <w:tcW w:w="1418" w:type="dxa"/>
          </w:tcPr>
          <w:p w14:paraId="2B4251FD"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Valid </w:t>
            </w:r>
            <w:proofErr w:type="spellStart"/>
            <w:r w:rsidRPr="003C4BD7">
              <w:rPr>
                <w:rFonts w:ascii="Century Schoolbook" w:hAnsi="Century Schoolbook"/>
                <w:sz w:val="24"/>
                <w:szCs w:val="24"/>
              </w:rPr>
              <w:t>Upto</w:t>
            </w:r>
            <w:proofErr w:type="spellEnd"/>
          </w:p>
        </w:tc>
        <w:tc>
          <w:tcPr>
            <w:tcW w:w="1532" w:type="dxa"/>
          </w:tcPr>
          <w:p w14:paraId="2A5011CE"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1994 Notification</w:t>
            </w:r>
          </w:p>
        </w:tc>
        <w:tc>
          <w:tcPr>
            <w:tcW w:w="1532" w:type="dxa"/>
          </w:tcPr>
          <w:p w14:paraId="5CC7DCD5"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2006 Notification</w:t>
            </w:r>
          </w:p>
          <w:p w14:paraId="7A6FBEC7" w14:textId="77777777" w:rsidR="000A2D82" w:rsidRPr="003C4BD7" w:rsidRDefault="000A2D82" w:rsidP="005402EA">
            <w:pPr>
              <w:rPr>
                <w:rFonts w:ascii="Century Schoolbook" w:hAnsi="Century Schoolbook"/>
                <w:sz w:val="24"/>
                <w:szCs w:val="24"/>
              </w:rPr>
            </w:pPr>
          </w:p>
        </w:tc>
        <w:tc>
          <w:tcPr>
            <w:tcW w:w="1599" w:type="dxa"/>
          </w:tcPr>
          <w:p w14:paraId="2BF6CB9C"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Remarks</w:t>
            </w:r>
          </w:p>
        </w:tc>
      </w:tr>
      <w:tr w:rsidR="00036224" w:rsidRPr="003C4BD7" w14:paraId="3BE7F837" w14:textId="77777777" w:rsidTr="00036224">
        <w:tc>
          <w:tcPr>
            <w:tcW w:w="1705" w:type="dxa"/>
          </w:tcPr>
          <w:p w14:paraId="02EF0645" w14:textId="77777777" w:rsidR="000A2D82" w:rsidRPr="003C4BD7" w:rsidRDefault="000A2D82" w:rsidP="005402EA">
            <w:pPr>
              <w:pStyle w:val="ListParagraph"/>
              <w:numPr>
                <w:ilvl w:val="0"/>
                <w:numId w:val="22"/>
              </w:numPr>
              <w:ind w:left="330" w:hanging="360"/>
              <w:jc w:val="both"/>
              <w:rPr>
                <w:rFonts w:ascii="Century Schoolbook" w:hAnsi="Century Schoolbook"/>
                <w:sz w:val="24"/>
                <w:szCs w:val="24"/>
              </w:rPr>
            </w:pPr>
            <w:r w:rsidRPr="003C4BD7">
              <w:rPr>
                <w:rFonts w:ascii="Century Schoolbook" w:hAnsi="Century Schoolbook"/>
                <w:sz w:val="24"/>
                <w:szCs w:val="24"/>
              </w:rPr>
              <w:lastRenderedPageBreak/>
              <w:t xml:space="preserve">ML granted on 24.01.1968 for a period of 20 years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20.02.1968</w:t>
            </w:r>
          </w:p>
          <w:p w14:paraId="26D03519" w14:textId="77777777" w:rsidR="000A2D82" w:rsidRPr="003C4BD7" w:rsidRDefault="000A2D82" w:rsidP="005402EA">
            <w:pPr>
              <w:pStyle w:val="ListParagraph"/>
              <w:ind w:left="330"/>
              <w:jc w:val="both"/>
              <w:rPr>
                <w:rFonts w:ascii="Century Schoolbook" w:hAnsi="Century Schoolbook"/>
                <w:sz w:val="24"/>
                <w:szCs w:val="24"/>
              </w:rPr>
            </w:pPr>
          </w:p>
          <w:p w14:paraId="1C91C41F" w14:textId="77777777" w:rsidR="000A2D82" w:rsidRPr="003C4BD7" w:rsidRDefault="000A2D82" w:rsidP="005402EA">
            <w:pPr>
              <w:pStyle w:val="ListParagraph"/>
              <w:numPr>
                <w:ilvl w:val="0"/>
                <w:numId w:val="22"/>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on 19.10.1989 for a period of 10 years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22.02.1998</w:t>
            </w:r>
          </w:p>
          <w:p w14:paraId="1F1DA10C" w14:textId="77777777" w:rsidR="000A2D82" w:rsidRPr="003C4BD7" w:rsidRDefault="000A2D82" w:rsidP="005402EA">
            <w:pPr>
              <w:pStyle w:val="ListParagraph"/>
              <w:ind w:left="330"/>
              <w:jc w:val="both"/>
              <w:rPr>
                <w:rFonts w:ascii="Century Schoolbook" w:hAnsi="Century Schoolbook"/>
                <w:sz w:val="24"/>
                <w:szCs w:val="24"/>
              </w:rPr>
            </w:pPr>
          </w:p>
          <w:p w14:paraId="4EB7FD49" w14:textId="77777777" w:rsidR="000A2D82" w:rsidRPr="003C4BD7" w:rsidRDefault="000A2D82" w:rsidP="005402EA">
            <w:pPr>
              <w:pStyle w:val="ListParagraph"/>
              <w:numPr>
                <w:ilvl w:val="0"/>
                <w:numId w:val="22"/>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on 10.07.2002 for a period of 10 years from 23.02.1998 to 22.02.2018 </w:t>
            </w:r>
          </w:p>
          <w:p w14:paraId="037CAEA4" w14:textId="77777777" w:rsidR="000A2D82" w:rsidRPr="003C4BD7" w:rsidRDefault="000A2D82" w:rsidP="005402EA">
            <w:pPr>
              <w:pStyle w:val="ListParagraph"/>
              <w:ind w:left="330"/>
              <w:jc w:val="both"/>
              <w:rPr>
                <w:rFonts w:ascii="Century Schoolbook" w:hAnsi="Century Schoolbook"/>
                <w:sz w:val="24"/>
                <w:szCs w:val="24"/>
              </w:rPr>
            </w:pPr>
          </w:p>
          <w:p w14:paraId="61448A3D" w14:textId="77777777" w:rsidR="000A2D82" w:rsidRPr="003C4BD7" w:rsidRDefault="000A2D82" w:rsidP="005402EA">
            <w:pPr>
              <w:pStyle w:val="ListParagraph"/>
              <w:numPr>
                <w:ilvl w:val="0"/>
                <w:numId w:val="22"/>
              </w:numPr>
              <w:ind w:left="330" w:hanging="360"/>
              <w:jc w:val="both"/>
              <w:rPr>
                <w:rFonts w:ascii="Century Schoolbook" w:hAnsi="Century Schoolbook"/>
                <w:sz w:val="24"/>
                <w:szCs w:val="24"/>
              </w:rPr>
            </w:pPr>
            <w:r w:rsidRPr="003C4BD7">
              <w:rPr>
                <w:rFonts w:ascii="Century Schoolbook" w:hAnsi="Century Schoolbook"/>
                <w:sz w:val="24"/>
                <w:szCs w:val="24"/>
              </w:rPr>
              <w:t>ML renewed after amendment in MMDR for 50 years from the date of allotment</w:t>
            </w:r>
          </w:p>
          <w:p w14:paraId="1D783D00" w14:textId="77777777" w:rsidR="000A2D82" w:rsidRPr="003C4BD7" w:rsidRDefault="000A2D82" w:rsidP="005402EA">
            <w:pPr>
              <w:rPr>
                <w:rFonts w:ascii="Century Schoolbook" w:hAnsi="Century Schoolbook"/>
                <w:sz w:val="24"/>
                <w:szCs w:val="24"/>
              </w:rPr>
            </w:pPr>
          </w:p>
          <w:p w14:paraId="28C8DFA0" w14:textId="77777777" w:rsidR="000A2D82" w:rsidRPr="003C4BD7" w:rsidRDefault="000A2D82" w:rsidP="005402EA">
            <w:pPr>
              <w:rPr>
                <w:rFonts w:ascii="Century Schoolbook" w:hAnsi="Century Schoolbook"/>
                <w:sz w:val="24"/>
                <w:szCs w:val="24"/>
              </w:rPr>
            </w:pPr>
          </w:p>
        </w:tc>
        <w:tc>
          <w:tcPr>
            <w:tcW w:w="1572" w:type="dxa"/>
          </w:tcPr>
          <w:p w14:paraId="3D37C090"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403.1875</w:t>
            </w:r>
          </w:p>
          <w:p w14:paraId="1EE31A13" w14:textId="77777777" w:rsidR="000A2D82" w:rsidRPr="003C4BD7" w:rsidRDefault="000A2D82" w:rsidP="005402EA">
            <w:pPr>
              <w:jc w:val="center"/>
              <w:rPr>
                <w:rFonts w:ascii="Century Schoolbook" w:hAnsi="Century Schoolbook"/>
                <w:sz w:val="24"/>
                <w:szCs w:val="24"/>
              </w:rPr>
            </w:pPr>
          </w:p>
        </w:tc>
        <w:tc>
          <w:tcPr>
            <w:tcW w:w="1418" w:type="dxa"/>
          </w:tcPr>
          <w:p w14:paraId="096C0281"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31.03.2030</w:t>
            </w:r>
          </w:p>
        </w:tc>
        <w:tc>
          <w:tcPr>
            <w:tcW w:w="1532" w:type="dxa"/>
          </w:tcPr>
          <w:p w14:paraId="0FA8B9CD"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04.10.2004 for 1.4 MTPA</w:t>
            </w:r>
          </w:p>
          <w:p w14:paraId="56ECA405" w14:textId="77777777" w:rsidR="000A2D82" w:rsidRPr="003C4BD7" w:rsidRDefault="000A2D82" w:rsidP="005402EA">
            <w:pPr>
              <w:rPr>
                <w:rFonts w:ascii="Century Schoolbook" w:hAnsi="Century Schoolbook"/>
                <w:sz w:val="24"/>
                <w:szCs w:val="24"/>
              </w:rPr>
            </w:pPr>
          </w:p>
          <w:p w14:paraId="4F5D36A5"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30.05.2005 for 2.0 MTPA (on expansion)</w:t>
            </w:r>
          </w:p>
        </w:tc>
        <w:tc>
          <w:tcPr>
            <w:tcW w:w="1532" w:type="dxa"/>
          </w:tcPr>
          <w:p w14:paraId="4606482F"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NA</w:t>
            </w:r>
          </w:p>
        </w:tc>
        <w:tc>
          <w:tcPr>
            <w:tcW w:w="1599" w:type="dxa"/>
          </w:tcPr>
          <w:p w14:paraId="7A0C10A8"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No EC taken under 2006 Notification. However, Consent to Operate was taken regularly and renewed from time to time</w:t>
            </w:r>
          </w:p>
        </w:tc>
      </w:tr>
    </w:tbl>
    <w:p w14:paraId="4D2A2122" w14:textId="687FC463" w:rsidR="000A2D82" w:rsidRPr="003C4BD7" w:rsidRDefault="000A2D82" w:rsidP="000A2D82">
      <w:pPr>
        <w:rPr>
          <w:rFonts w:ascii="Century Schoolbook" w:hAnsi="Century Schoolbook"/>
          <w:sz w:val="24"/>
          <w:szCs w:val="24"/>
        </w:rPr>
      </w:pPr>
    </w:p>
    <w:tbl>
      <w:tblPr>
        <w:tblStyle w:val="TableGrid"/>
        <w:tblW w:w="9254" w:type="dxa"/>
        <w:tblLook w:val="04A0" w:firstRow="1" w:lastRow="0" w:firstColumn="1" w:lastColumn="0" w:noHBand="0" w:noVBand="1"/>
      </w:tblPr>
      <w:tblGrid>
        <w:gridCol w:w="1871"/>
        <w:gridCol w:w="1364"/>
        <w:gridCol w:w="1418"/>
        <w:gridCol w:w="1532"/>
        <w:gridCol w:w="1532"/>
        <w:gridCol w:w="1537"/>
      </w:tblGrid>
      <w:tr w:rsidR="000A2D82" w:rsidRPr="003C4BD7" w14:paraId="0904D2F7" w14:textId="77777777" w:rsidTr="00036224">
        <w:tc>
          <w:tcPr>
            <w:tcW w:w="9254" w:type="dxa"/>
            <w:gridSpan w:val="6"/>
            <w:shd w:val="clear" w:color="auto" w:fill="FFFF00"/>
          </w:tcPr>
          <w:p w14:paraId="6445F64F" w14:textId="77777777" w:rsidR="000A2D82" w:rsidRPr="003C4BD7" w:rsidRDefault="000A2D82" w:rsidP="005402EA">
            <w:pPr>
              <w:jc w:val="center"/>
              <w:rPr>
                <w:rFonts w:ascii="Century Schoolbook" w:hAnsi="Century Schoolbook"/>
                <w:b/>
                <w:sz w:val="24"/>
                <w:szCs w:val="24"/>
              </w:rPr>
            </w:pPr>
            <w:r w:rsidRPr="003C4BD7">
              <w:rPr>
                <w:rFonts w:ascii="Century Schoolbook" w:hAnsi="Century Schoolbook"/>
                <w:b/>
                <w:sz w:val="24"/>
                <w:szCs w:val="24"/>
              </w:rPr>
              <w:t>MALIAKHERA – ML NO.04/2003</w:t>
            </w:r>
          </w:p>
          <w:p w14:paraId="6B07102F" w14:textId="77777777" w:rsidR="000A2D82" w:rsidRPr="003C4BD7" w:rsidRDefault="000A2D82" w:rsidP="005402EA">
            <w:pPr>
              <w:jc w:val="center"/>
              <w:rPr>
                <w:rFonts w:ascii="Century Schoolbook" w:hAnsi="Century Schoolbook"/>
                <w:sz w:val="24"/>
                <w:szCs w:val="24"/>
              </w:rPr>
            </w:pPr>
          </w:p>
        </w:tc>
      </w:tr>
      <w:tr w:rsidR="000A2D82" w:rsidRPr="003C4BD7" w14:paraId="783BB95A" w14:textId="77777777" w:rsidTr="00036224">
        <w:tc>
          <w:tcPr>
            <w:tcW w:w="1871" w:type="dxa"/>
          </w:tcPr>
          <w:p w14:paraId="191DF2D3"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Date of Grant of ML, renewal and validity</w:t>
            </w:r>
          </w:p>
        </w:tc>
        <w:tc>
          <w:tcPr>
            <w:tcW w:w="1364" w:type="dxa"/>
          </w:tcPr>
          <w:p w14:paraId="2CF938C2"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Area of ML (In </w:t>
            </w:r>
            <w:proofErr w:type="spellStart"/>
            <w:r w:rsidRPr="003C4BD7">
              <w:rPr>
                <w:rFonts w:ascii="Century Schoolbook" w:hAnsi="Century Schoolbook"/>
                <w:sz w:val="24"/>
                <w:szCs w:val="24"/>
              </w:rPr>
              <w:t>Hactares</w:t>
            </w:r>
            <w:proofErr w:type="spellEnd"/>
            <w:r w:rsidRPr="003C4BD7">
              <w:rPr>
                <w:rFonts w:ascii="Century Schoolbook" w:hAnsi="Century Schoolbook"/>
                <w:sz w:val="24"/>
                <w:szCs w:val="24"/>
              </w:rPr>
              <w:t>)</w:t>
            </w:r>
          </w:p>
          <w:p w14:paraId="7003357A" w14:textId="77777777" w:rsidR="000A2D82" w:rsidRPr="003C4BD7" w:rsidRDefault="000A2D82" w:rsidP="005402EA">
            <w:pPr>
              <w:jc w:val="center"/>
              <w:rPr>
                <w:rFonts w:ascii="Century Schoolbook" w:hAnsi="Century Schoolbook"/>
                <w:sz w:val="24"/>
                <w:szCs w:val="24"/>
              </w:rPr>
            </w:pPr>
          </w:p>
        </w:tc>
        <w:tc>
          <w:tcPr>
            <w:tcW w:w="1418" w:type="dxa"/>
          </w:tcPr>
          <w:p w14:paraId="462782B4"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Valid </w:t>
            </w:r>
            <w:proofErr w:type="spellStart"/>
            <w:r w:rsidRPr="003C4BD7">
              <w:rPr>
                <w:rFonts w:ascii="Century Schoolbook" w:hAnsi="Century Schoolbook"/>
                <w:sz w:val="24"/>
                <w:szCs w:val="24"/>
              </w:rPr>
              <w:t>Upto</w:t>
            </w:r>
            <w:proofErr w:type="spellEnd"/>
          </w:p>
        </w:tc>
        <w:tc>
          <w:tcPr>
            <w:tcW w:w="1532" w:type="dxa"/>
          </w:tcPr>
          <w:p w14:paraId="74CE171E"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1994 Notification</w:t>
            </w:r>
          </w:p>
        </w:tc>
        <w:tc>
          <w:tcPr>
            <w:tcW w:w="1532" w:type="dxa"/>
          </w:tcPr>
          <w:p w14:paraId="2159D109"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2006 Notification</w:t>
            </w:r>
          </w:p>
          <w:p w14:paraId="0DB518EB" w14:textId="77777777" w:rsidR="000A2D82" w:rsidRPr="003C4BD7" w:rsidRDefault="000A2D82" w:rsidP="005402EA">
            <w:pPr>
              <w:rPr>
                <w:rFonts w:ascii="Century Schoolbook" w:hAnsi="Century Schoolbook"/>
                <w:sz w:val="24"/>
                <w:szCs w:val="24"/>
              </w:rPr>
            </w:pPr>
          </w:p>
        </w:tc>
        <w:tc>
          <w:tcPr>
            <w:tcW w:w="1532" w:type="dxa"/>
          </w:tcPr>
          <w:p w14:paraId="7789B042"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Remarks</w:t>
            </w:r>
          </w:p>
        </w:tc>
      </w:tr>
      <w:tr w:rsidR="000A2D82" w:rsidRPr="003C4BD7" w14:paraId="5C21FB02" w14:textId="77777777" w:rsidTr="00036224">
        <w:tc>
          <w:tcPr>
            <w:tcW w:w="1871" w:type="dxa"/>
          </w:tcPr>
          <w:p w14:paraId="2642A8C2" w14:textId="77777777" w:rsidR="000A2D82" w:rsidRPr="003C4BD7" w:rsidRDefault="000A2D82" w:rsidP="005402EA">
            <w:pPr>
              <w:pStyle w:val="ListParagraph"/>
              <w:numPr>
                <w:ilvl w:val="0"/>
                <w:numId w:val="23"/>
              </w:numPr>
              <w:ind w:left="330" w:hanging="360"/>
              <w:jc w:val="both"/>
              <w:rPr>
                <w:rFonts w:ascii="Century Schoolbook" w:hAnsi="Century Schoolbook"/>
                <w:sz w:val="24"/>
                <w:szCs w:val="24"/>
              </w:rPr>
            </w:pPr>
            <w:r w:rsidRPr="003C4BD7">
              <w:rPr>
                <w:rFonts w:ascii="Century Schoolbook" w:hAnsi="Century Schoolbook"/>
                <w:sz w:val="24"/>
                <w:szCs w:val="24"/>
              </w:rPr>
              <w:t xml:space="preserve">ML granted on 06.11.1984 </w:t>
            </w:r>
            <w:r w:rsidRPr="003C4BD7">
              <w:rPr>
                <w:rFonts w:ascii="Century Schoolbook" w:hAnsi="Century Schoolbook"/>
                <w:sz w:val="24"/>
                <w:szCs w:val="24"/>
              </w:rPr>
              <w:lastRenderedPageBreak/>
              <w:t xml:space="preserve">for a period of 20 years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12.12.2004</w:t>
            </w:r>
          </w:p>
          <w:p w14:paraId="6650E614" w14:textId="77777777" w:rsidR="000A2D82" w:rsidRPr="003C4BD7" w:rsidRDefault="000A2D82" w:rsidP="005402EA">
            <w:pPr>
              <w:pStyle w:val="ListParagraph"/>
              <w:ind w:left="330"/>
              <w:jc w:val="both"/>
              <w:rPr>
                <w:rFonts w:ascii="Century Schoolbook" w:hAnsi="Century Schoolbook"/>
                <w:sz w:val="24"/>
                <w:szCs w:val="24"/>
              </w:rPr>
            </w:pPr>
          </w:p>
          <w:p w14:paraId="489771AB" w14:textId="77777777" w:rsidR="000A2D82" w:rsidRPr="003C4BD7" w:rsidRDefault="000A2D82" w:rsidP="005402EA">
            <w:pPr>
              <w:pStyle w:val="ListParagraph"/>
              <w:numPr>
                <w:ilvl w:val="0"/>
                <w:numId w:val="23"/>
              </w:numPr>
              <w:ind w:left="330" w:hanging="360"/>
              <w:jc w:val="both"/>
              <w:rPr>
                <w:rFonts w:ascii="Century Schoolbook" w:hAnsi="Century Schoolbook"/>
                <w:sz w:val="24"/>
                <w:szCs w:val="24"/>
              </w:rPr>
            </w:pPr>
            <w:r w:rsidRPr="003C4BD7">
              <w:rPr>
                <w:rFonts w:ascii="Century Schoolbook" w:hAnsi="Century Schoolbook"/>
                <w:sz w:val="24"/>
                <w:szCs w:val="24"/>
              </w:rPr>
              <w:t>ML renewed on 16.11.2010 for 20 years from 13.12.2004 to 11.12.2024</w:t>
            </w:r>
          </w:p>
          <w:p w14:paraId="74F0963E" w14:textId="77777777" w:rsidR="000A2D82" w:rsidRPr="003C4BD7" w:rsidRDefault="000A2D82" w:rsidP="005402EA">
            <w:pPr>
              <w:pStyle w:val="ListParagraph"/>
              <w:rPr>
                <w:rFonts w:ascii="Century Schoolbook" w:hAnsi="Century Schoolbook"/>
                <w:sz w:val="24"/>
                <w:szCs w:val="24"/>
              </w:rPr>
            </w:pPr>
          </w:p>
          <w:p w14:paraId="4CC0C2A8" w14:textId="77777777" w:rsidR="000A2D82" w:rsidRPr="003C4BD7" w:rsidRDefault="000A2D82" w:rsidP="005402EA">
            <w:pPr>
              <w:pStyle w:val="ListParagraph"/>
              <w:numPr>
                <w:ilvl w:val="0"/>
                <w:numId w:val="23"/>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on 27.02.2015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12.12.2034 after amendment in MMDR</w:t>
            </w:r>
          </w:p>
          <w:p w14:paraId="19F883DF" w14:textId="77777777" w:rsidR="000A2D82" w:rsidRPr="003C4BD7" w:rsidRDefault="000A2D82" w:rsidP="005402EA">
            <w:pPr>
              <w:jc w:val="both"/>
              <w:rPr>
                <w:rFonts w:ascii="Century Schoolbook" w:hAnsi="Century Schoolbook"/>
                <w:sz w:val="24"/>
                <w:szCs w:val="24"/>
              </w:rPr>
            </w:pPr>
          </w:p>
        </w:tc>
        <w:tc>
          <w:tcPr>
            <w:tcW w:w="1364" w:type="dxa"/>
          </w:tcPr>
          <w:p w14:paraId="6DE7B782"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lastRenderedPageBreak/>
              <w:t>315.4090</w:t>
            </w:r>
          </w:p>
        </w:tc>
        <w:tc>
          <w:tcPr>
            <w:tcW w:w="1418" w:type="dxa"/>
          </w:tcPr>
          <w:p w14:paraId="6D77EA96"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12.12.2034</w:t>
            </w:r>
          </w:p>
        </w:tc>
        <w:tc>
          <w:tcPr>
            <w:tcW w:w="1532" w:type="dxa"/>
          </w:tcPr>
          <w:p w14:paraId="2C6F8025"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04.10.2004 for 2.2 MTPA</w:t>
            </w:r>
          </w:p>
          <w:p w14:paraId="4C93C476" w14:textId="77777777" w:rsidR="000A2D82" w:rsidRPr="003C4BD7" w:rsidRDefault="000A2D82" w:rsidP="005402EA">
            <w:pPr>
              <w:jc w:val="center"/>
              <w:rPr>
                <w:rFonts w:ascii="Century Schoolbook" w:hAnsi="Century Schoolbook"/>
                <w:sz w:val="24"/>
                <w:szCs w:val="24"/>
              </w:rPr>
            </w:pPr>
          </w:p>
          <w:p w14:paraId="5BE4C579" w14:textId="77777777" w:rsidR="000A2D82" w:rsidRPr="003C4BD7" w:rsidRDefault="000A2D82" w:rsidP="005402EA">
            <w:pPr>
              <w:rPr>
                <w:rFonts w:ascii="Century Schoolbook" w:hAnsi="Century Schoolbook"/>
                <w:sz w:val="24"/>
                <w:szCs w:val="24"/>
              </w:rPr>
            </w:pPr>
          </w:p>
        </w:tc>
        <w:tc>
          <w:tcPr>
            <w:tcW w:w="1532" w:type="dxa"/>
          </w:tcPr>
          <w:p w14:paraId="72788E4B"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lastRenderedPageBreak/>
              <w:t>06.08.2010 for 3.2 MTPA</w:t>
            </w:r>
          </w:p>
        </w:tc>
        <w:tc>
          <w:tcPr>
            <w:tcW w:w="1532" w:type="dxa"/>
          </w:tcPr>
          <w:p w14:paraId="15F7BD33"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 xml:space="preserve">We have EC under </w:t>
            </w:r>
            <w:r w:rsidRPr="003C4BD7">
              <w:rPr>
                <w:rFonts w:ascii="Century Schoolbook" w:hAnsi="Century Schoolbook"/>
                <w:sz w:val="24"/>
                <w:szCs w:val="24"/>
              </w:rPr>
              <w:lastRenderedPageBreak/>
              <w:t>both the Notification</w:t>
            </w:r>
          </w:p>
        </w:tc>
      </w:tr>
    </w:tbl>
    <w:p w14:paraId="1602FC69" w14:textId="792F2671" w:rsidR="000A2D82" w:rsidRPr="003C4BD7" w:rsidRDefault="000A2D82" w:rsidP="000A2D82">
      <w:pPr>
        <w:rPr>
          <w:rFonts w:ascii="Century Schoolbook" w:hAnsi="Century Schoolbook"/>
          <w:sz w:val="24"/>
          <w:szCs w:val="24"/>
        </w:rPr>
      </w:pPr>
    </w:p>
    <w:tbl>
      <w:tblPr>
        <w:tblStyle w:val="TableGrid"/>
        <w:tblW w:w="9129" w:type="dxa"/>
        <w:tblLook w:val="04A0" w:firstRow="1" w:lastRow="0" w:firstColumn="1" w:lastColumn="0" w:noHBand="0" w:noVBand="1"/>
      </w:tblPr>
      <w:tblGrid>
        <w:gridCol w:w="1911"/>
        <w:gridCol w:w="1287"/>
        <w:gridCol w:w="1418"/>
        <w:gridCol w:w="1550"/>
        <w:gridCol w:w="1550"/>
        <w:gridCol w:w="1532"/>
      </w:tblGrid>
      <w:tr w:rsidR="000A2D82" w:rsidRPr="003C4BD7" w14:paraId="714CB66A" w14:textId="77777777" w:rsidTr="00036224">
        <w:tc>
          <w:tcPr>
            <w:tcW w:w="9129" w:type="dxa"/>
            <w:gridSpan w:val="6"/>
            <w:shd w:val="clear" w:color="auto" w:fill="FFFF00"/>
          </w:tcPr>
          <w:p w14:paraId="0B99F867" w14:textId="77777777" w:rsidR="000A2D82" w:rsidRPr="003C4BD7" w:rsidRDefault="000A2D82" w:rsidP="005402EA">
            <w:pPr>
              <w:jc w:val="center"/>
              <w:rPr>
                <w:rFonts w:ascii="Century Schoolbook" w:hAnsi="Century Schoolbook"/>
                <w:b/>
                <w:sz w:val="24"/>
                <w:szCs w:val="24"/>
              </w:rPr>
            </w:pPr>
            <w:r w:rsidRPr="003C4BD7">
              <w:rPr>
                <w:rFonts w:ascii="Century Schoolbook" w:hAnsi="Century Schoolbook"/>
                <w:b/>
                <w:sz w:val="24"/>
                <w:szCs w:val="24"/>
              </w:rPr>
              <w:t>TILAKHERA – ML NO.7/1997</w:t>
            </w:r>
          </w:p>
          <w:p w14:paraId="2CDB39FF" w14:textId="77777777" w:rsidR="000A2D82" w:rsidRPr="003C4BD7" w:rsidRDefault="000A2D82" w:rsidP="005402EA">
            <w:pPr>
              <w:jc w:val="center"/>
              <w:rPr>
                <w:rFonts w:ascii="Century Schoolbook" w:hAnsi="Century Schoolbook"/>
                <w:sz w:val="24"/>
                <w:szCs w:val="24"/>
              </w:rPr>
            </w:pPr>
          </w:p>
        </w:tc>
      </w:tr>
      <w:tr w:rsidR="000A2D82" w:rsidRPr="003C4BD7" w14:paraId="03DE1127" w14:textId="77777777" w:rsidTr="00036224">
        <w:tc>
          <w:tcPr>
            <w:tcW w:w="1859" w:type="dxa"/>
          </w:tcPr>
          <w:p w14:paraId="26FEE4FD"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Date of Grant of ML, renewal and validity</w:t>
            </w:r>
          </w:p>
        </w:tc>
        <w:tc>
          <w:tcPr>
            <w:tcW w:w="1376" w:type="dxa"/>
          </w:tcPr>
          <w:p w14:paraId="1BA387B8" w14:textId="0429EFC6"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Area of ML (In </w:t>
            </w:r>
            <w:r w:rsidR="00BE1C7D" w:rsidRPr="003C4BD7">
              <w:rPr>
                <w:rFonts w:ascii="Century Schoolbook" w:hAnsi="Century Schoolbook"/>
                <w:sz w:val="24"/>
                <w:szCs w:val="24"/>
              </w:rPr>
              <w:t>Hectares</w:t>
            </w:r>
            <w:r w:rsidRPr="003C4BD7">
              <w:rPr>
                <w:rFonts w:ascii="Century Schoolbook" w:hAnsi="Century Schoolbook"/>
                <w:sz w:val="24"/>
                <w:szCs w:val="24"/>
              </w:rPr>
              <w:t>)</w:t>
            </w:r>
          </w:p>
          <w:p w14:paraId="6B9A4E18" w14:textId="77777777" w:rsidR="000A2D82" w:rsidRPr="003C4BD7" w:rsidRDefault="000A2D82" w:rsidP="005402EA">
            <w:pPr>
              <w:jc w:val="center"/>
              <w:rPr>
                <w:rFonts w:ascii="Century Schoolbook" w:hAnsi="Century Schoolbook"/>
                <w:sz w:val="24"/>
                <w:szCs w:val="24"/>
              </w:rPr>
            </w:pPr>
          </w:p>
        </w:tc>
        <w:tc>
          <w:tcPr>
            <w:tcW w:w="1381" w:type="dxa"/>
          </w:tcPr>
          <w:p w14:paraId="19B2EE06" w14:textId="77777777" w:rsidR="000A2D82" w:rsidRPr="003C4BD7" w:rsidRDefault="000A2D82" w:rsidP="00036224">
            <w:pPr>
              <w:ind w:left="91" w:hanging="91"/>
              <w:jc w:val="center"/>
              <w:rPr>
                <w:rFonts w:ascii="Century Schoolbook" w:hAnsi="Century Schoolbook"/>
                <w:sz w:val="24"/>
                <w:szCs w:val="24"/>
              </w:rPr>
            </w:pPr>
            <w:r w:rsidRPr="003C4BD7">
              <w:rPr>
                <w:rFonts w:ascii="Century Schoolbook" w:hAnsi="Century Schoolbook"/>
                <w:sz w:val="24"/>
                <w:szCs w:val="24"/>
              </w:rPr>
              <w:t xml:space="preserve">Valid </w:t>
            </w:r>
            <w:proofErr w:type="spellStart"/>
            <w:r w:rsidRPr="003C4BD7">
              <w:rPr>
                <w:rFonts w:ascii="Century Schoolbook" w:hAnsi="Century Schoolbook"/>
                <w:sz w:val="24"/>
                <w:szCs w:val="24"/>
              </w:rPr>
              <w:t>Upto</w:t>
            </w:r>
            <w:proofErr w:type="spellEnd"/>
          </w:p>
        </w:tc>
        <w:tc>
          <w:tcPr>
            <w:tcW w:w="1509" w:type="dxa"/>
          </w:tcPr>
          <w:p w14:paraId="0062270A"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1994 Notification</w:t>
            </w:r>
          </w:p>
        </w:tc>
        <w:tc>
          <w:tcPr>
            <w:tcW w:w="1509" w:type="dxa"/>
          </w:tcPr>
          <w:p w14:paraId="5080495A"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2006 Notification</w:t>
            </w:r>
          </w:p>
          <w:p w14:paraId="648AEDAB" w14:textId="77777777" w:rsidR="000A2D82" w:rsidRPr="003C4BD7" w:rsidRDefault="000A2D82" w:rsidP="005402EA">
            <w:pPr>
              <w:rPr>
                <w:rFonts w:ascii="Century Schoolbook" w:hAnsi="Century Schoolbook"/>
                <w:sz w:val="24"/>
                <w:szCs w:val="24"/>
              </w:rPr>
            </w:pPr>
          </w:p>
        </w:tc>
        <w:tc>
          <w:tcPr>
            <w:tcW w:w="1491" w:type="dxa"/>
          </w:tcPr>
          <w:p w14:paraId="40CC9788"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Remarks</w:t>
            </w:r>
          </w:p>
        </w:tc>
      </w:tr>
      <w:tr w:rsidR="000A2D82" w:rsidRPr="003C4BD7" w14:paraId="43713519" w14:textId="77777777" w:rsidTr="00036224">
        <w:tc>
          <w:tcPr>
            <w:tcW w:w="1859" w:type="dxa"/>
          </w:tcPr>
          <w:p w14:paraId="7944C959" w14:textId="77777777" w:rsidR="000A2D82" w:rsidRPr="003C4BD7" w:rsidRDefault="000A2D82" w:rsidP="005402EA">
            <w:pPr>
              <w:pStyle w:val="ListParagraph"/>
              <w:numPr>
                <w:ilvl w:val="0"/>
                <w:numId w:val="24"/>
              </w:numPr>
              <w:ind w:left="330" w:hanging="360"/>
              <w:jc w:val="both"/>
              <w:rPr>
                <w:rFonts w:ascii="Century Schoolbook" w:hAnsi="Century Schoolbook"/>
                <w:sz w:val="24"/>
                <w:szCs w:val="24"/>
              </w:rPr>
            </w:pPr>
            <w:r w:rsidRPr="003C4BD7">
              <w:rPr>
                <w:rFonts w:ascii="Century Schoolbook" w:hAnsi="Century Schoolbook"/>
                <w:sz w:val="24"/>
                <w:szCs w:val="24"/>
              </w:rPr>
              <w:t xml:space="preserve">ML granted on 28.09.1977 for a period of 20 years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08.05.1998</w:t>
            </w:r>
          </w:p>
          <w:p w14:paraId="5EED66C6" w14:textId="77777777" w:rsidR="000A2D82" w:rsidRPr="003C4BD7" w:rsidRDefault="000A2D82" w:rsidP="005402EA">
            <w:pPr>
              <w:pStyle w:val="ListParagraph"/>
              <w:ind w:left="330"/>
              <w:jc w:val="both"/>
              <w:rPr>
                <w:rFonts w:ascii="Century Schoolbook" w:hAnsi="Century Schoolbook"/>
                <w:sz w:val="24"/>
                <w:szCs w:val="24"/>
              </w:rPr>
            </w:pPr>
          </w:p>
          <w:p w14:paraId="548C951E" w14:textId="77777777" w:rsidR="000A2D82" w:rsidRPr="003C4BD7" w:rsidRDefault="000A2D82" w:rsidP="005402EA">
            <w:pPr>
              <w:pStyle w:val="ListParagraph"/>
              <w:numPr>
                <w:ilvl w:val="0"/>
                <w:numId w:val="24"/>
              </w:numPr>
              <w:ind w:left="330" w:hanging="360"/>
              <w:jc w:val="both"/>
              <w:rPr>
                <w:rFonts w:ascii="Century Schoolbook" w:hAnsi="Century Schoolbook"/>
                <w:sz w:val="24"/>
                <w:szCs w:val="24"/>
              </w:rPr>
            </w:pPr>
            <w:r w:rsidRPr="003C4BD7">
              <w:rPr>
                <w:rFonts w:ascii="Century Schoolbook" w:hAnsi="Century Schoolbook"/>
                <w:sz w:val="24"/>
                <w:szCs w:val="24"/>
              </w:rPr>
              <w:t>ML renewed on 10.11.2010 for a period of 20 years from 09.05.1998 to 08.05.2018</w:t>
            </w:r>
          </w:p>
          <w:p w14:paraId="30417BE9" w14:textId="77777777" w:rsidR="000A2D82" w:rsidRPr="003C4BD7" w:rsidRDefault="000A2D82" w:rsidP="005402EA">
            <w:pPr>
              <w:pStyle w:val="ListParagraph"/>
              <w:rPr>
                <w:rFonts w:ascii="Century Schoolbook" w:hAnsi="Century Schoolbook"/>
                <w:sz w:val="24"/>
                <w:szCs w:val="24"/>
              </w:rPr>
            </w:pPr>
          </w:p>
          <w:p w14:paraId="5B3B7595" w14:textId="77777777" w:rsidR="000A2D82" w:rsidRPr="003C4BD7" w:rsidRDefault="000A2D82" w:rsidP="005402EA">
            <w:pPr>
              <w:pStyle w:val="ListParagraph"/>
              <w:numPr>
                <w:ilvl w:val="0"/>
                <w:numId w:val="24"/>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01.04.2030 after MMDR Amendment on 27.02.2015</w:t>
            </w:r>
          </w:p>
          <w:p w14:paraId="131AAA1A" w14:textId="77777777" w:rsidR="000A2D82" w:rsidRPr="003C4BD7" w:rsidRDefault="000A2D82" w:rsidP="005402EA">
            <w:pPr>
              <w:pStyle w:val="ListParagraph"/>
              <w:ind w:left="1080"/>
              <w:jc w:val="both"/>
              <w:rPr>
                <w:rFonts w:ascii="Century Schoolbook" w:hAnsi="Century Schoolbook"/>
                <w:sz w:val="24"/>
                <w:szCs w:val="24"/>
              </w:rPr>
            </w:pPr>
          </w:p>
        </w:tc>
        <w:tc>
          <w:tcPr>
            <w:tcW w:w="1376" w:type="dxa"/>
          </w:tcPr>
          <w:p w14:paraId="00FC5A2D"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lastRenderedPageBreak/>
              <w:t>299.20</w:t>
            </w:r>
          </w:p>
        </w:tc>
        <w:tc>
          <w:tcPr>
            <w:tcW w:w="1381" w:type="dxa"/>
          </w:tcPr>
          <w:p w14:paraId="6C1C22B2"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01.04.2030</w:t>
            </w:r>
          </w:p>
        </w:tc>
        <w:tc>
          <w:tcPr>
            <w:tcW w:w="1509" w:type="dxa"/>
          </w:tcPr>
          <w:p w14:paraId="0E6C0945"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04.10.2004 for 0.36 MTPA</w:t>
            </w:r>
          </w:p>
          <w:p w14:paraId="61AC4BCB" w14:textId="77777777" w:rsidR="000A2D82" w:rsidRPr="003C4BD7" w:rsidRDefault="000A2D82" w:rsidP="005402EA">
            <w:pPr>
              <w:jc w:val="center"/>
              <w:rPr>
                <w:rFonts w:ascii="Century Schoolbook" w:hAnsi="Century Schoolbook"/>
                <w:sz w:val="24"/>
                <w:szCs w:val="24"/>
              </w:rPr>
            </w:pPr>
          </w:p>
          <w:p w14:paraId="29E49FA3"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30.05.2005 for 0.6 MTPA (Expansion)</w:t>
            </w:r>
          </w:p>
          <w:p w14:paraId="42CCF17A" w14:textId="77777777" w:rsidR="000A2D82" w:rsidRPr="003C4BD7" w:rsidRDefault="000A2D82" w:rsidP="005402EA">
            <w:pPr>
              <w:jc w:val="center"/>
              <w:rPr>
                <w:rFonts w:ascii="Century Schoolbook" w:hAnsi="Century Schoolbook"/>
                <w:sz w:val="24"/>
                <w:szCs w:val="24"/>
              </w:rPr>
            </w:pPr>
          </w:p>
          <w:p w14:paraId="4B58B72D" w14:textId="77777777" w:rsidR="000A2D82" w:rsidRPr="003C4BD7" w:rsidRDefault="000A2D82" w:rsidP="005402EA">
            <w:pPr>
              <w:rPr>
                <w:rFonts w:ascii="Century Schoolbook" w:hAnsi="Century Schoolbook"/>
                <w:sz w:val="24"/>
                <w:szCs w:val="24"/>
              </w:rPr>
            </w:pPr>
          </w:p>
        </w:tc>
        <w:tc>
          <w:tcPr>
            <w:tcW w:w="1509" w:type="dxa"/>
          </w:tcPr>
          <w:p w14:paraId="25781BBB"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23.01.2014 for 1.6 MTPA (Expansion)</w:t>
            </w:r>
          </w:p>
        </w:tc>
        <w:tc>
          <w:tcPr>
            <w:tcW w:w="1491" w:type="dxa"/>
          </w:tcPr>
          <w:p w14:paraId="0BCC9B5F"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We have EC under both the Notification</w:t>
            </w:r>
          </w:p>
        </w:tc>
      </w:tr>
    </w:tbl>
    <w:p w14:paraId="690ED2A7" w14:textId="77777777" w:rsidR="000A2D82" w:rsidRPr="003C4BD7" w:rsidRDefault="000A2D82" w:rsidP="000A2D82">
      <w:pPr>
        <w:spacing w:after="0" w:line="240" w:lineRule="auto"/>
        <w:rPr>
          <w:rFonts w:ascii="Century Schoolbook" w:hAnsi="Century Schoolbook"/>
          <w:sz w:val="24"/>
          <w:szCs w:val="24"/>
        </w:rPr>
      </w:pPr>
    </w:p>
    <w:tbl>
      <w:tblPr>
        <w:tblStyle w:val="TableGrid"/>
        <w:tblW w:w="9129" w:type="dxa"/>
        <w:tblLook w:val="04A0" w:firstRow="1" w:lastRow="0" w:firstColumn="1" w:lastColumn="0" w:noHBand="0" w:noVBand="1"/>
      </w:tblPr>
      <w:tblGrid>
        <w:gridCol w:w="1911"/>
        <w:gridCol w:w="1287"/>
        <w:gridCol w:w="1418"/>
        <w:gridCol w:w="1532"/>
        <w:gridCol w:w="1550"/>
        <w:gridCol w:w="1532"/>
      </w:tblGrid>
      <w:tr w:rsidR="000A2D82" w:rsidRPr="003C4BD7" w14:paraId="2FB09194" w14:textId="77777777" w:rsidTr="00036224">
        <w:tc>
          <w:tcPr>
            <w:tcW w:w="9129" w:type="dxa"/>
            <w:gridSpan w:val="6"/>
            <w:shd w:val="clear" w:color="auto" w:fill="FFFF00"/>
          </w:tcPr>
          <w:p w14:paraId="33C6C3C7" w14:textId="77777777" w:rsidR="000A2D82" w:rsidRPr="003C4BD7" w:rsidRDefault="000A2D82" w:rsidP="005402EA">
            <w:pPr>
              <w:jc w:val="center"/>
              <w:rPr>
                <w:rFonts w:ascii="Century Schoolbook" w:hAnsi="Century Schoolbook"/>
                <w:b/>
                <w:sz w:val="24"/>
                <w:szCs w:val="24"/>
              </w:rPr>
            </w:pPr>
            <w:r w:rsidRPr="003C4BD7">
              <w:rPr>
                <w:rFonts w:ascii="Century Schoolbook" w:hAnsi="Century Schoolbook"/>
                <w:b/>
                <w:sz w:val="24"/>
                <w:szCs w:val="24"/>
              </w:rPr>
              <w:t>KARUNDA – ML NO.3/2003</w:t>
            </w:r>
          </w:p>
          <w:p w14:paraId="6B51798A" w14:textId="77777777" w:rsidR="000A2D82" w:rsidRPr="003C4BD7" w:rsidRDefault="000A2D82" w:rsidP="005402EA">
            <w:pPr>
              <w:jc w:val="center"/>
              <w:rPr>
                <w:rFonts w:ascii="Century Schoolbook" w:hAnsi="Century Schoolbook"/>
                <w:sz w:val="24"/>
                <w:szCs w:val="24"/>
              </w:rPr>
            </w:pPr>
          </w:p>
        </w:tc>
      </w:tr>
      <w:tr w:rsidR="00036224" w:rsidRPr="003C4BD7" w14:paraId="01C8A498" w14:textId="77777777" w:rsidTr="00036224">
        <w:tc>
          <w:tcPr>
            <w:tcW w:w="1862" w:type="dxa"/>
          </w:tcPr>
          <w:p w14:paraId="23CDAAB7"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Date of Grant of ML, renewal and validity</w:t>
            </w:r>
          </w:p>
        </w:tc>
        <w:tc>
          <w:tcPr>
            <w:tcW w:w="1373" w:type="dxa"/>
          </w:tcPr>
          <w:p w14:paraId="241B010E" w14:textId="4DE69DDE"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Area of ML (In </w:t>
            </w:r>
            <w:r w:rsidR="00BE1C7D" w:rsidRPr="003C4BD7">
              <w:rPr>
                <w:rFonts w:ascii="Century Schoolbook" w:hAnsi="Century Schoolbook"/>
                <w:sz w:val="24"/>
                <w:szCs w:val="24"/>
              </w:rPr>
              <w:t>Hectares</w:t>
            </w:r>
            <w:r w:rsidRPr="003C4BD7">
              <w:rPr>
                <w:rFonts w:ascii="Century Schoolbook" w:hAnsi="Century Schoolbook"/>
                <w:sz w:val="24"/>
                <w:szCs w:val="24"/>
              </w:rPr>
              <w:t>)</w:t>
            </w:r>
          </w:p>
          <w:p w14:paraId="3B043002" w14:textId="77777777" w:rsidR="000A2D82" w:rsidRPr="003C4BD7" w:rsidRDefault="000A2D82" w:rsidP="005402EA">
            <w:pPr>
              <w:jc w:val="center"/>
              <w:rPr>
                <w:rFonts w:ascii="Century Schoolbook" w:hAnsi="Century Schoolbook"/>
                <w:sz w:val="24"/>
                <w:szCs w:val="24"/>
              </w:rPr>
            </w:pPr>
          </w:p>
        </w:tc>
        <w:tc>
          <w:tcPr>
            <w:tcW w:w="1384" w:type="dxa"/>
          </w:tcPr>
          <w:p w14:paraId="2AB27FDD"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Valid </w:t>
            </w:r>
            <w:proofErr w:type="spellStart"/>
            <w:r w:rsidRPr="003C4BD7">
              <w:rPr>
                <w:rFonts w:ascii="Century Schoolbook" w:hAnsi="Century Schoolbook"/>
                <w:sz w:val="24"/>
                <w:szCs w:val="24"/>
              </w:rPr>
              <w:t>Upto</w:t>
            </w:r>
            <w:proofErr w:type="spellEnd"/>
          </w:p>
        </w:tc>
        <w:tc>
          <w:tcPr>
            <w:tcW w:w="1494" w:type="dxa"/>
          </w:tcPr>
          <w:p w14:paraId="1CE01189"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1994 Notification</w:t>
            </w:r>
          </w:p>
        </w:tc>
        <w:tc>
          <w:tcPr>
            <w:tcW w:w="1512" w:type="dxa"/>
          </w:tcPr>
          <w:p w14:paraId="5B0D7CD9"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2006 Notification</w:t>
            </w:r>
          </w:p>
          <w:p w14:paraId="2F7B86FF" w14:textId="77777777" w:rsidR="000A2D82" w:rsidRPr="003C4BD7" w:rsidRDefault="000A2D82" w:rsidP="005402EA">
            <w:pPr>
              <w:rPr>
                <w:rFonts w:ascii="Century Schoolbook" w:hAnsi="Century Schoolbook"/>
                <w:sz w:val="24"/>
                <w:szCs w:val="24"/>
              </w:rPr>
            </w:pPr>
          </w:p>
        </w:tc>
        <w:tc>
          <w:tcPr>
            <w:tcW w:w="1494" w:type="dxa"/>
          </w:tcPr>
          <w:p w14:paraId="30F6A946"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Remarks</w:t>
            </w:r>
          </w:p>
        </w:tc>
      </w:tr>
      <w:tr w:rsidR="00036224" w:rsidRPr="003C4BD7" w14:paraId="1228BB0F" w14:textId="77777777" w:rsidTr="00036224">
        <w:tc>
          <w:tcPr>
            <w:tcW w:w="1862" w:type="dxa"/>
          </w:tcPr>
          <w:p w14:paraId="095F1D9C" w14:textId="77777777" w:rsidR="000A2D82" w:rsidRPr="003C4BD7" w:rsidRDefault="000A2D82" w:rsidP="005402EA">
            <w:pPr>
              <w:pStyle w:val="ListParagraph"/>
              <w:numPr>
                <w:ilvl w:val="0"/>
                <w:numId w:val="25"/>
              </w:numPr>
              <w:ind w:left="330" w:hanging="360"/>
              <w:jc w:val="both"/>
              <w:rPr>
                <w:rFonts w:ascii="Century Schoolbook" w:hAnsi="Century Schoolbook"/>
                <w:sz w:val="24"/>
                <w:szCs w:val="24"/>
              </w:rPr>
            </w:pPr>
            <w:r w:rsidRPr="003C4BD7">
              <w:rPr>
                <w:rFonts w:ascii="Century Schoolbook" w:hAnsi="Century Schoolbook"/>
                <w:sz w:val="24"/>
                <w:szCs w:val="24"/>
              </w:rPr>
              <w:t xml:space="preserve">ML granted on 06.11.1984 for a period of 20 years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12.12.2004</w:t>
            </w:r>
          </w:p>
          <w:p w14:paraId="20FF9A9B" w14:textId="77777777" w:rsidR="000A2D82" w:rsidRPr="003C4BD7" w:rsidRDefault="000A2D82" w:rsidP="005402EA">
            <w:pPr>
              <w:pStyle w:val="ListParagraph"/>
              <w:ind w:left="330"/>
              <w:jc w:val="both"/>
              <w:rPr>
                <w:rFonts w:ascii="Century Schoolbook" w:hAnsi="Century Schoolbook"/>
                <w:sz w:val="24"/>
                <w:szCs w:val="24"/>
              </w:rPr>
            </w:pPr>
          </w:p>
          <w:p w14:paraId="08DAE7DF" w14:textId="77777777" w:rsidR="000A2D82" w:rsidRPr="003C4BD7" w:rsidRDefault="000A2D82" w:rsidP="005402EA">
            <w:pPr>
              <w:pStyle w:val="ListParagraph"/>
              <w:numPr>
                <w:ilvl w:val="0"/>
                <w:numId w:val="25"/>
              </w:numPr>
              <w:ind w:left="330" w:hanging="360"/>
              <w:jc w:val="both"/>
              <w:rPr>
                <w:rFonts w:ascii="Century Schoolbook" w:hAnsi="Century Schoolbook"/>
                <w:sz w:val="24"/>
                <w:szCs w:val="24"/>
              </w:rPr>
            </w:pPr>
            <w:r w:rsidRPr="003C4BD7">
              <w:rPr>
                <w:rFonts w:ascii="Century Schoolbook" w:hAnsi="Century Schoolbook"/>
                <w:sz w:val="24"/>
                <w:szCs w:val="24"/>
              </w:rPr>
              <w:t>ML renewed on 18.11.2010 for a period of 10 years from 13.12.2004 to 04.07.2014</w:t>
            </w:r>
          </w:p>
          <w:p w14:paraId="50FE09C0" w14:textId="77777777" w:rsidR="000A2D82" w:rsidRPr="003C4BD7" w:rsidRDefault="000A2D82" w:rsidP="005402EA">
            <w:pPr>
              <w:pStyle w:val="ListParagraph"/>
              <w:rPr>
                <w:rFonts w:ascii="Century Schoolbook" w:hAnsi="Century Schoolbook"/>
                <w:sz w:val="24"/>
                <w:szCs w:val="24"/>
              </w:rPr>
            </w:pPr>
          </w:p>
          <w:p w14:paraId="3CC8E1A1" w14:textId="77777777" w:rsidR="000A2D82" w:rsidRPr="003C4BD7" w:rsidRDefault="000A2D82" w:rsidP="005402EA">
            <w:pPr>
              <w:pStyle w:val="ListParagraph"/>
              <w:numPr>
                <w:ilvl w:val="0"/>
                <w:numId w:val="25"/>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13.12.2034 after MMDR Amendment on 27.02.2015</w:t>
            </w:r>
          </w:p>
          <w:p w14:paraId="0184BB9A" w14:textId="77777777" w:rsidR="000A2D82" w:rsidRPr="003C4BD7" w:rsidRDefault="000A2D82" w:rsidP="005402EA">
            <w:pPr>
              <w:pStyle w:val="ListParagraph"/>
              <w:ind w:left="1080"/>
              <w:jc w:val="both"/>
              <w:rPr>
                <w:rFonts w:ascii="Century Schoolbook" w:hAnsi="Century Schoolbook"/>
                <w:sz w:val="24"/>
                <w:szCs w:val="24"/>
              </w:rPr>
            </w:pPr>
          </w:p>
        </w:tc>
        <w:tc>
          <w:tcPr>
            <w:tcW w:w="1373" w:type="dxa"/>
          </w:tcPr>
          <w:p w14:paraId="5C1DBBD1"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240.86</w:t>
            </w:r>
          </w:p>
        </w:tc>
        <w:tc>
          <w:tcPr>
            <w:tcW w:w="1384" w:type="dxa"/>
          </w:tcPr>
          <w:p w14:paraId="7BBB1598"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13.12.2034</w:t>
            </w:r>
          </w:p>
        </w:tc>
        <w:tc>
          <w:tcPr>
            <w:tcW w:w="1494" w:type="dxa"/>
          </w:tcPr>
          <w:p w14:paraId="53385743"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04.10.2004 for 1.09 MTPA</w:t>
            </w:r>
          </w:p>
        </w:tc>
        <w:tc>
          <w:tcPr>
            <w:tcW w:w="1512" w:type="dxa"/>
          </w:tcPr>
          <w:p w14:paraId="337886AC"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06.08.2010 for 2.0 MTPA (Expansion)</w:t>
            </w:r>
          </w:p>
        </w:tc>
        <w:tc>
          <w:tcPr>
            <w:tcW w:w="1494" w:type="dxa"/>
          </w:tcPr>
          <w:p w14:paraId="31D34C74"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We have EC under both the Notification</w:t>
            </w:r>
          </w:p>
        </w:tc>
      </w:tr>
    </w:tbl>
    <w:p w14:paraId="3F9CFBC7" w14:textId="2555C331" w:rsidR="000A2D82" w:rsidRDefault="000A2D82" w:rsidP="000A2D82">
      <w:pPr>
        <w:spacing w:after="0" w:line="240" w:lineRule="auto"/>
        <w:rPr>
          <w:rFonts w:ascii="Century Schoolbook" w:hAnsi="Century Schoolbook"/>
          <w:sz w:val="24"/>
          <w:szCs w:val="24"/>
        </w:rPr>
      </w:pPr>
    </w:p>
    <w:p w14:paraId="662DEEDD" w14:textId="77777777" w:rsidR="00036224" w:rsidRPr="003C4BD7" w:rsidRDefault="00036224" w:rsidP="000A2D82">
      <w:pPr>
        <w:spacing w:after="0" w:line="240" w:lineRule="auto"/>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867"/>
        <w:gridCol w:w="1368"/>
        <w:gridCol w:w="1290"/>
        <w:gridCol w:w="1590"/>
        <w:gridCol w:w="1620"/>
        <w:gridCol w:w="1281"/>
      </w:tblGrid>
      <w:tr w:rsidR="000A2D82" w:rsidRPr="003C4BD7" w14:paraId="09315A7E" w14:textId="77777777" w:rsidTr="00036224">
        <w:tc>
          <w:tcPr>
            <w:tcW w:w="9016" w:type="dxa"/>
            <w:gridSpan w:val="6"/>
            <w:shd w:val="clear" w:color="auto" w:fill="FFFF00"/>
          </w:tcPr>
          <w:p w14:paraId="68859D3C" w14:textId="39EB98A7" w:rsidR="000A2D82" w:rsidRPr="003C4BD7" w:rsidRDefault="000A2D82" w:rsidP="005402EA">
            <w:pPr>
              <w:jc w:val="center"/>
              <w:rPr>
                <w:rFonts w:ascii="Century Schoolbook" w:hAnsi="Century Schoolbook"/>
                <w:b/>
                <w:sz w:val="24"/>
                <w:szCs w:val="24"/>
              </w:rPr>
            </w:pPr>
            <w:r w:rsidRPr="003C4BD7">
              <w:rPr>
                <w:rFonts w:ascii="Century Schoolbook" w:hAnsi="Century Schoolbook"/>
                <w:sz w:val="24"/>
                <w:szCs w:val="24"/>
              </w:rPr>
              <w:lastRenderedPageBreak/>
              <w:br w:type="page"/>
            </w:r>
            <w:r w:rsidRPr="003C4BD7">
              <w:rPr>
                <w:rFonts w:ascii="Century Schoolbook" w:hAnsi="Century Schoolbook"/>
                <w:b/>
                <w:sz w:val="24"/>
                <w:szCs w:val="24"/>
              </w:rPr>
              <w:t>MANGROL – ML NO.26/2008</w:t>
            </w:r>
          </w:p>
          <w:p w14:paraId="68EDE32E" w14:textId="77777777" w:rsidR="000A2D82" w:rsidRPr="003C4BD7" w:rsidRDefault="000A2D82" w:rsidP="005402EA">
            <w:pPr>
              <w:jc w:val="center"/>
              <w:rPr>
                <w:rFonts w:ascii="Century Schoolbook" w:hAnsi="Century Schoolbook"/>
                <w:sz w:val="24"/>
                <w:szCs w:val="24"/>
              </w:rPr>
            </w:pPr>
          </w:p>
        </w:tc>
      </w:tr>
      <w:tr w:rsidR="000A2D82" w:rsidRPr="003C4BD7" w14:paraId="156F3BCF" w14:textId="77777777" w:rsidTr="00036224">
        <w:tc>
          <w:tcPr>
            <w:tcW w:w="1867" w:type="dxa"/>
          </w:tcPr>
          <w:p w14:paraId="45695423" w14:textId="77777777" w:rsidR="000A2D82" w:rsidRPr="003C4BD7" w:rsidRDefault="000A2D82" w:rsidP="005402EA">
            <w:pPr>
              <w:rPr>
                <w:rFonts w:ascii="Century Schoolbook" w:hAnsi="Century Schoolbook"/>
                <w:sz w:val="24"/>
                <w:szCs w:val="24"/>
              </w:rPr>
            </w:pPr>
            <w:r w:rsidRPr="003C4BD7">
              <w:rPr>
                <w:rFonts w:ascii="Century Schoolbook" w:hAnsi="Century Schoolbook"/>
                <w:sz w:val="24"/>
                <w:szCs w:val="24"/>
              </w:rPr>
              <w:t>Date of Grant of ML, renewal and validity</w:t>
            </w:r>
          </w:p>
        </w:tc>
        <w:tc>
          <w:tcPr>
            <w:tcW w:w="1368" w:type="dxa"/>
          </w:tcPr>
          <w:p w14:paraId="74CD9DAD" w14:textId="6B1258F5"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Area of ML (In </w:t>
            </w:r>
            <w:r w:rsidR="00036224" w:rsidRPr="003C4BD7">
              <w:rPr>
                <w:rFonts w:ascii="Century Schoolbook" w:hAnsi="Century Schoolbook"/>
                <w:sz w:val="24"/>
                <w:szCs w:val="24"/>
              </w:rPr>
              <w:t>Hectares</w:t>
            </w:r>
            <w:r w:rsidRPr="003C4BD7">
              <w:rPr>
                <w:rFonts w:ascii="Century Schoolbook" w:hAnsi="Century Schoolbook"/>
                <w:sz w:val="24"/>
                <w:szCs w:val="24"/>
              </w:rPr>
              <w:t>)</w:t>
            </w:r>
          </w:p>
          <w:p w14:paraId="0F26E352" w14:textId="77777777" w:rsidR="000A2D82" w:rsidRPr="003C4BD7" w:rsidRDefault="000A2D82" w:rsidP="005402EA">
            <w:pPr>
              <w:jc w:val="center"/>
              <w:rPr>
                <w:rFonts w:ascii="Century Schoolbook" w:hAnsi="Century Schoolbook"/>
                <w:sz w:val="24"/>
                <w:szCs w:val="24"/>
              </w:rPr>
            </w:pPr>
          </w:p>
        </w:tc>
        <w:tc>
          <w:tcPr>
            <w:tcW w:w="1290" w:type="dxa"/>
          </w:tcPr>
          <w:p w14:paraId="61EB82CD"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 xml:space="preserve">Valid </w:t>
            </w:r>
            <w:proofErr w:type="spellStart"/>
            <w:r w:rsidRPr="003C4BD7">
              <w:rPr>
                <w:rFonts w:ascii="Century Schoolbook" w:hAnsi="Century Schoolbook"/>
                <w:sz w:val="24"/>
                <w:szCs w:val="24"/>
              </w:rPr>
              <w:t>Upto</w:t>
            </w:r>
            <w:proofErr w:type="spellEnd"/>
          </w:p>
        </w:tc>
        <w:tc>
          <w:tcPr>
            <w:tcW w:w="1590" w:type="dxa"/>
          </w:tcPr>
          <w:p w14:paraId="2305CD4A"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1994 Notification</w:t>
            </w:r>
          </w:p>
        </w:tc>
        <w:tc>
          <w:tcPr>
            <w:tcW w:w="1620" w:type="dxa"/>
          </w:tcPr>
          <w:p w14:paraId="30A1490E"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Date of EC under 2006 Notification</w:t>
            </w:r>
          </w:p>
          <w:p w14:paraId="367C6844" w14:textId="77777777" w:rsidR="000A2D82" w:rsidRPr="003C4BD7" w:rsidRDefault="000A2D82" w:rsidP="005402EA">
            <w:pPr>
              <w:rPr>
                <w:rFonts w:ascii="Century Schoolbook" w:hAnsi="Century Schoolbook"/>
                <w:sz w:val="24"/>
                <w:szCs w:val="24"/>
              </w:rPr>
            </w:pPr>
          </w:p>
        </w:tc>
        <w:tc>
          <w:tcPr>
            <w:tcW w:w="1281" w:type="dxa"/>
          </w:tcPr>
          <w:p w14:paraId="5DB8CBCC"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Remarks</w:t>
            </w:r>
          </w:p>
        </w:tc>
      </w:tr>
      <w:tr w:rsidR="000A2D82" w:rsidRPr="003C4BD7" w14:paraId="517E8C0B" w14:textId="77777777" w:rsidTr="00036224">
        <w:tc>
          <w:tcPr>
            <w:tcW w:w="1867" w:type="dxa"/>
          </w:tcPr>
          <w:p w14:paraId="675640D9" w14:textId="77777777" w:rsidR="000A2D82" w:rsidRPr="003C4BD7" w:rsidRDefault="000A2D82" w:rsidP="005402EA">
            <w:pPr>
              <w:pStyle w:val="ListParagraph"/>
              <w:numPr>
                <w:ilvl w:val="0"/>
                <w:numId w:val="26"/>
              </w:numPr>
              <w:ind w:left="330" w:hanging="330"/>
              <w:jc w:val="both"/>
              <w:rPr>
                <w:rFonts w:ascii="Century Schoolbook" w:hAnsi="Century Schoolbook"/>
                <w:sz w:val="24"/>
                <w:szCs w:val="24"/>
              </w:rPr>
            </w:pPr>
            <w:r w:rsidRPr="003C4BD7">
              <w:rPr>
                <w:rFonts w:ascii="Century Schoolbook" w:hAnsi="Century Schoolbook"/>
                <w:sz w:val="24"/>
                <w:szCs w:val="24"/>
              </w:rPr>
              <w:t>ML granted on 15.02.2011 for a period of 30 years from 04.05.2012 to 03.05.2042</w:t>
            </w:r>
          </w:p>
          <w:p w14:paraId="7302BE10" w14:textId="77777777" w:rsidR="000A2D82" w:rsidRPr="003C4BD7" w:rsidRDefault="000A2D82" w:rsidP="005402EA">
            <w:pPr>
              <w:pStyle w:val="ListParagraph"/>
              <w:ind w:left="330"/>
              <w:jc w:val="both"/>
              <w:rPr>
                <w:rFonts w:ascii="Century Schoolbook" w:hAnsi="Century Schoolbook"/>
                <w:sz w:val="24"/>
                <w:szCs w:val="24"/>
              </w:rPr>
            </w:pPr>
          </w:p>
          <w:p w14:paraId="4B4267F8" w14:textId="77777777" w:rsidR="000A2D82" w:rsidRPr="003C4BD7" w:rsidRDefault="000A2D82" w:rsidP="005402EA">
            <w:pPr>
              <w:pStyle w:val="ListParagraph"/>
              <w:numPr>
                <w:ilvl w:val="0"/>
                <w:numId w:val="26"/>
              </w:numPr>
              <w:ind w:left="330" w:hanging="360"/>
              <w:jc w:val="both"/>
              <w:rPr>
                <w:rFonts w:ascii="Century Schoolbook" w:hAnsi="Century Schoolbook"/>
                <w:sz w:val="24"/>
                <w:szCs w:val="24"/>
              </w:rPr>
            </w:pPr>
            <w:r w:rsidRPr="003C4BD7">
              <w:rPr>
                <w:rFonts w:ascii="Century Schoolbook" w:hAnsi="Century Schoolbook"/>
                <w:sz w:val="24"/>
                <w:szCs w:val="24"/>
              </w:rPr>
              <w:t xml:space="preserve">ML renewed </w:t>
            </w:r>
            <w:proofErr w:type="spellStart"/>
            <w:r w:rsidRPr="003C4BD7">
              <w:rPr>
                <w:rFonts w:ascii="Century Schoolbook" w:hAnsi="Century Schoolbook"/>
                <w:sz w:val="24"/>
                <w:szCs w:val="24"/>
              </w:rPr>
              <w:t>upto</w:t>
            </w:r>
            <w:proofErr w:type="spellEnd"/>
            <w:r w:rsidRPr="003C4BD7">
              <w:rPr>
                <w:rFonts w:ascii="Century Schoolbook" w:hAnsi="Century Schoolbook"/>
                <w:sz w:val="24"/>
                <w:szCs w:val="24"/>
              </w:rPr>
              <w:t xml:space="preserve"> 04.05.2063 after MMDR Amendment on 26.02.2015</w:t>
            </w:r>
          </w:p>
          <w:p w14:paraId="4D9B6E2F" w14:textId="77777777" w:rsidR="000A2D82" w:rsidRPr="003C4BD7" w:rsidRDefault="000A2D82" w:rsidP="005402EA">
            <w:pPr>
              <w:pStyle w:val="ListParagraph"/>
              <w:ind w:left="1080"/>
              <w:jc w:val="both"/>
              <w:rPr>
                <w:rFonts w:ascii="Century Schoolbook" w:hAnsi="Century Schoolbook"/>
                <w:sz w:val="24"/>
                <w:szCs w:val="24"/>
              </w:rPr>
            </w:pPr>
          </w:p>
        </w:tc>
        <w:tc>
          <w:tcPr>
            <w:tcW w:w="1368" w:type="dxa"/>
          </w:tcPr>
          <w:p w14:paraId="5EDED9CA"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132.0</w:t>
            </w:r>
          </w:p>
        </w:tc>
        <w:tc>
          <w:tcPr>
            <w:tcW w:w="1290" w:type="dxa"/>
          </w:tcPr>
          <w:p w14:paraId="2655F69F"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04.05.2063</w:t>
            </w:r>
          </w:p>
        </w:tc>
        <w:tc>
          <w:tcPr>
            <w:tcW w:w="1590" w:type="dxa"/>
          </w:tcPr>
          <w:p w14:paraId="4AE2FC3D"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Not Applicable</w:t>
            </w:r>
          </w:p>
        </w:tc>
        <w:tc>
          <w:tcPr>
            <w:tcW w:w="1620" w:type="dxa"/>
          </w:tcPr>
          <w:p w14:paraId="00F39F22" w14:textId="77777777" w:rsidR="000A2D82" w:rsidRPr="003C4BD7" w:rsidRDefault="000A2D82" w:rsidP="005402EA">
            <w:pPr>
              <w:jc w:val="center"/>
              <w:rPr>
                <w:rFonts w:ascii="Century Schoolbook" w:hAnsi="Century Schoolbook"/>
                <w:sz w:val="24"/>
                <w:szCs w:val="24"/>
              </w:rPr>
            </w:pPr>
            <w:r w:rsidRPr="003C4BD7">
              <w:rPr>
                <w:rFonts w:ascii="Century Schoolbook" w:hAnsi="Century Schoolbook"/>
                <w:sz w:val="24"/>
                <w:szCs w:val="24"/>
              </w:rPr>
              <w:t>06.08.2010 for 1.5 MTPA</w:t>
            </w:r>
          </w:p>
        </w:tc>
        <w:tc>
          <w:tcPr>
            <w:tcW w:w="1281" w:type="dxa"/>
          </w:tcPr>
          <w:p w14:paraId="1D2C8F34" w14:textId="77777777" w:rsidR="000A2D82" w:rsidRPr="003C4BD7" w:rsidRDefault="000A2D82" w:rsidP="005402EA">
            <w:pPr>
              <w:jc w:val="both"/>
              <w:rPr>
                <w:rFonts w:ascii="Century Schoolbook" w:hAnsi="Century Schoolbook"/>
                <w:sz w:val="24"/>
                <w:szCs w:val="24"/>
              </w:rPr>
            </w:pPr>
            <w:r w:rsidRPr="003C4BD7">
              <w:rPr>
                <w:rFonts w:ascii="Century Schoolbook" w:hAnsi="Century Schoolbook"/>
                <w:sz w:val="24"/>
                <w:szCs w:val="24"/>
              </w:rPr>
              <w:t>1994 Notification not applicable for this ML and EC obtained under 2006 Notification</w:t>
            </w:r>
          </w:p>
        </w:tc>
      </w:tr>
    </w:tbl>
    <w:p w14:paraId="7ECF5247" w14:textId="77777777" w:rsidR="000A2D82" w:rsidRPr="003C4BD7" w:rsidRDefault="000A2D82" w:rsidP="000A2D82">
      <w:pPr>
        <w:spacing w:after="0" w:line="240" w:lineRule="auto"/>
        <w:rPr>
          <w:rFonts w:ascii="Century Schoolbook" w:hAnsi="Century Schoolbook"/>
          <w:sz w:val="24"/>
          <w:szCs w:val="24"/>
        </w:rPr>
      </w:pPr>
    </w:p>
    <w:p w14:paraId="6F7CFDEA" w14:textId="77777777" w:rsidR="000A2D82" w:rsidRPr="003C4BD7" w:rsidRDefault="000A2D82" w:rsidP="000A2D82">
      <w:pPr>
        <w:pStyle w:val="ListParagraph"/>
        <w:spacing w:line="360" w:lineRule="auto"/>
        <w:rPr>
          <w:rFonts w:ascii="Century Schoolbook" w:hAnsi="Century Schoolbook" w:cstheme="minorHAnsi"/>
          <w:b/>
          <w:sz w:val="24"/>
          <w:szCs w:val="24"/>
          <w:u w:val="single"/>
        </w:rPr>
      </w:pPr>
    </w:p>
    <w:p w14:paraId="06CE542F" w14:textId="01387F6C" w:rsidR="00A727F6" w:rsidRPr="003C4BD7" w:rsidRDefault="00A727F6" w:rsidP="00A727F6">
      <w:pPr>
        <w:pStyle w:val="ListParagraph"/>
        <w:numPr>
          <w:ilvl w:val="0"/>
          <w:numId w:val="1"/>
        </w:numPr>
        <w:spacing w:line="360" w:lineRule="auto"/>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t>ISSUES RAISED</w:t>
      </w:r>
      <w:r w:rsidR="00FD7FB6" w:rsidRPr="003C4BD7">
        <w:rPr>
          <w:rFonts w:ascii="Century Schoolbook" w:hAnsi="Century Schoolbook" w:cstheme="minorHAnsi"/>
          <w:b/>
          <w:sz w:val="24"/>
          <w:szCs w:val="24"/>
          <w:u w:val="single"/>
        </w:rPr>
        <w:t xml:space="preserve"> BEFORE THE SUPREME COURT</w:t>
      </w:r>
    </w:p>
    <w:p w14:paraId="34805056" w14:textId="77777777" w:rsidR="00A727F6" w:rsidRPr="003C4BD7" w:rsidRDefault="00A727F6" w:rsidP="00A727F6">
      <w:pPr>
        <w:pStyle w:val="ListParagraph"/>
        <w:spacing w:line="360" w:lineRule="auto"/>
        <w:rPr>
          <w:rFonts w:ascii="Century Schoolbook" w:hAnsi="Century Schoolbook" w:cstheme="minorHAnsi"/>
          <w:sz w:val="24"/>
          <w:szCs w:val="24"/>
        </w:rPr>
      </w:pPr>
    </w:p>
    <w:p w14:paraId="3996D519" w14:textId="192A9CA5" w:rsidR="00A727F6" w:rsidRPr="003C4BD7" w:rsidRDefault="00A727F6" w:rsidP="00A727F6">
      <w:pPr>
        <w:pStyle w:val="ListParagraph"/>
        <w:spacing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rPr>
        <w:t xml:space="preserve">The </w:t>
      </w:r>
      <w:r w:rsidRPr="003C4BD7">
        <w:rPr>
          <w:rFonts w:ascii="Century Schoolbook" w:hAnsi="Century Schoolbook" w:cstheme="minorHAnsi"/>
          <w:b/>
          <w:i/>
          <w:sz w:val="24"/>
          <w:szCs w:val="24"/>
          <w:lang w:val="en-IN"/>
        </w:rPr>
        <w:t xml:space="preserve">“Common Cause v. Union of India” </w:t>
      </w:r>
      <w:r w:rsidRPr="003C4BD7">
        <w:rPr>
          <w:rFonts w:ascii="Century Schoolbook" w:hAnsi="Century Schoolbook" w:cstheme="minorHAnsi"/>
          <w:sz w:val="24"/>
          <w:szCs w:val="24"/>
          <w:lang w:val="en-IN"/>
        </w:rPr>
        <w:t xml:space="preserve">judgment was passed by the Apex Court on August 2, 2017. The </w:t>
      </w:r>
      <w:r w:rsidR="00F3449C" w:rsidRPr="003C4BD7">
        <w:rPr>
          <w:rFonts w:ascii="Century Schoolbook" w:hAnsi="Century Schoolbook" w:cstheme="minorHAnsi"/>
          <w:sz w:val="24"/>
          <w:szCs w:val="24"/>
          <w:lang w:val="en-IN"/>
        </w:rPr>
        <w:t>following issues were raised in the judgment for consideration:</w:t>
      </w:r>
    </w:p>
    <w:p w14:paraId="6A7A0276" w14:textId="77777777" w:rsidR="00A727F6" w:rsidRPr="003C4BD7" w:rsidRDefault="00A727F6" w:rsidP="00A727F6">
      <w:pPr>
        <w:pStyle w:val="ListParagraph"/>
        <w:spacing w:line="360" w:lineRule="auto"/>
        <w:jc w:val="both"/>
        <w:rPr>
          <w:rFonts w:ascii="Century Schoolbook" w:hAnsi="Century Schoolbook" w:cstheme="minorHAnsi"/>
          <w:sz w:val="24"/>
          <w:szCs w:val="24"/>
        </w:rPr>
      </w:pPr>
    </w:p>
    <w:p w14:paraId="65BD55A9" w14:textId="77777777" w:rsidR="00A727F6" w:rsidRPr="003C4BD7" w:rsidRDefault="00A727F6" w:rsidP="00A727F6">
      <w:pPr>
        <w:pStyle w:val="ListParagraph"/>
        <w:numPr>
          <w:ilvl w:val="0"/>
          <w:numId w:val="17"/>
        </w:numPr>
        <w:spacing w:after="0" w:line="240" w:lineRule="auto"/>
        <w:rPr>
          <w:rFonts w:ascii="Century Schoolbook" w:eastAsia="Times New Roman" w:hAnsi="Century Schoolbook" w:cstheme="minorHAnsi"/>
          <w:color w:val="222222"/>
          <w:sz w:val="24"/>
          <w:szCs w:val="24"/>
        </w:rPr>
      </w:pPr>
      <w:r w:rsidRPr="003C4BD7">
        <w:rPr>
          <w:rFonts w:ascii="Century Schoolbook" w:eastAsia="Times New Roman" w:hAnsi="Century Schoolbook" w:cstheme="minorHAnsi"/>
          <w:color w:val="222222"/>
          <w:sz w:val="24"/>
          <w:szCs w:val="24"/>
        </w:rPr>
        <w:t>Mining leases operated in violation of the Forest (Conservation) Act, 1980. </w:t>
      </w:r>
      <w:bookmarkStart w:id="0" w:name="_GoBack"/>
      <w:bookmarkEnd w:id="0"/>
    </w:p>
    <w:p w14:paraId="2B8C2AB5" w14:textId="77777777" w:rsidR="00A727F6" w:rsidRPr="003C4BD7" w:rsidRDefault="00A727F6" w:rsidP="00A727F6">
      <w:pPr>
        <w:pStyle w:val="ListParagraph"/>
        <w:spacing w:after="0" w:line="240" w:lineRule="auto"/>
        <w:ind w:left="1080"/>
        <w:rPr>
          <w:rFonts w:ascii="Century Schoolbook" w:eastAsia="Times New Roman" w:hAnsi="Century Schoolbook" w:cstheme="minorHAnsi"/>
          <w:color w:val="222222"/>
          <w:sz w:val="24"/>
          <w:szCs w:val="24"/>
        </w:rPr>
      </w:pPr>
    </w:p>
    <w:p w14:paraId="3B4F3453" w14:textId="77777777" w:rsidR="00A727F6" w:rsidRPr="003C4BD7" w:rsidRDefault="00A727F6" w:rsidP="00A727F6">
      <w:pPr>
        <w:pStyle w:val="ListParagraph"/>
        <w:numPr>
          <w:ilvl w:val="0"/>
          <w:numId w:val="17"/>
        </w:numPr>
        <w:spacing w:after="0" w:line="240" w:lineRule="auto"/>
        <w:rPr>
          <w:rFonts w:ascii="Century Schoolbook" w:eastAsia="Times New Roman" w:hAnsi="Century Schoolbook" w:cstheme="minorHAnsi"/>
          <w:color w:val="222222"/>
          <w:sz w:val="24"/>
          <w:szCs w:val="24"/>
        </w:rPr>
      </w:pPr>
      <w:r w:rsidRPr="003C4BD7">
        <w:rPr>
          <w:rFonts w:ascii="Century Schoolbook" w:eastAsia="Times New Roman" w:hAnsi="Century Schoolbook" w:cstheme="minorHAnsi"/>
          <w:color w:val="222222"/>
          <w:sz w:val="24"/>
          <w:szCs w:val="24"/>
        </w:rPr>
        <w:t>Illegal mining outside the sanctioned mining lease areas.</w:t>
      </w:r>
    </w:p>
    <w:p w14:paraId="6897346F" w14:textId="77777777" w:rsidR="00A727F6" w:rsidRPr="003C4BD7" w:rsidRDefault="00A727F6" w:rsidP="00A727F6">
      <w:pPr>
        <w:pStyle w:val="ListParagraph"/>
        <w:spacing w:after="0" w:line="240" w:lineRule="auto"/>
        <w:ind w:left="1080"/>
        <w:rPr>
          <w:rFonts w:ascii="Century Schoolbook" w:eastAsia="Times New Roman" w:hAnsi="Century Schoolbook" w:cstheme="minorHAnsi"/>
          <w:color w:val="222222"/>
          <w:sz w:val="24"/>
          <w:szCs w:val="24"/>
        </w:rPr>
      </w:pPr>
    </w:p>
    <w:p w14:paraId="0BC36FD4" w14:textId="77777777" w:rsidR="00A727F6" w:rsidRPr="003C4BD7" w:rsidRDefault="00A727F6" w:rsidP="00A727F6">
      <w:pPr>
        <w:pStyle w:val="ListParagraph"/>
        <w:numPr>
          <w:ilvl w:val="0"/>
          <w:numId w:val="17"/>
        </w:numPr>
        <w:spacing w:after="0" w:line="240" w:lineRule="auto"/>
        <w:rPr>
          <w:rFonts w:ascii="Century Schoolbook" w:eastAsia="Times New Roman" w:hAnsi="Century Schoolbook" w:cstheme="minorHAnsi"/>
          <w:color w:val="222222"/>
          <w:sz w:val="24"/>
          <w:szCs w:val="24"/>
        </w:rPr>
      </w:pPr>
      <w:r w:rsidRPr="003C4BD7">
        <w:rPr>
          <w:rFonts w:ascii="Century Schoolbook" w:eastAsia="Times New Roman" w:hAnsi="Century Schoolbook" w:cstheme="minorHAnsi"/>
          <w:color w:val="222222"/>
          <w:sz w:val="24"/>
          <w:szCs w:val="24"/>
        </w:rPr>
        <w:t>Mining leases acquired in violation of Section 6 of the MMDR Act, 1957.</w:t>
      </w:r>
    </w:p>
    <w:p w14:paraId="63A5C1E6" w14:textId="77777777" w:rsidR="00A727F6" w:rsidRPr="003C4BD7" w:rsidRDefault="00A727F6" w:rsidP="00A727F6">
      <w:pPr>
        <w:pStyle w:val="ListParagraph"/>
        <w:spacing w:after="0" w:line="240" w:lineRule="auto"/>
        <w:ind w:left="1080"/>
        <w:rPr>
          <w:rFonts w:ascii="Century Schoolbook" w:eastAsia="Times New Roman" w:hAnsi="Century Schoolbook" w:cstheme="minorHAnsi"/>
          <w:color w:val="222222"/>
          <w:sz w:val="24"/>
          <w:szCs w:val="24"/>
        </w:rPr>
      </w:pPr>
    </w:p>
    <w:p w14:paraId="690C82FF" w14:textId="77777777" w:rsidR="00A727F6" w:rsidRPr="003C4BD7" w:rsidRDefault="00A727F6" w:rsidP="00A727F6">
      <w:pPr>
        <w:pStyle w:val="ListParagraph"/>
        <w:numPr>
          <w:ilvl w:val="0"/>
          <w:numId w:val="17"/>
        </w:numPr>
        <w:spacing w:after="0" w:line="240" w:lineRule="auto"/>
        <w:rPr>
          <w:rFonts w:ascii="Century Schoolbook" w:eastAsia="Times New Roman" w:hAnsi="Century Schoolbook" w:cstheme="minorHAnsi"/>
          <w:color w:val="222222"/>
          <w:sz w:val="24"/>
          <w:szCs w:val="24"/>
        </w:rPr>
      </w:pPr>
      <w:r w:rsidRPr="003C4BD7">
        <w:rPr>
          <w:rFonts w:ascii="Century Schoolbook" w:eastAsia="Times New Roman" w:hAnsi="Century Schoolbook" w:cstheme="minorHAnsi"/>
          <w:color w:val="222222"/>
          <w:sz w:val="24"/>
          <w:szCs w:val="24"/>
        </w:rPr>
        <w:t>Violation of Rule 37 of the Mineral Concession Rules, 1960 by the lessees. </w:t>
      </w:r>
    </w:p>
    <w:p w14:paraId="200A66CD" w14:textId="77777777" w:rsidR="00A727F6" w:rsidRPr="003C4BD7" w:rsidRDefault="00A727F6" w:rsidP="00A727F6">
      <w:pPr>
        <w:pStyle w:val="ListParagraph"/>
        <w:spacing w:line="240" w:lineRule="auto"/>
        <w:ind w:left="1080"/>
        <w:jc w:val="both"/>
        <w:rPr>
          <w:rFonts w:ascii="Century Schoolbook" w:hAnsi="Century Schoolbook" w:cstheme="minorHAnsi"/>
          <w:sz w:val="24"/>
          <w:szCs w:val="24"/>
        </w:rPr>
      </w:pPr>
    </w:p>
    <w:p w14:paraId="4A168B1B" w14:textId="77777777" w:rsidR="00A727F6" w:rsidRPr="003C4BD7" w:rsidRDefault="00A727F6" w:rsidP="00A727F6">
      <w:pPr>
        <w:pStyle w:val="ListParagraph"/>
        <w:numPr>
          <w:ilvl w:val="0"/>
          <w:numId w:val="17"/>
        </w:numPr>
        <w:spacing w:line="240" w:lineRule="auto"/>
        <w:jc w:val="both"/>
        <w:rPr>
          <w:rFonts w:ascii="Century Schoolbook" w:hAnsi="Century Schoolbook" w:cstheme="minorHAnsi"/>
          <w:sz w:val="24"/>
          <w:szCs w:val="24"/>
        </w:rPr>
      </w:pPr>
      <w:r w:rsidRPr="003C4BD7">
        <w:rPr>
          <w:rFonts w:ascii="Century Schoolbook" w:hAnsi="Century Schoolbook" w:cstheme="minorHAnsi"/>
          <w:color w:val="222222"/>
          <w:sz w:val="24"/>
          <w:szCs w:val="24"/>
        </w:rPr>
        <w:t>Inordinate delays in taking decisions by the State Government regarding renewal of the mining leases. </w:t>
      </w:r>
    </w:p>
    <w:p w14:paraId="5E35541A" w14:textId="31F1217D" w:rsidR="002F6A3B" w:rsidRPr="003C4BD7" w:rsidRDefault="002F6A3B" w:rsidP="002F6A3B">
      <w:pPr>
        <w:pStyle w:val="ListParagraph"/>
        <w:spacing w:line="360" w:lineRule="auto"/>
        <w:rPr>
          <w:rFonts w:ascii="Century Schoolbook" w:hAnsi="Century Schoolbook" w:cstheme="minorHAnsi"/>
          <w:b/>
          <w:sz w:val="24"/>
          <w:szCs w:val="24"/>
        </w:rPr>
      </w:pPr>
    </w:p>
    <w:p w14:paraId="322D10FB" w14:textId="2147E553" w:rsidR="008758E6" w:rsidRPr="003C4BD7" w:rsidRDefault="008758E6" w:rsidP="002F6A3B">
      <w:pPr>
        <w:pStyle w:val="ListParagraph"/>
        <w:numPr>
          <w:ilvl w:val="0"/>
          <w:numId w:val="1"/>
        </w:numPr>
        <w:spacing w:line="360" w:lineRule="auto"/>
        <w:rPr>
          <w:rFonts w:ascii="Century Schoolbook" w:hAnsi="Century Schoolbook" w:cstheme="minorHAnsi"/>
          <w:b/>
          <w:sz w:val="24"/>
          <w:szCs w:val="24"/>
        </w:rPr>
      </w:pPr>
      <w:r w:rsidRPr="003C4BD7">
        <w:rPr>
          <w:rFonts w:ascii="Century Schoolbook" w:hAnsi="Century Schoolbook" w:cstheme="minorHAnsi"/>
          <w:b/>
          <w:sz w:val="24"/>
          <w:szCs w:val="24"/>
          <w:u w:val="single"/>
        </w:rPr>
        <w:t>BACKGROUND</w:t>
      </w:r>
    </w:p>
    <w:p w14:paraId="742347DE" w14:textId="30B294D4" w:rsidR="008758E6" w:rsidRPr="003C4BD7" w:rsidRDefault="008758E6" w:rsidP="00F345C7">
      <w:pPr>
        <w:pStyle w:val="ListParagraph"/>
        <w:tabs>
          <w:tab w:val="left" w:pos="9000"/>
        </w:tabs>
        <w:spacing w:after="0" w:line="360" w:lineRule="auto"/>
        <w:jc w:val="both"/>
        <w:rPr>
          <w:rFonts w:ascii="Century Schoolbook" w:hAnsi="Century Schoolbook" w:cstheme="minorHAnsi"/>
          <w:sz w:val="24"/>
          <w:szCs w:val="24"/>
        </w:rPr>
      </w:pPr>
    </w:p>
    <w:p w14:paraId="4E044DF3" w14:textId="4B77A824" w:rsidR="00837C6B" w:rsidRPr="003C4BD7" w:rsidRDefault="00837C6B" w:rsidP="00527A36">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rPr>
        <w:t xml:space="preserve">Before discussing the </w:t>
      </w:r>
      <w:r w:rsidRPr="003C4BD7">
        <w:rPr>
          <w:rFonts w:ascii="Century Schoolbook" w:hAnsi="Century Schoolbook" w:cstheme="minorHAnsi"/>
          <w:b/>
          <w:i/>
          <w:sz w:val="24"/>
          <w:szCs w:val="24"/>
          <w:lang w:val="en-IN"/>
        </w:rPr>
        <w:t xml:space="preserve">“Common Cause v. Union of India” </w:t>
      </w:r>
      <w:r w:rsidRPr="003C4BD7">
        <w:rPr>
          <w:rFonts w:ascii="Century Schoolbook" w:hAnsi="Century Schoolbook" w:cstheme="minorHAnsi"/>
          <w:i/>
          <w:sz w:val="24"/>
          <w:szCs w:val="24"/>
          <w:lang w:val="en-IN"/>
        </w:rPr>
        <w:t xml:space="preserve">judgment, </w:t>
      </w:r>
      <w:r w:rsidRPr="003C4BD7">
        <w:rPr>
          <w:rFonts w:ascii="Century Schoolbook" w:hAnsi="Century Schoolbook" w:cstheme="minorHAnsi"/>
          <w:sz w:val="24"/>
          <w:szCs w:val="24"/>
          <w:lang w:val="en-IN"/>
        </w:rPr>
        <w:t>a brief background of mining law is given below:</w:t>
      </w:r>
    </w:p>
    <w:p w14:paraId="1F26A520" w14:textId="77777777" w:rsidR="00821F28" w:rsidRPr="003C4BD7" w:rsidRDefault="00821F28" w:rsidP="00A709A9">
      <w:pPr>
        <w:pStyle w:val="ListParagraph"/>
        <w:tabs>
          <w:tab w:val="left" w:pos="9000"/>
        </w:tabs>
        <w:spacing w:after="0" w:line="360" w:lineRule="auto"/>
        <w:jc w:val="both"/>
        <w:rPr>
          <w:rFonts w:ascii="Century Schoolbook" w:hAnsi="Century Schoolbook" w:cstheme="minorHAnsi"/>
          <w:i/>
          <w:sz w:val="24"/>
          <w:szCs w:val="24"/>
          <w:u w:val="single"/>
          <w:lang w:val="en-IN"/>
        </w:rPr>
      </w:pPr>
    </w:p>
    <w:p w14:paraId="3FF30C2B" w14:textId="0D08A174"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u w:val="single"/>
          <w:lang w:val="en-IN"/>
        </w:rPr>
      </w:pPr>
      <w:r w:rsidRPr="003C4BD7">
        <w:rPr>
          <w:rFonts w:ascii="Century Schoolbook" w:hAnsi="Century Schoolbook" w:cstheme="minorHAnsi"/>
          <w:i/>
          <w:sz w:val="24"/>
          <w:szCs w:val="24"/>
          <w:u w:val="single"/>
          <w:lang w:val="en-IN"/>
        </w:rPr>
        <w:t xml:space="preserve">Period from 1994--2006 </w:t>
      </w:r>
    </w:p>
    <w:p w14:paraId="1CE020E1" w14:textId="77777777" w:rsidR="00EB6260" w:rsidRPr="003C4BD7" w:rsidRDefault="00EB6260" w:rsidP="00EB6260">
      <w:pPr>
        <w:tabs>
          <w:tab w:val="left" w:pos="9000"/>
        </w:tabs>
        <w:spacing w:after="0" w:line="360" w:lineRule="auto"/>
        <w:jc w:val="both"/>
        <w:rPr>
          <w:rFonts w:ascii="Century Schoolbook" w:hAnsi="Century Schoolbook" w:cstheme="minorHAnsi"/>
          <w:sz w:val="24"/>
          <w:szCs w:val="24"/>
          <w:lang w:val="en-IN"/>
        </w:rPr>
      </w:pPr>
    </w:p>
    <w:p w14:paraId="764D50AE" w14:textId="5F9C59F9"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it may be noted that the Environment (Protection) Act, 1986 was enacted on 23.05.1986. Further, under Section 6 of the said Act, the Central Government has framed the Environment (Protection) Rules, 1986 published in the Official Gazette vide </w:t>
      </w:r>
    </w:p>
    <w:p w14:paraId="6AA55988" w14:textId="229C8F53" w:rsidR="00A709A9" w:rsidRPr="003C4BD7" w:rsidRDefault="00A709A9" w:rsidP="00A709A9">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Notification S.O. 844(E) dated 19.11.1986. Rule 5(3) of the said Rules are relevant: </w:t>
      </w:r>
    </w:p>
    <w:p w14:paraId="2602A76E" w14:textId="77777777" w:rsidR="00795515" w:rsidRPr="003C4BD7" w:rsidRDefault="00795515" w:rsidP="00A709A9">
      <w:pPr>
        <w:pStyle w:val="ListParagraph"/>
        <w:tabs>
          <w:tab w:val="left" w:pos="9000"/>
        </w:tabs>
        <w:spacing w:after="0" w:line="360" w:lineRule="auto"/>
        <w:jc w:val="both"/>
        <w:rPr>
          <w:rFonts w:ascii="Century Schoolbook" w:hAnsi="Century Schoolbook" w:cstheme="minorHAnsi"/>
          <w:i/>
          <w:sz w:val="24"/>
          <w:szCs w:val="24"/>
          <w:lang w:val="en-IN"/>
        </w:rPr>
      </w:pPr>
    </w:p>
    <w:p w14:paraId="62E07C47" w14:textId="3F85D0CD"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 xml:space="preserve">“(3) (a) </w:t>
      </w:r>
      <w:r w:rsidR="00795515" w:rsidRPr="003C4BD7">
        <w:rPr>
          <w:rFonts w:ascii="Century Schoolbook" w:hAnsi="Century Schoolbook" w:cstheme="minorHAnsi"/>
          <w:i/>
          <w:sz w:val="24"/>
          <w:szCs w:val="24"/>
          <w:lang w:val="en-IN"/>
        </w:rPr>
        <w:t>Whenever it</w:t>
      </w:r>
      <w:r w:rsidRPr="003C4BD7">
        <w:rPr>
          <w:rFonts w:ascii="Century Schoolbook" w:hAnsi="Century Schoolbook" w:cstheme="minorHAnsi"/>
          <w:i/>
          <w:sz w:val="24"/>
          <w:szCs w:val="24"/>
          <w:lang w:val="en-IN"/>
        </w:rPr>
        <w:t xml:space="preserve"> appears to the Central Government that it is expedient to impose </w:t>
      </w:r>
    </w:p>
    <w:p w14:paraId="1DBD2D9B" w14:textId="3A3B9E8F"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prohibition or restrictions on the locations of an industry or the carrying on of processes and operations in an area, it may by notification in</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the Official Gazette and in such other manner as the Central government may deem</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necessary</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from time to time, give notice of its intention to do so. </w:t>
      </w:r>
    </w:p>
    <w:p w14:paraId="72FB3FE1" w14:textId="0372ED03"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(b) Every notification under clause (a) shall give a brief description of the area</w:t>
      </w:r>
      <w:r w:rsidR="00020CFD" w:rsidRPr="003C4BD7">
        <w:rPr>
          <w:rFonts w:ascii="Century Schoolbook" w:hAnsi="Century Schoolbook" w:cstheme="minorHAnsi"/>
          <w:i/>
          <w:sz w:val="24"/>
          <w:szCs w:val="24"/>
          <w:lang w:val="en-IN"/>
        </w:rPr>
        <w:t>,</w:t>
      </w:r>
      <w:r w:rsidRPr="003C4BD7">
        <w:rPr>
          <w:rFonts w:ascii="Century Schoolbook" w:hAnsi="Century Schoolbook" w:cstheme="minorHAnsi"/>
          <w:i/>
          <w:sz w:val="24"/>
          <w:szCs w:val="24"/>
          <w:lang w:val="en-IN"/>
        </w:rPr>
        <w:t xml:space="preserve"> the industries,</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operations, processes in that area about w</w:t>
      </w:r>
      <w:r w:rsidR="00020CFD" w:rsidRPr="003C4BD7">
        <w:rPr>
          <w:rFonts w:ascii="Century Schoolbook" w:hAnsi="Century Schoolbook" w:cstheme="minorHAnsi"/>
          <w:i/>
          <w:sz w:val="24"/>
          <w:szCs w:val="24"/>
          <w:lang w:val="en-IN"/>
        </w:rPr>
        <w:t>h</w:t>
      </w:r>
      <w:r w:rsidRPr="003C4BD7">
        <w:rPr>
          <w:rFonts w:ascii="Century Schoolbook" w:hAnsi="Century Schoolbook" w:cstheme="minorHAnsi"/>
          <w:i/>
          <w:sz w:val="24"/>
          <w:szCs w:val="24"/>
          <w:lang w:val="en-IN"/>
        </w:rPr>
        <w:t xml:space="preserve">ich such notification pertains and also specify the reasons for the imposition of prohibition or restrictions on the locations of the industries and carrying on of process or operations in that area. </w:t>
      </w:r>
    </w:p>
    <w:p w14:paraId="1048A93B" w14:textId="1EC4CDF9"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 xml:space="preserve">(c) Any person interested in filing an objection against the imposition of prohibition or </w:t>
      </w:r>
      <w:r w:rsidR="00020CFD" w:rsidRPr="003C4BD7">
        <w:rPr>
          <w:rFonts w:ascii="Century Schoolbook" w:hAnsi="Century Schoolbook" w:cstheme="minorHAnsi"/>
          <w:i/>
          <w:sz w:val="24"/>
          <w:szCs w:val="24"/>
          <w:lang w:val="en-IN"/>
        </w:rPr>
        <w:t>r</w:t>
      </w:r>
      <w:r w:rsidRPr="003C4BD7">
        <w:rPr>
          <w:rFonts w:ascii="Century Schoolbook" w:hAnsi="Century Schoolbook" w:cstheme="minorHAnsi"/>
          <w:i/>
          <w:sz w:val="24"/>
          <w:szCs w:val="24"/>
          <w:lang w:val="en-IN"/>
        </w:rPr>
        <w:t>estrictions</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on carrying on of processes</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or</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operations as notified under clause (a) may do so in writing to the Central Government </w:t>
      </w:r>
      <w:r w:rsidRPr="003C4BD7">
        <w:rPr>
          <w:rFonts w:ascii="Century Schoolbook" w:hAnsi="Century Schoolbook" w:cstheme="minorHAnsi"/>
          <w:i/>
          <w:sz w:val="24"/>
          <w:szCs w:val="24"/>
          <w:lang w:val="en-IN"/>
        </w:rPr>
        <w:lastRenderedPageBreak/>
        <w:t>with in</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sixty days from the date of publication of the</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notification in the Official Gazette. </w:t>
      </w:r>
    </w:p>
    <w:p w14:paraId="2FA54CDC" w14:textId="4828EA79" w:rsidR="00A709A9" w:rsidRPr="003C4BD7" w:rsidRDefault="00A709A9" w:rsidP="0076451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(d) The Central Government shall with in a period of one hundred and twenty days from the date of publication of the notification in the Official Gazette consider all the</w:t>
      </w:r>
      <w:r w:rsidR="00020CF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objections</w:t>
      </w:r>
      <w:r w:rsidR="00764519"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received against such notification and may [within one hundred and eighty days from such day of publication] impose prohibition or restrictions on location of such industries and the carrying on of any process or operation in an area.” </w:t>
      </w:r>
    </w:p>
    <w:p w14:paraId="64B7FA6C" w14:textId="010EF29B" w:rsidR="00795515" w:rsidRPr="003C4BD7" w:rsidRDefault="00795515" w:rsidP="00764519">
      <w:pPr>
        <w:pStyle w:val="ListParagraph"/>
        <w:tabs>
          <w:tab w:val="left" w:pos="9000"/>
        </w:tabs>
        <w:spacing w:after="0" w:line="360" w:lineRule="auto"/>
        <w:jc w:val="both"/>
        <w:rPr>
          <w:rFonts w:ascii="Century Schoolbook" w:hAnsi="Century Schoolbook" w:cstheme="minorHAnsi"/>
          <w:i/>
          <w:sz w:val="24"/>
          <w:szCs w:val="24"/>
          <w:lang w:val="en-IN"/>
        </w:rPr>
      </w:pPr>
    </w:p>
    <w:p w14:paraId="45DBDE81" w14:textId="2C6F26CF" w:rsidR="00F80D21" w:rsidRPr="003C4BD7" w:rsidRDefault="00A709A9" w:rsidP="00F80D21">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lang w:val="en-IN"/>
        </w:rPr>
        <w:t>That the requirement of obtaining EC was introduced first vide EIA Notification dated 27.01.1994 [“EIA</w:t>
      </w:r>
      <w:r w:rsidR="00764519" w:rsidRPr="003C4BD7">
        <w:rPr>
          <w:rFonts w:ascii="Century Schoolbook" w:hAnsi="Century Schoolbook" w:cstheme="minorHAnsi"/>
          <w:sz w:val="24"/>
          <w:szCs w:val="24"/>
          <w:lang w:val="en-IN"/>
        </w:rPr>
        <w:t xml:space="preserve"> </w:t>
      </w:r>
      <w:r w:rsidRPr="003C4BD7">
        <w:rPr>
          <w:rFonts w:ascii="Century Schoolbook" w:hAnsi="Century Schoolbook" w:cstheme="minorHAnsi"/>
          <w:sz w:val="24"/>
          <w:szCs w:val="24"/>
          <w:lang w:val="en-IN"/>
        </w:rPr>
        <w:t>Notification 1994”] issued under the aforesaid Rule 5(3) of the Environment (Protection) Rules, 1986. Under the said notification, EC was required only for ‘new projects’ or for ‘expansion or modernisation’ of existing projects</w:t>
      </w:r>
      <w:r w:rsidR="00F80D21" w:rsidRPr="003C4BD7">
        <w:rPr>
          <w:rFonts w:ascii="Century Schoolbook" w:hAnsi="Century Schoolbook" w:cstheme="minorHAnsi"/>
          <w:sz w:val="24"/>
          <w:szCs w:val="24"/>
          <w:lang w:val="en-IN"/>
        </w:rPr>
        <w:t xml:space="preserve"> as given under </w:t>
      </w:r>
      <w:r w:rsidR="00F80D21" w:rsidRPr="003C4BD7">
        <w:rPr>
          <w:rFonts w:ascii="Century Schoolbook" w:hAnsi="Century Schoolbook" w:cstheme="minorHAnsi"/>
          <w:sz w:val="24"/>
          <w:szCs w:val="24"/>
        </w:rPr>
        <w:t>Schedule I of EIA 1994. Cement is at Item No.27 of Schedule-I to EIA 1994.</w:t>
      </w:r>
      <w:r w:rsidR="00D25BEA" w:rsidRPr="003C4BD7">
        <w:rPr>
          <w:rFonts w:ascii="Century Schoolbook" w:hAnsi="Century Schoolbook" w:cstheme="minorHAnsi"/>
          <w:sz w:val="24"/>
          <w:szCs w:val="24"/>
        </w:rPr>
        <w:t xml:space="preserve"> A copy of EIA 1994 is annexed herewith as </w:t>
      </w:r>
      <w:r w:rsidR="00D25BEA" w:rsidRPr="003C4BD7">
        <w:rPr>
          <w:rFonts w:ascii="Century Schoolbook" w:hAnsi="Century Schoolbook" w:cstheme="minorHAnsi"/>
          <w:b/>
          <w:sz w:val="24"/>
          <w:szCs w:val="24"/>
        </w:rPr>
        <w:t>Annexure – 2.</w:t>
      </w:r>
    </w:p>
    <w:p w14:paraId="21B5AB1F" w14:textId="77777777" w:rsidR="00F80D21" w:rsidRPr="003C4BD7" w:rsidRDefault="00F80D21" w:rsidP="00F80D21">
      <w:pPr>
        <w:pStyle w:val="ListParagraph"/>
        <w:spacing w:after="0" w:line="360" w:lineRule="auto"/>
        <w:jc w:val="both"/>
        <w:rPr>
          <w:rFonts w:ascii="Century Schoolbook" w:hAnsi="Century Schoolbook" w:cstheme="minorHAnsi"/>
          <w:sz w:val="24"/>
          <w:szCs w:val="24"/>
          <w:lang w:val="en-IN"/>
        </w:rPr>
      </w:pPr>
    </w:p>
    <w:p w14:paraId="1BF68C25" w14:textId="77777777" w:rsidR="00F80D21" w:rsidRPr="003C4BD7" w:rsidRDefault="00A709A9" w:rsidP="00F80D21">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lang w:val="en-IN"/>
        </w:rPr>
        <w:t xml:space="preserve">That it is relevant to note that the Explanatory Note to the EIA Notification 1994 stated that ‘expansion or modernisation’ would mean an increase in the pollution load from existing levels. This was understood to mean that if there was no increase in </w:t>
      </w:r>
      <w:r w:rsidR="00764519" w:rsidRPr="003C4BD7">
        <w:rPr>
          <w:rFonts w:ascii="Century Schoolbook" w:hAnsi="Century Schoolbook" w:cstheme="minorHAnsi"/>
          <w:sz w:val="24"/>
          <w:szCs w:val="24"/>
          <w:lang w:val="en-IN"/>
        </w:rPr>
        <w:t>t</w:t>
      </w:r>
      <w:r w:rsidRPr="003C4BD7">
        <w:rPr>
          <w:rFonts w:ascii="Century Schoolbook" w:hAnsi="Century Schoolbook" w:cstheme="minorHAnsi"/>
          <w:sz w:val="24"/>
          <w:szCs w:val="24"/>
          <w:lang w:val="en-IN"/>
        </w:rPr>
        <w:t xml:space="preserve">he sanctioned leasehold area, or unless the lease fell for renewal, there would be no requirement of obtaining EC. </w:t>
      </w:r>
      <w:r w:rsidR="00F80D21" w:rsidRPr="003C4BD7">
        <w:rPr>
          <w:rFonts w:ascii="Century Schoolbook" w:hAnsi="Century Schoolbook" w:cstheme="minorHAnsi"/>
          <w:sz w:val="24"/>
          <w:szCs w:val="24"/>
          <w:lang w:val="en-IN"/>
        </w:rPr>
        <w:t xml:space="preserve"> </w:t>
      </w:r>
      <w:r w:rsidR="00F80D21" w:rsidRPr="003C4BD7">
        <w:rPr>
          <w:rFonts w:ascii="Century Schoolbook" w:hAnsi="Century Schoolbook" w:cstheme="minorHAnsi"/>
          <w:sz w:val="24"/>
          <w:szCs w:val="24"/>
        </w:rPr>
        <w:t>It is relevant to note that Item No.8 pertains to the projects which were already initiated before EIA 1994, which reads as under:</w:t>
      </w:r>
    </w:p>
    <w:p w14:paraId="5C6B33DF" w14:textId="77777777" w:rsidR="00F80D21" w:rsidRPr="003C4BD7" w:rsidRDefault="00F80D21" w:rsidP="00F80D21">
      <w:pPr>
        <w:spacing w:after="0" w:line="360" w:lineRule="auto"/>
        <w:jc w:val="both"/>
        <w:rPr>
          <w:rFonts w:ascii="Century Schoolbook" w:hAnsi="Century Schoolbook" w:cstheme="minorHAnsi"/>
          <w:sz w:val="24"/>
          <w:szCs w:val="24"/>
        </w:rPr>
      </w:pPr>
    </w:p>
    <w:p w14:paraId="17B1C6FC" w14:textId="77777777" w:rsidR="00F80D21" w:rsidRPr="003C4BD7" w:rsidRDefault="00F80D21" w:rsidP="00F80D21">
      <w:pPr>
        <w:spacing w:after="0" w:line="360" w:lineRule="auto"/>
        <w:ind w:left="1440"/>
        <w:jc w:val="both"/>
        <w:rPr>
          <w:rFonts w:ascii="Century Schoolbook" w:hAnsi="Century Schoolbook" w:cstheme="minorHAnsi"/>
          <w:i/>
          <w:sz w:val="24"/>
          <w:szCs w:val="24"/>
        </w:rPr>
      </w:pPr>
      <w:r w:rsidRPr="003C4BD7">
        <w:rPr>
          <w:rFonts w:ascii="Century Schoolbook" w:hAnsi="Century Schoolbook" w:cstheme="minorHAnsi"/>
          <w:i/>
          <w:sz w:val="24"/>
          <w:szCs w:val="24"/>
        </w:rPr>
        <w:t>“8.</w:t>
      </w:r>
      <w:r w:rsidRPr="003C4BD7">
        <w:rPr>
          <w:rFonts w:ascii="Century Schoolbook" w:hAnsi="Century Schoolbook" w:cstheme="minorHAnsi"/>
          <w:i/>
          <w:sz w:val="24"/>
          <w:szCs w:val="24"/>
        </w:rPr>
        <w:tab/>
        <w:t xml:space="preserve">Exemption for projects already initiated </w:t>
      </w:r>
    </w:p>
    <w:p w14:paraId="1A2B6447" w14:textId="77777777" w:rsidR="00F80D21" w:rsidRPr="003C4BD7" w:rsidRDefault="00F80D21" w:rsidP="00F80D21">
      <w:pPr>
        <w:spacing w:after="0" w:line="360" w:lineRule="auto"/>
        <w:ind w:left="1440"/>
        <w:jc w:val="both"/>
        <w:rPr>
          <w:rFonts w:ascii="Century Schoolbook" w:hAnsi="Century Schoolbook" w:cstheme="minorHAnsi"/>
          <w:i/>
          <w:sz w:val="24"/>
          <w:szCs w:val="24"/>
        </w:rPr>
      </w:pPr>
    </w:p>
    <w:p w14:paraId="2A314DCC" w14:textId="6E0F8FAA" w:rsidR="00795515" w:rsidRPr="003C4BD7" w:rsidRDefault="00F80D21" w:rsidP="00F80D21">
      <w:pPr>
        <w:spacing w:after="0" w:line="360" w:lineRule="auto"/>
        <w:ind w:left="1440"/>
        <w:jc w:val="both"/>
        <w:rPr>
          <w:rFonts w:ascii="Century Schoolbook" w:hAnsi="Century Schoolbook" w:cstheme="minorHAnsi"/>
          <w:i/>
          <w:sz w:val="24"/>
          <w:szCs w:val="24"/>
        </w:rPr>
      </w:pPr>
      <w:r w:rsidRPr="003C4BD7">
        <w:rPr>
          <w:rFonts w:ascii="Century Schoolbook" w:hAnsi="Century Schoolbook" w:cstheme="minorHAnsi"/>
          <w:i/>
          <w:sz w:val="24"/>
          <w:szCs w:val="24"/>
        </w:rPr>
        <w:t>For projects listed in Schedule-I to the notification in respect of which the required land has been acquired and all relevant clearances of the State Government including NOC from the respective State Pollution Control Boards have been obtained before 27</w:t>
      </w:r>
      <w:r w:rsidRPr="003C4BD7">
        <w:rPr>
          <w:rFonts w:ascii="Century Schoolbook" w:hAnsi="Century Schoolbook" w:cstheme="minorHAnsi"/>
          <w:i/>
          <w:sz w:val="24"/>
          <w:szCs w:val="24"/>
          <w:vertAlign w:val="superscript"/>
        </w:rPr>
        <w:t>th</w:t>
      </w:r>
      <w:r w:rsidRPr="003C4BD7">
        <w:rPr>
          <w:rFonts w:ascii="Century Schoolbook" w:hAnsi="Century Schoolbook" w:cstheme="minorHAnsi"/>
          <w:i/>
          <w:sz w:val="24"/>
          <w:szCs w:val="24"/>
        </w:rPr>
        <w:t xml:space="preserve"> January 1994, a project proponent will not be required to seek environment clearance from the </w:t>
      </w:r>
      <w:r w:rsidRPr="003C4BD7">
        <w:rPr>
          <w:rFonts w:ascii="Century Schoolbook" w:hAnsi="Century Schoolbook" w:cstheme="minorHAnsi"/>
          <w:i/>
          <w:sz w:val="24"/>
          <w:szCs w:val="24"/>
        </w:rPr>
        <w:lastRenderedPageBreak/>
        <w:t xml:space="preserve">IAA. However, those units who have not yet commence d production will inform the IAA. </w:t>
      </w:r>
    </w:p>
    <w:p w14:paraId="6287B10E" w14:textId="77777777" w:rsidR="00795515" w:rsidRPr="003C4BD7" w:rsidRDefault="00795515" w:rsidP="00795515">
      <w:pPr>
        <w:pStyle w:val="ListParagraph"/>
        <w:spacing w:after="0" w:line="360" w:lineRule="auto"/>
        <w:jc w:val="both"/>
        <w:rPr>
          <w:rFonts w:ascii="Century Schoolbook" w:hAnsi="Century Schoolbook" w:cstheme="minorHAnsi"/>
          <w:sz w:val="24"/>
          <w:szCs w:val="24"/>
          <w:lang w:val="en-IN"/>
        </w:rPr>
      </w:pPr>
    </w:p>
    <w:p w14:paraId="4297FD77" w14:textId="408251C4"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this understanding was made clear by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in July 1994 by way of a Press Note which stated inter alia as follows: </w:t>
      </w:r>
    </w:p>
    <w:p w14:paraId="476A23E6" w14:textId="20B431BF"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“2. The question of applicability of the</w:t>
      </w:r>
      <w:r w:rsidR="00764519"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Notification to certain types of mining projects </w:t>
      </w:r>
    </w:p>
    <w:p w14:paraId="4D329F0A" w14:textId="5E10C5B4"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which are in the process of renewal have been</w:t>
      </w:r>
      <w:r w:rsidR="00764519"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released from time to time. In this regard, it is further clarified that: - </w:t>
      </w:r>
    </w:p>
    <w:p w14:paraId="0712C74A" w14:textId="4B6E7ED7" w:rsidR="00A709A9" w:rsidRPr="003C4BD7" w:rsidRDefault="00A709A9" w:rsidP="00764519">
      <w:pPr>
        <w:pStyle w:val="ListParagraph"/>
        <w:numPr>
          <w:ilvl w:val="0"/>
          <w:numId w:val="9"/>
        </w:numPr>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Environmental Clearance will not be required at the time of renewal if there is no increase in the originally sanctioned lease</w:t>
      </w:r>
      <w:r w:rsidR="00764519" w:rsidRPr="003C4BD7">
        <w:rPr>
          <w:rFonts w:ascii="Century Schoolbook" w:hAnsi="Century Schoolbook" w:cstheme="minorHAnsi"/>
          <w:i/>
          <w:sz w:val="24"/>
          <w:szCs w:val="24"/>
          <w:lang w:val="en-IN"/>
        </w:rPr>
        <w:t xml:space="preserve"> a</w:t>
      </w:r>
      <w:r w:rsidRPr="003C4BD7">
        <w:rPr>
          <w:rFonts w:ascii="Century Schoolbook" w:hAnsi="Century Schoolbook" w:cstheme="minorHAnsi"/>
          <w:i/>
          <w:sz w:val="24"/>
          <w:szCs w:val="24"/>
          <w:lang w:val="en-IN"/>
        </w:rPr>
        <w:t xml:space="preserve">rea.  </w:t>
      </w:r>
    </w:p>
    <w:p w14:paraId="122D1102" w14:textId="2861069B" w:rsidR="00A709A9" w:rsidRPr="003C4BD7" w:rsidRDefault="00A709A9" w:rsidP="00764519">
      <w:pPr>
        <w:pStyle w:val="ListParagraph"/>
        <w:numPr>
          <w:ilvl w:val="0"/>
          <w:numId w:val="9"/>
        </w:numPr>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Environmental clearance will not be</w:t>
      </w:r>
      <w:r w:rsidR="00764519"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required at the time of renewal in cases where</w:t>
      </w:r>
      <w:r w:rsidR="00764519"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expansion is envisaged if the lease area do</w:t>
      </w:r>
      <w:r w:rsidR="00764519" w:rsidRPr="003C4BD7">
        <w:rPr>
          <w:rFonts w:ascii="Century Schoolbook" w:hAnsi="Century Schoolbook" w:cstheme="minorHAnsi"/>
          <w:i/>
          <w:sz w:val="24"/>
          <w:szCs w:val="24"/>
          <w:lang w:val="en-IN"/>
        </w:rPr>
        <w:t>e</w:t>
      </w:r>
      <w:r w:rsidRPr="003C4BD7">
        <w:rPr>
          <w:rFonts w:ascii="Century Schoolbook" w:hAnsi="Century Schoolbook" w:cstheme="minorHAnsi"/>
          <w:i/>
          <w:sz w:val="24"/>
          <w:szCs w:val="24"/>
          <w:lang w:val="en-IN"/>
        </w:rPr>
        <w:t>s not ex</w:t>
      </w:r>
      <w:r w:rsidR="00764519" w:rsidRPr="003C4BD7">
        <w:rPr>
          <w:rFonts w:ascii="Century Schoolbook" w:hAnsi="Century Schoolbook" w:cstheme="minorHAnsi"/>
          <w:i/>
          <w:sz w:val="24"/>
          <w:szCs w:val="24"/>
          <w:lang w:val="en-IN"/>
        </w:rPr>
        <w:t>ceed 5 h</w:t>
      </w:r>
      <w:r w:rsidR="00F3449C" w:rsidRPr="003C4BD7">
        <w:rPr>
          <w:rFonts w:ascii="Century Schoolbook" w:hAnsi="Century Schoolbook" w:cstheme="minorHAnsi"/>
          <w:i/>
          <w:sz w:val="24"/>
          <w:szCs w:val="24"/>
          <w:lang w:val="en-IN"/>
        </w:rPr>
        <w:t>ectares</w:t>
      </w:r>
      <w:r w:rsidRPr="003C4BD7">
        <w:rPr>
          <w:rFonts w:ascii="Century Schoolbook" w:hAnsi="Century Schoolbook" w:cstheme="minorHAnsi"/>
          <w:i/>
          <w:sz w:val="24"/>
          <w:szCs w:val="24"/>
          <w:lang w:val="en-IN"/>
        </w:rPr>
        <w:t xml:space="preserve">, even after expansion.” </w:t>
      </w:r>
    </w:p>
    <w:p w14:paraId="0814F9EA" w14:textId="77777777" w:rsidR="00764519" w:rsidRPr="003C4BD7" w:rsidRDefault="00A709A9" w:rsidP="0076451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 xml:space="preserve"> </w:t>
      </w:r>
    </w:p>
    <w:p w14:paraId="46C6F5CF" w14:textId="3B5AB3A8"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further, it is relevant to point out that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on 19.06.1997 issued a letter whereby the requirements for obtaining EC at the time of renewal were clarified. </w:t>
      </w:r>
    </w:p>
    <w:p w14:paraId="21AAF4EC" w14:textId="77777777" w:rsidR="00795515" w:rsidRPr="003C4BD7" w:rsidRDefault="00795515" w:rsidP="00795515">
      <w:pPr>
        <w:pStyle w:val="ListParagraph"/>
        <w:spacing w:after="0" w:line="360" w:lineRule="auto"/>
        <w:jc w:val="both"/>
        <w:rPr>
          <w:rFonts w:ascii="Century Schoolbook" w:hAnsi="Century Schoolbook" w:cstheme="minorHAnsi"/>
          <w:sz w:val="24"/>
          <w:szCs w:val="24"/>
          <w:lang w:val="en-IN"/>
        </w:rPr>
      </w:pPr>
    </w:p>
    <w:p w14:paraId="27629E95" w14:textId="0DC1847B"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it may further be noted that in respect of the EIA Notification, 1994,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continuously issued circulars allowing new units to apply for clearance under the EIA Notification, 1994 on an ex post facto basis. The first such Circular was dated 5th November, 1998, which permitted such new units to apply for environmental clearances by 31st March, 1998. This period, vide Circular dated 27th December, 2000, was extended up to 30th Jun</w:t>
      </w:r>
      <w:r w:rsidR="00702C7C" w:rsidRPr="003C4BD7">
        <w:rPr>
          <w:rFonts w:ascii="Century Schoolbook" w:hAnsi="Century Schoolbook" w:cstheme="minorHAnsi"/>
          <w:sz w:val="24"/>
          <w:szCs w:val="24"/>
          <w:lang w:val="en-IN"/>
        </w:rPr>
        <w:t>e</w:t>
      </w:r>
      <w:r w:rsidRPr="003C4BD7">
        <w:rPr>
          <w:rFonts w:ascii="Century Schoolbook" w:hAnsi="Century Schoolbook" w:cstheme="minorHAnsi"/>
          <w:sz w:val="24"/>
          <w:szCs w:val="24"/>
          <w:lang w:val="en-IN"/>
        </w:rPr>
        <w:t xml:space="preserve">, 2001.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finally vide Circular dated 14th May, 2002, further extended the deadline </w:t>
      </w:r>
      <w:r w:rsidR="007A22EE" w:rsidRPr="003C4BD7">
        <w:rPr>
          <w:rFonts w:ascii="Century Schoolbook" w:hAnsi="Century Schoolbook" w:cstheme="minorHAnsi"/>
          <w:sz w:val="24"/>
          <w:szCs w:val="24"/>
          <w:lang w:val="en-IN"/>
        </w:rPr>
        <w:t>up to</w:t>
      </w:r>
      <w:r w:rsidRPr="003C4BD7">
        <w:rPr>
          <w:rFonts w:ascii="Century Schoolbook" w:hAnsi="Century Schoolbook" w:cstheme="minorHAnsi"/>
          <w:sz w:val="24"/>
          <w:szCs w:val="24"/>
          <w:lang w:val="en-IN"/>
        </w:rPr>
        <w:t xml:space="preserve"> 31st March, 2003. </w:t>
      </w:r>
    </w:p>
    <w:p w14:paraId="39E3656F" w14:textId="77777777" w:rsidR="00795515" w:rsidRPr="003C4BD7" w:rsidRDefault="00795515" w:rsidP="00795515">
      <w:pPr>
        <w:pStyle w:val="ListParagraph"/>
        <w:rPr>
          <w:rFonts w:ascii="Century Schoolbook" w:hAnsi="Century Schoolbook" w:cstheme="minorHAnsi"/>
          <w:sz w:val="24"/>
          <w:szCs w:val="24"/>
          <w:lang w:val="en-IN"/>
        </w:rPr>
      </w:pPr>
    </w:p>
    <w:p w14:paraId="21C479F7" w14:textId="77777777" w:rsidR="00795515"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the position regarding the EIA Notification 1994 was further clarified by the judgment </w:t>
      </w:r>
      <w:r w:rsidR="00777AEE" w:rsidRPr="003C4BD7">
        <w:rPr>
          <w:rFonts w:ascii="Century Schoolbook" w:hAnsi="Century Schoolbook" w:cstheme="minorHAnsi"/>
          <w:sz w:val="24"/>
          <w:szCs w:val="24"/>
          <w:lang w:val="en-IN"/>
        </w:rPr>
        <w:t>dated 18.03.2004</w:t>
      </w:r>
      <w:r w:rsidRPr="003C4BD7">
        <w:rPr>
          <w:rFonts w:ascii="Century Schoolbook" w:hAnsi="Century Schoolbook" w:cstheme="minorHAnsi"/>
          <w:sz w:val="24"/>
          <w:szCs w:val="24"/>
          <w:lang w:val="en-IN"/>
        </w:rPr>
        <w:t xml:space="preserve"> of the Hon’ble Supreme Court in M.C.</w:t>
      </w:r>
      <w:r w:rsidR="00777AEE" w:rsidRPr="003C4BD7">
        <w:rPr>
          <w:rFonts w:ascii="Century Schoolbook" w:hAnsi="Century Schoolbook" w:cstheme="minorHAnsi"/>
          <w:sz w:val="24"/>
          <w:szCs w:val="24"/>
          <w:lang w:val="en-IN"/>
        </w:rPr>
        <w:t xml:space="preserve"> </w:t>
      </w:r>
      <w:r w:rsidRPr="003C4BD7">
        <w:rPr>
          <w:rFonts w:ascii="Century Schoolbook" w:hAnsi="Century Schoolbook" w:cstheme="minorHAnsi"/>
          <w:sz w:val="24"/>
          <w:szCs w:val="24"/>
          <w:lang w:val="en-IN"/>
        </w:rPr>
        <w:t xml:space="preserve">Mehta v. UOI, (2004) 12 SCC 118 wherein it was stated that the requirement of obtaining EC under the EIA Notification 1994 would be </w:t>
      </w:r>
      <w:r w:rsidRPr="003C4BD7">
        <w:rPr>
          <w:rFonts w:ascii="Century Schoolbook" w:hAnsi="Century Schoolbook" w:cstheme="minorHAnsi"/>
          <w:sz w:val="24"/>
          <w:szCs w:val="24"/>
          <w:lang w:val="en-IN"/>
        </w:rPr>
        <w:lastRenderedPageBreak/>
        <w:t xml:space="preserve">applicable at the time of renewal if the lease in question fell for renewal after 1994. </w:t>
      </w:r>
    </w:p>
    <w:p w14:paraId="0987B6ED" w14:textId="77777777" w:rsidR="00795515" w:rsidRPr="003C4BD7" w:rsidRDefault="00795515" w:rsidP="00795515">
      <w:pPr>
        <w:pStyle w:val="ListParagraph"/>
        <w:rPr>
          <w:rFonts w:ascii="Century Schoolbook" w:hAnsi="Century Schoolbook" w:cstheme="minorHAnsi"/>
          <w:sz w:val="24"/>
          <w:szCs w:val="24"/>
          <w:lang w:val="en-IN"/>
        </w:rPr>
      </w:pPr>
    </w:p>
    <w:p w14:paraId="5DEC61BF" w14:textId="7F5D5AA3" w:rsidR="00795515" w:rsidRPr="003C4BD7" w:rsidRDefault="00A709A9" w:rsidP="00A727F6">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pursuant to the decision of the Hon’ble Supreme Court in </w:t>
      </w:r>
      <w:r w:rsidRPr="003C4BD7">
        <w:rPr>
          <w:rFonts w:ascii="Century Schoolbook" w:hAnsi="Century Schoolbook" w:cstheme="minorHAnsi"/>
          <w:b/>
          <w:i/>
          <w:sz w:val="24"/>
          <w:szCs w:val="24"/>
          <w:lang w:val="en-IN"/>
        </w:rPr>
        <w:t>M.C. Mehta</w:t>
      </w:r>
      <w:r w:rsidR="00702C7C" w:rsidRPr="003C4BD7">
        <w:rPr>
          <w:rFonts w:ascii="Century Schoolbook" w:hAnsi="Century Schoolbook" w:cstheme="minorHAnsi"/>
          <w:sz w:val="24"/>
          <w:szCs w:val="24"/>
          <w:lang w:val="en-IN"/>
        </w:rPr>
        <w:t xml:space="preserve"> </w:t>
      </w:r>
      <w:r w:rsidR="00702C7C" w:rsidRPr="003C4BD7">
        <w:rPr>
          <w:rFonts w:ascii="Century Schoolbook" w:hAnsi="Century Schoolbook" w:cstheme="minorHAnsi"/>
          <w:b/>
          <w:i/>
          <w:sz w:val="24"/>
          <w:szCs w:val="24"/>
          <w:lang w:val="en-IN"/>
        </w:rPr>
        <w:t>v. Union of India</w:t>
      </w:r>
      <w:r w:rsidRPr="003C4BD7">
        <w:rPr>
          <w:rFonts w:ascii="Century Schoolbook" w:hAnsi="Century Schoolbook" w:cstheme="minorHAnsi"/>
          <w:sz w:val="24"/>
          <w:szCs w:val="24"/>
          <w:lang w:val="en-IN"/>
        </w:rPr>
        <w:t xml:space="preserve">,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issued two clarificatory circulars viz. 28.10.2004 and 25.04.2005 wherein it was stated that the requirement of obtaining EC under the EIA Notification 1994 would be when (a) mining</w:t>
      </w:r>
      <w:r w:rsidR="00F54E26" w:rsidRPr="003C4BD7">
        <w:rPr>
          <w:rFonts w:ascii="Century Schoolbook" w:hAnsi="Century Schoolbook" w:cstheme="minorHAnsi"/>
          <w:sz w:val="24"/>
          <w:szCs w:val="24"/>
          <w:lang w:val="en-IN"/>
        </w:rPr>
        <w:t xml:space="preserve"> </w:t>
      </w:r>
      <w:r w:rsidRPr="003C4BD7">
        <w:rPr>
          <w:rFonts w:ascii="Century Schoolbook" w:hAnsi="Century Schoolbook" w:cstheme="minorHAnsi"/>
          <w:sz w:val="24"/>
          <w:szCs w:val="24"/>
          <w:lang w:val="en-IN"/>
        </w:rPr>
        <w:t xml:space="preserve">projects started production; or increased production; or increased their lease area, after 1994; or (b) the lease fell for renewal. Therefore, the 2005 Circular clarified that mining units which continued to operate at pre-1994 capacities would obtain EC only at the time of renewal. It further gave a window to even get an ex post facto approval in case production had been increased or lease area had been expanded after 1994. </w:t>
      </w:r>
    </w:p>
    <w:p w14:paraId="506EB733" w14:textId="77777777" w:rsidR="00795515" w:rsidRPr="003C4BD7" w:rsidRDefault="00795515" w:rsidP="00795515">
      <w:pPr>
        <w:pStyle w:val="ListParagraph"/>
        <w:rPr>
          <w:rFonts w:ascii="Century Schoolbook" w:hAnsi="Century Schoolbook" w:cstheme="minorHAnsi"/>
          <w:sz w:val="24"/>
          <w:szCs w:val="24"/>
          <w:lang w:val="en-IN"/>
        </w:rPr>
      </w:pPr>
    </w:p>
    <w:p w14:paraId="0BE0415B" w14:textId="150BFB5E" w:rsidR="00795515"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It is clear from a perusal of the above Circulars that the EIA Notification 1994 was to apply only in respect of (a) new projects; (b) if there was an increase in production higher than the year prior to year 1993</w:t>
      </w:r>
      <w:r w:rsidR="00F54E26" w:rsidRPr="003C4BD7">
        <w:rPr>
          <w:rFonts w:ascii="Century Schoolbook" w:hAnsi="Century Schoolbook" w:cstheme="minorHAnsi"/>
          <w:sz w:val="24"/>
          <w:szCs w:val="24"/>
          <w:lang w:val="en-IN"/>
        </w:rPr>
        <w:t>-</w:t>
      </w:r>
      <w:r w:rsidRPr="003C4BD7">
        <w:rPr>
          <w:rFonts w:ascii="Century Schoolbook" w:hAnsi="Century Schoolbook" w:cstheme="minorHAnsi"/>
          <w:sz w:val="24"/>
          <w:szCs w:val="24"/>
          <w:lang w:val="en-IN"/>
        </w:rPr>
        <w:t xml:space="preserve">94.; (c) if there was an expansion of lease area; and (d) at the time of renewal. </w:t>
      </w:r>
    </w:p>
    <w:p w14:paraId="3537F4F6" w14:textId="77777777" w:rsidR="00795515" w:rsidRPr="003C4BD7" w:rsidRDefault="00795515" w:rsidP="00795515">
      <w:pPr>
        <w:pStyle w:val="ListParagraph"/>
        <w:rPr>
          <w:rFonts w:ascii="Century Schoolbook" w:hAnsi="Century Schoolbook" w:cstheme="minorHAnsi"/>
          <w:sz w:val="24"/>
          <w:szCs w:val="24"/>
          <w:lang w:val="en-IN"/>
        </w:rPr>
      </w:pPr>
    </w:p>
    <w:p w14:paraId="6192EB1E" w14:textId="54A47CBD" w:rsidR="00A709A9" w:rsidRPr="003C4BD7" w:rsidRDefault="00A709A9" w:rsidP="00032EE3">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The expression expansion was defined to include expansion in both production and lease area.  However, as far as production is concerned it was clarified that if the annual production of any year from 1994-95 onwards exceeded the annual production the years preceding 1993-94, the same would constitute expansion.  </w:t>
      </w:r>
    </w:p>
    <w:p w14:paraId="7FC9C719" w14:textId="77777777" w:rsidR="00032EE3" w:rsidRPr="003C4BD7" w:rsidRDefault="00032EE3" w:rsidP="00032EE3">
      <w:pPr>
        <w:pStyle w:val="ListParagraph"/>
        <w:rPr>
          <w:rFonts w:ascii="Century Schoolbook" w:hAnsi="Century Schoolbook" w:cstheme="minorHAnsi"/>
          <w:sz w:val="24"/>
          <w:szCs w:val="24"/>
          <w:lang w:val="en-IN"/>
        </w:rPr>
      </w:pPr>
    </w:p>
    <w:p w14:paraId="7156262B" w14:textId="2B448E7C"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u w:val="single"/>
          <w:lang w:val="en-IN"/>
        </w:rPr>
      </w:pPr>
      <w:r w:rsidRPr="003C4BD7">
        <w:rPr>
          <w:rFonts w:ascii="Century Schoolbook" w:hAnsi="Century Schoolbook" w:cstheme="minorHAnsi"/>
          <w:i/>
          <w:sz w:val="24"/>
          <w:szCs w:val="24"/>
          <w:u w:val="single"/>
          <w:lang w:val="en-IN"/>
        </w:rPr>
        <w:t>Period from 14.09.2006</w:t>
      </w:r>
      <w:r w:rsidR="00F54E26" w:rsidRPr="003C4BD7">
        <w:rPr>
          <w:rFonts w:ascii="Century Schoolbook" w:hAnsi="Century Schoolbook" w:cstheme="minorHAnsi"/>
          <w:i/>
          <w:sz w:val="24"/>
          <w:szCs w:val="24"/>
          <w:u w:val="single"/>
          <w:lang w:val="en-IN"/>
        </w:rPr>
        <w:t xml:space="preserve"> - </w:t>
      </w:r>
      <w:r w:rsidRPr="003C4BD7">
        <w:rPr>
          <w:rFonts w:ascii="Century Schoolbook" w:hAnsi="Century Schoolbook" w:cstheme="minorHAnsi"/>
          <w:i/>
          <w:sz w:val="24"/>
          <w:szCs w:val="24"/>
          <w:u w:val="single"/>
          <w:lang w:val="en-IN"/>
        </w:rPr>
        <w:t xml:space="preserve">2010        </w:t>
      </w:r>
    </w:p>
    <w:p w14:paraId="11032CF2" w14:textId="77777777" w:rsidR="00A709A9" w:rsidRPr="003C4BD7" w:rsidRDefault="00A709A9" w:rsidP="00A709A9">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 </w:t>
      </w:r>
    </w:p>
    <w:p w14:paraId="50854AD6" w14:textId="20DB4552" w:rsidR="00795515"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The existing regime under the EIA Notification 1994 continued until its supersession by the issuance of the EIA Notification dated 14.09.2006 (“EIA Notification 2006”). </w:t>
      </w:r>
      <w:r w:rsidR="00015F06" w:rsidRPr="003C4BD7">
        <w:rPr>
          <w:rFonts w:ascii="Century Schoolbook" w:hAnsi="Century Schoolbook" w:cstheme="minorHAnsi"/>
          <w:sz w:val="24"/>
          <w:szCs w:val="24"/>
          <w:lang w:val="en-IN"/>
        </w:rPr>
        <w:t xml:space="preserve">A copy of EIA 2006 is annexed herewith as </w:t>
      </w:r>
      <w:r w:rsidR="00015F06" w:rsidRPr="003C4BD7">
        <w:rPr>
          <w:rFonts w:ascii="Century Schoolbook" w:hAnsi="Century Schoolbook" w:cstheme="minorHAnsi"/>
          <w:b/>
          <w:sz w:val="24"/>
          <w:szCs w:val="24"/>
          <w:lang w:val="en-IN"/>
        </w:rPr>
        <w:t>Annexure – 3.</w:t>
      </w:r>
    </w:p>
    <w:p w14:paraId="7BF8BACA" w14:textId="77777777" w:rsidR="00795515" w:rsidRPr="003C4BD7" w:rsidRDefault="00795515" w:rsidP="00795515">
      <w:pPr>
        <w:pStyle w:val="ListParagraph"/>
        <w:spacing w:after="0" w:line="360" w:lineRule="auto"/>
        <w:jc w:val="both"/>
        <w:rPr>
          <w:rFonts w:ascii="Century Schoolbook" w:hAnsi="Century Schoolbook" w:cstheme="minorHAnsi"/>
          <w:sz w:val="24"/>
          <w:szCs w:val="24"/>
          <w:lang w:val="en-IN"/>
        </w:rPr>
      </w:pPr>
    </w:p>
    <w:p w14:paraId="6F48E24B" w14:textId="2494CFE8"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lastRenderedPageBreak/>
        <w:t xml:space="preserve">The Notification of 14th September, 2006 provided for prior environmental clearance from the Central Government in the following </w:t>
      </w:r>
      <w:r w:rsidR="00F54E26" w:rsidRPr="003C4BD7">
        <w:rPr>
          <w:rFonts w:ascii="Century Schoolbook" w:hAnsi="Century Schoolbook" w:cstheme="minorHAnsi"/>
          <w:sz w:val="24"/>
          <w:szCs w:val="24"/>
          <w:lang w:val="en-IN"/>
        </w:rPr>
        <w:t>events: -</w:t>
      </w:r>
      <w:r w:rsidRPr="003C4BD7">
        <w:rPr>
          <w:rFonts w:ascii="Century Schoolbook" w:hAnsi="Century Schoolbook" w:cstheme="minorHAnsi"/>
          <w:sz w:val="24"/>
          <w:szCs w:val="24"/>
          <w:lang w:val="en-IN"/>
        </w:rPr>
        <w:t xml:space="preserve"> </w:t>
      </w:r>
    </w:p>
    <w:p w14:paraId="5A1E5A85" w14:textId="77777777" w:rsidR="00A709A9" w:rsidRPr="003C4BD7" w:rsidRDefault="00A709A9" w:rsidP="00A709A9">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I. If it was a new project. </w:t>
      </w:r>
    </w:p>
    <w:p w14:paraId="0903E7AF" w14:textId="77777777" w:rsidR="00795515" w:rsidRPr="003C4BD7" w:rsidRDefault="00A709A9" w:rsidP="00795515">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II. If it was an expansion of modernisation of existing project i.e. if there was an addition of capacity beyond the limits specified. </w:t>
      </w:r>
    </w:p>
    <w:p w14:paraId="0BB1D6C8" w14:textId="77777777" w:rsidR="00795515" w:rsidRPr="003C4BD7" w:rsidRDefault="00795515" w:rsidP="00795515">
      <w:pPr>
        <w:pStyle w:val="ListParagraph"/>
        <w:tabs>
          <w:tab w:val="left" w:pos="9000"/>
        </w:tabs>
        <w:spacing w:after="0" w:line="360" w:lineRule="auto"/>
        <w:jc w:val="both"/>
        <w:rPr>
          <w:rFonts w:ascii="Century Schoolbook" w:hAnsi="Century Schoolbook" w:cstheme="minorHAnsi"/>
          <w:sz w:val="24"/>
          <w:szCs w:val="24"/>
          <w:lang w:val="en-IN"/>
        </w:rPr>
      </w:pPr>
    </w:p>
    <w:p w14:paraId="7F473244" w14:textId="2D7A1358" w:rsidR="00795515" w:rsidRPr="003C4BD7" w:rsidRDefault="00A709A9" w:rsidP="00A727F6">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subsequent to the issuance of the EIA Notification 2006, the </w:t>
      </w:r>
      <w:r w:rsidR="00702C7C" w:rsidRPr="003C4BD7">
        <w:rPr>
          <w:rFonts w:ascii="Century Schoolbook" w:hAnsi="Century Schoolbook" w:cstheme="minorHAnsi"/>
          <w:sz w:val="24"/>
          <w:szCs w:val="24"/>
          <w:lang w:val="en-IN"/>
        </w:rPr>
        <w:t xml:space="preserve">Ministry of Environment and Forests </w:t>
      </w:r>
      <w:r w:rsidR="00702C7C" w:rsidRPr="003C4BD7">
        <w:rPr>
          <w:rFonts w:ascii="Century Schoolbook" w:hAnsi="Century Schoolbook" w:cstheme="minorHAnsi"/>
          <w:b/>
          <w:sz w:val="24"/>
          <w:szCs w:val="24"/>
          <w:lang w:val="en-IN"/>
        </w:rPr>
        <w:t>(“</w:t>
      </w:r>
      <w:proofErr w:type="spellStart"/>
      <w:r w:rsidRPr="003C4BD7">
        <w:rPr>
          <w:rFonts w:ascii="Century Schoolbook" w:hAnsi="Century Schoolbook" w:cstheme="minorHAnsi"/>
          <w:b/>
          <w:sz w:val="24"/>
          <w:szCs w:val="24"/>
          <w:lang w:val="en-IN"/>
        </w:rPr>
        <w:t>MoEF</w:t>
      </w:r>
      <w:proofErr w:type="spellEnd"/>
      <w:r w:rsidR="00702C7C" w:rsidRPr="003C4BD7">
        <w:rPr>
          <w:rFonts w:ascii="Century Schoolbook" w:hAnsi="Century Schoolbook" w:cstheme="minorHAnsi"/>
          <w:b/>
          <w:sz w:val="24"/>
          <w:szCs w:val="24"/>
          <w:lang w:val="en-IN"/>
        </w:rPr>
        <w:t>”)</w:t>
      </w:r>
      <w:r w:rsidRPr="003C4BD7">
        <w:rPr>
          <w:rFonts w:ascii="Century Schoolbook" w:hAnsi="Century Schoolbook" w:cstheme="minorHAnsi"/>
          <w:sz w:val="24"/>
          <w:szCs w:val="24"/>
          <w:lang w:val="en-IN"/>
        </w:rPr>
        <w:t xml:space="preserve"> issued Circular dated 13.10.2006 containing Interim Operational Guidelines in respect of applications made under the EIA Notification 1994. In the same, it was stated that applications received under the EIA Notification 1994 would continue to be processed thereunder, and violations, if any, would attract the relevant provisions of the Environment (Protection) Act, 1986. </w:t>
      </w:r>
    </w:p>
    <w:p w14:paraId="540344BC" w14:textId="77777777" w:rsidR="00032EE3" w:rsidRPr="003C4BD7" w:rsidRDefault="00032EE3" w:rsidP="00032EE3">
      <w:pPr>
        <w:pStyle w:val="ListParagraph"/>
        <w:spacing w:after="0" w:line="360" w:lineRule="auto"/>
        <w:jc w:val="both"/>
        <w:rPr>
          <w:rFonts w:ascii="Century Schoolbook" w:hAnsi="Century Schoolbook" w:cstheme="minorHAnsi"/>
          <w:sz w:val="24"/>
          <w:szCs w:val="24"/>
          <w:lang w:val="en-IN"/>
        </w:rPr>
      </w:pPr>
    </w:p>
    <w:p w14:paraId="0A5EFE5C" w14:textId="1BC56883" w:rsidR="00A709A9" w:rsidRPr="003C4BD7" w:rsidRDefault="00A709A9" w:rsidP="00A727F6">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subsequent to the issuance of the EIA Notification 2006,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issued a clarificatory Circular dated 02.07.2007 on the applicability of the same, stating as follows: </w:t>
      </w:r>
    </w:p>
    <w:p w14:paraId="1494BAB9" w14:textId="3DCBC0E2" w:rsidR="00795515" w:rsidRPr="003C4BD7" w:rsidRDefault="00A709A9" w:rsidP="00795515">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“It is clarified that all such mining projects which did not require</w:t>
      </w:r>
      <w:r w:rsidR="00F54E26"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environmental clearance under the EIA Notification 1994 would continue to operate without obtaining environ mental clearance till the mining lease </w:t>
      </w:r>
      <w:r w:rsidR="00805C2B" w:rsidRPr="003C4BD7">
        <w:rPr>
          <w:rFonts w:ascii="Century Schoolbook" w:hAnsi="Century Schoolbook" w:cstheme="minorHAnsi"/>
          <w:i/>
          <w:sz w:val="24"/>
          <w:szCs w:val="24"/>
          <w:lang w:val="en-IN"/>
        </w:rPr>
        <w:t>falls due</w:t>
      </w:r>
      <w:r w:rsidRPr="003C4BD7">
        <w:rPr>
          <w:rFonts w:ascii="Century Schoolbook" w:hAnsi="Century Schoolbook" w:cstheme="minorHAnsi"/>
          <w:i/>
          <w:sz w:val="24"/>
          <w:szCs w:val="24"/>
          <w:lang w:val="en-IN"/>
        </w:rPr>
        <w:t xml:space="preserve"> for renewal, if there is no increase in lease area and / or there is no enhancement of production. In the</w:t>
      </w:r>
      <w:r w:rsidR="00805C2B"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event of any increase in lease are a</w:t>
      </w:r>
      <w:r w:rsidR="00805C2B"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and or production, such projects would need to obtain prior environmental clearance. Further, all such projects which have been operating without any environmental clearance would obtain environmental clearance at the time of their lease renewal even if ther</w:t>
      </w:r>
      <w:r w:rsidR="00805C2B" w:rsidRPr="003C4BD7">
        <w:rPr>
          <w:rFonts w:ascii="Century Schoolbook" w:hAnsi="Century Schoolbook" w:cstheme="minorHAnsi"/>
          <w:i/>
          <w:sz w:val="24"/>
          <w:szCs w:val="24"/>
          <w:lang w:val="en-IN"/>
        </w:rPr>
        <w:t>e</w:t>
      </w:r>
      <w:r w:rsidRPr="003C4BD7">
        <w:rPr>
          <w:rFonts w:ascii="Century Schoolbook" w:hAnsi="Century Schoolbook" w:cstheme="minorHAnsi"/>
          <w:i/>
          <w:sz w:val="24"/>
          <w:szCs w:val="24"/>
          <w:lang w:val="en-IN"/>
        </w:rPr>
        <w:t xml:space="preserve"> is no increase</w:t>
      </w:r>
      <w:r w:rsidR="00805C2B"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e</w:t>
      </w:r>
      <w:r w:rsidR="00805C2B" w:rsidRPr="003C4BD7">
        <w:rPr>
          <w:rFonts w:ascii="Century Schoolbook" w:hAnsi="Century Schoolbook" w:cstheme="minorHAnsi"/>
          <w:i/>
          <w:sz w:val="24"/>
          <w:szCs w:val="24"/>
          <w:lang w:val="en-IN"/>
        </w:rPr>
        <w:t>i</w:t>
      </w:r>
      <w:r w:rsidRPr="003C4BD7">
        <w:rPr>
          <w:rFonts w:ascii="Century Schoolbook" w:hAnsi="Century Schoolbook" w:cstheme="minorHAnsi"/>
          <w:i/>
          <w:sz w:val="24"/>
          <w:szCs w:val="24"/>
          <w:lang w:val="en-IN"/>
        </w:rPr>
        <w:t>ther</w:t>
      </w:r>
      <w:r w:rsidR="00805C2B"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in terms of lease area of production.” </w:t>
      </w:r>
    </w:p>
    <w:p w14:paraId="4CB37BFC" w14:textId="77777777" w:rsidR="00032EE3" w:rsidRPr="003C4BD7" w:rsidRDefault="00032EE3" w:rsidP="00795515">
      <w:pPr>
        <w:pStyle w:val="ListParagraph"/>
        <w:tabs>
          <w:tab w:val="left" w:pos="9000"/>
        </w:tabs>
        <w:spacing w:after="0" w:line="360" w:lineRule="auto"/>
        <w:jc w:val="both"/>
        <w:rPr>
          <w:rFonts w:ascii="Century Schoolbook" w:hAnsi="Century Schoolbook" w:cstheme="minorHAnsi"/>
          <w:i/>
          <w:sz w:val="24"/>
          <w:szCs w:val="24"/>
          <w:lang w:val="en-IN"/>
        </w:rPr>
      </w:pPr>
    </w:p>
    <w:p w14:paraId="52FE7F5B" w14:textId="28CC19F5" w:rsidR="00A709A9" w:rsidRPr="003C4BD7" w:rsidRDefault="00A709A9" w:rsidP="00795515">
      <w:pPr>
        <w:pStyle w:val="ListParagraph"/>
        <w:numPr>
          <w:ilvl w:val="1"/>
          <w:numId w:val="1"/>
        </w:numPr>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sz w:val="24"/>
          <w:szCs w:val="24"/>
          <w:lang w:val="en-IN"/>
        </w:rPr>
        <w:t xml:space="preserve">That on 19.08.2010,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issued Office Memorandum clarifying as follows: </w:t>
      </w:r>
    </w:p>
    <w:p w14:paraId="430CFC74" w14:textId="36953751"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“All the project proponents may note that an</w:t>
      </w:r>
      <w:r w:rsidR="00805C2B" w:rsidRPr="003C4BD7">
        <w:rPr>
          <w:rFonts w:ascii="Century Schoolbook" w:hAnsi="Century Schoolbook" w:cstheme="minorHAnsi"/>
          <w:i/>
          <w:sz w:val="24"/>
          <w:szCs w:val="24"/>
          <w:lang w:val="en-IN"/>
        </w:rPr>
        <w:t xml:space="preserve">y </w:t>
      </w:r>
      <w:r w:rsidRPr="003C4BD7">
        <w:rPr>
          <w:rFonts w:ascii="Century Schoolbook" w:hAnsi="Century Schoolbook" w:cstheme="minorHAnsi"/>
          <w:i/>
          <w:sz w:val="24"/>
          <w:szCs w:val="24"/>
          <w:lang w:val="en-IN"/>
        </w:rPr>
        <w:t>contravention of the provisions of the EIA Notification</w:t>
      </w:r>
      <w:r w:rsidR="00805C2B"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amounts to violatio</w:t>
      </w:r>
      <w:r w:rsidR="00805C2B" w:rsidRPr="003C4BD7">
        <w:rPr>
          <w:rFonts w:ascii="Century Schoolbook" w:hAnsi="Century Schoolbook" w:cstheme="minorHAnsi"/>
          <w:i/>
          <w:sz w:val="24"/>
          <w:szCs w:val="24"/>
          <w:lang w:val="en-IN"/>
        </w:rPr>
        <w:t>n</w:t>
      </w:r>
      <w:r w:rsidRPr="003C4BD7">
        <w:rPr>
          <w:rFonts w:ascii="Century Schoolbook" w:hAnsi="Century Schoolbook" w:cstheme="minorHAnsi"/>
          <w:i/>
          <w:sz w:val="24"/>
          <w:szCs w:val="24"/>
          <w:lang w:val="en-IN"/>
        </w:rPr>
        <w:t xml:space="preserve"> of the Environment (Protection) </w:t>
      </w:r>
      <w:r w:rsidRPr="003C4BD7">
        <w:rPr>
          <w:rFonts w:ascii="Century Schoolbook" w:hAnsi="Century Schoolbook" w:cstheme="minorHAnsi"/>
          <w:i/>
          <w:sz w:val="24"/>
          <w:szCs w:val="24"/>
          <w:lang w:val="en-IN"/>
        </w:rPr>
        <w:lastRenderedPageBreak/>
        <w:t>Act, 1986 and</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woul</w:t>
      </w:r>
      <w:r w:rsidR="001E5E9D" w:rsidRPr="003C4BD7">
        <w:rPr>
          <w:rFonts w:ascii="Century Schoolbook" w:hAnsi="Century Schoolbook" w:cstheme="minorHAnsi"/>
          <w:i/>
          <w:sz w:val="24"/>
          <w:szCs w:val="24"/>
          <w:lang w:val="en-IN"/>
        </w:rPr>
        <w:t>d</w:t>
      </w:r>
      <w:r w:rsidRPr="003C4BD7">
        <w:rPr>
          <w:rFonts w:ascii="Century Schoolbook" w:hAnsi="Century Schoolbook" w:cstheme="minorHAnsi"/>
          <w:i/>
          <w:sz w:val="24"/>
          <w:szCs w:val="24"/>
          <w:lang w:val="en-IN"/>
        </w:rPr>
        <w:t xml:space="preserve"> attract penal action under the provisions thereof. The project proponent may also note that in case of any project where TORs have been prescribed for undertaking detai</w:t>
      </w:r>
      <w:r w:rsidR="001E5E9D" w:rsidRPr="003C4BD7">
        <w:rPr>
          <w:rFonts w:ascii="Century Schoolbook" w:hAnsi="Century Schoolbook" w:cstheme="minorHAnsi"/>
          <w:i/>
          <w:sz w:val="24"/>
          <w:szCs w:val="24"/>
          <w:lang w:val="en-IN"/>
        </w:rPr>
        <w:t>l</w:t>
      </w:r>
      <w:r w:rsidRPr="003C4BD7">
        <w:rPr>
          <w:rFonts w:ascii="Century Schoolbook" w:hAnsi="Century Schoolbook" w:cstheme="minorHAnsi"/>
          <w:i/>
          <w:sz w:val="24"/>
          <w:szCs w:val="24"/>
          <w:lang w:val="en-IN"/>
        </w:rPr>
        <w:t>ed EIA stud</w:t>
      </w:r>
      <w:r w:rsidR="001E5E9D" w:rsidRPr="003C4BD7">
        <w:rPr>
          <w:rFonts w:ascii="Century Schoolbook" w:hAnsi="Century Schoolbook" w:cstheme="minorHAnsi"/>
          <w:i/>
          <w:sz w:val="24"/>
          <w:szCs w:val="24"/>
          <w:lang w:val="en-IN"/>
        </w:rPr>
        <w:t>y</w:t>
      </w:r>
      <w:r w:rsidRPr="003C4BD7">
        <w:rPr>
          <w:rFonts w:ascii="Century Schoolbook" w:hAnsi="Century Schoolbook" w:cstheme="minorHAnsi"/>
          <w:i/>
          <w:sz w:val="24"/>
          <w:szCs w:val="24"/>
          <w:lang w:val="en-IN"/>
        </w:rPr>
        <w:t xml:space="preserve"> and wher</w:t>
      </w:r>
      <w:r w:rsidR="001E5E9D" w:rsidRPr="003C4BD7">
        <w:rPr>
          <w:rFonts w:ascii="Century Schoolbook" w:hAnsi="Century Schoolbook" w:cstheme="minorHAnsi"/>
          <w:i/>
          <w:sz w:val="24"/>
          <w:szCs w:val="24"/>
          <w:lang w:val="en-IN"/>
        </w:rPr>
        <w:t>e</w:t>
      </w:r>
      <w:r w:rsidRPr="003C4BD7">
        <w:rPr>
          <w:rFonts w:ascii="Century Schoolbook" w:hAnsi="Century Schoolbook" w:cstheme="minorHAnsi"/>
          <w:i/>
          <w:sz w:val="24"/>
          <w:szCs w:val="24"/>
          <w:lang w:val="en-IN"/>
        </w:rPr>
        <w:t xml:space="preserve"> construction</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activities relating</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to the project have been initiated by them</w:t>
      </w:r>
      <w:r w:rsidR="001E5E9D" w:rsidRPr="003C4BD7">
        <w:rPr>
          <w:rFonts w:ascii="Century Schoolbook" w:hAnsi="Century Schoolbook" w:cstheme="minorHAnsi"/>
          <w:i/>
          <w:sz w:val="24"/>
          <w:szCs w:val="24"/>
          <w:lang w:val="en-IN"/>
        </w:rPr>
        <w:t>,</w:t>
      </w:r>
      <w:r w:rsidRPr="003C4BD7">
        <w:rPr>
          <w:rFonts w:ascii="Century Schoolbook" w:hAnsi="Century Schoolbook" w:cstheme="minorHAnsi"/>
          <w:i/>
          <w:sz w:val="24"/>
          <w:szCs w:val="24"/>
          <w:lang w:val="en-IN"/>
        </w:rPr>
        <w:t xml:space="preserve"> the TOR</w:t>
      </w:r>
      <w:r w:rsidR="001E5E9D" w:rsidRPr="003C4BD7">
        <w:rPr>
          <w:rFonts w:ascii="Century Schoolbook" w:hAnsi="Century Schoolbook" w:cstheme="minorHAnsi"/>
          <w:i/>
          <w:sz w:val="24"/>
          <w:szCs w:val="24"/>
          <w:lang w:val="en-IN"/>
        </w:rPr>
        <w:t>’</w:t>
      </w:r>
      <w:r w:rsidRPr="003C4BD7">
        <w:rPr>
          <w:rFonts w:ascii="Century Schoolbook" w:hAnsi="Century Schoolbook" w:cstheme="minorHAnsi"/>
          <w:i/>
          <w:sz w:val="24"/>
          <w:szCs w:val="24"/>
          <w:lang w:val="en-IN"/>
        </w:rPr>
        <w:t>s so prescribed may be suspended / withdrawn in addition to initiating penal action under th</w:t>
      </w:r>
      <w:r w:rsidR="001E5E9D" w:rsidRPr="003C4BD7">
        <w:rPr>
          <w:rFonts w:ascii="Century Schoolbook" w:hAnsi="Century Schoolbook" w:cstheme="minorHAnsi"/>
          <w:i/>
          <w:sz w:val="24"/>
          <w:szCs w:val="24"/>
          <w:lang w:val="en-IN"/>
        </w:rPr>
        <w:t>e</w:t>
      </w:r>
      <w:r w:rsidRPr="003C4BD7">
        <w:rPr>
          <w:rFonts w:ascii="Century Schoolbook" w:hAnsi="Century Schoolbook" w:cstheme="minorHAnsi"/>
          <w:i/>
          <w:sz w:val="24"/>
          <w:szCs w:val="24"/>
          <w:lang w:val="en-IN"/>
        </w:rPr>
        <w:t xml:space="preserve"> provisions of the EP Act, 1986.” </w:t>
      </w:r>
    </w:p>
    <w:p w14:paraId="074F8A0D" w14:textId="3650AB3C" w:rsidR="00A709A9" w:rsidRPr="003C4BD7" w:rsidRDefault="00A709A9" w:rsidP="00A709A9">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 </w:t>
      </w:r>
    </w:p>
    <w:p w14:paraId="04C2F385" w14:textId="4DCC0F6F" w:rsidR="00A709A9" w:rsidRPr="003C4BD7" w:rsidRDefault="00A709A9" w:rsidP="00795515">
      <w:pPr>
        <w:pStyle w:val="ListParagraph"/>
        <w:numPr>
          <w:ilvl w:val="1"/>
          <w:numId w:val="1"/>
        </w:numPr>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That on 16.11.2010,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issued a further Office Memorandum issuing a clarification in respect of projects which had not obtained prior clearance under the EIA Notification 2006.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stated inter alia</w:t>
      </w:r>
      <w:r w:rsidR="001E5E9D" w:rsidRPr="003C4BD7">
        <w:rPr>
          <w:rFonts w:ascii="Century Schoolbook" w:hAnsi="Century Schoolbook" w:cstheme="minorHAnsi"/>
          <w:sz w:val="24"/>
          <w:szCs w:val="24"/>
          <w:lang w:val="en-IN"/>
        </w:rPr>
        <w:t xml:space="preserve"> </w:t>
      </w:r>
      <w:r w:rsidRPr="003C4BD7">
        <w:rPr>
          <w:rFonts w:ascii="Century Schoolbook" w:hAnsi="Century Schoolbook" w:cstheme="minorHAnsi"/>
          <w:sz w:val="24"/>
          <w:szCs w:val="24"/>
          <w:lang w:val="en-IN"/>
        </w:rPr>
        <w:t xml:space="preserve">as follows: </w:t>
      </w:r>
    </w:p>
    <w:p w14:paraId="22774FE7" w14:textId="78D2FB3A" w:rsidR="00A709A9" w:rsidRPr="003C4BD7" w:rsidRDefault="00A709A9" w:rsidP="00A709A9">
      <w:pPr>
        <w:pStyle w:val="ListParagraph"/>
        <w:tabs>
          <w:tab w:val="left" w:pos="9000"/>
        </w:tabs>
        <w:spacing w:after="0" w:line="360" w:lineRule="auto"/>
        <w:jc w:val="both"/>
        <w:rPr>
          <w:rFonts w:ascii="Century Schoolbook" w:hAnsi="Century Schoolbook" w:cstheme="minorHAnsi"/>
          <w:i/>
          <w:sz w:val="24"/>
          <w:szCs w:val="24"/>
          <w:lang w:val="en-IN"/>
        </w:rPr>
      </w:pPr>
      <w:r w:rsidRPr="003C4BD7">
        <w:rPr>
          <w:rFonts w:ascii="Century Schoolbook" w:hAnsi="Century Schoolbook" w:cstheme="minorHAnsi"/>
          <w:i/>
          <w:sz w:val="24"/>
          <w:szCs w:val="24"/>
          <w:lang w:val="en-IN"/>
        </w:rPr>
        <w:t>“As per existing practice being foll</w:t>
      </w:r>
      <w:r w:rsidR="001E5E9D" w:rsidRPr="003C4BD7">
        <w:rPr>
          <w:rFonts w:ascii="Century Schoolbook" w:hAnsi="Century Schoolbook" w:cstheme="minorHAnsi"/>
          <w:i/>
          <w:sz w:val="24"/>
          <w:szCs w:val="24"/>
          <w:lang w:val="en-IN"/>
        </w:rPr>
        <w:t>o</w:t>
      </w:r>
      <w:r w:rsidRPr="003C4BD7">
        <w:rPr>
          <w:rFonts w:ascii="Century Schoolbook" w:hAnsi="Century Schoolbook" w:cstheme="minorHAnsi"/>
          <w:i/>
          <w:sz w:val="24"/>
          <w:szCs w:val="24"/>
          <w:lang w:val="en-IN"/>
        </w:rPr>
        <w:t>wed in the Ministry for considering such violation cases as and when these are submitted for environmental clearance, while envi</w:t>
      </w:r>
      <w:r w:rsidR="001E5E9D" w:rsidRPr="003C4BD7">
        <w:rPr>
          <w:rFonts w:ascii="Century Schoolbook" w:hAnsi="Century Schoolbook" w:cstheme="minorHAnsi"/>
          <w:i/>
          <w:sz w:val="24"/>
          <w:szCs w:val="24"/>
          <w:lang w:val="en-IN"/>
        </w:rPr>
        <w:t>ronmental clearance</w:t>
      </w:r>
      <w:r w:rsidRPr="003C4BD7">
        <w:rPr>
          <w:rFonts w:ascii="Century Schoolbook" w:hAnsi="Century Schoolbook" w:cstheme="minorHAnsi"/>
          <w:i/>
          <w:sz w:val="24"/>
          <w:szCs w:val="24"/>
          <w:lang w:val="en-IN"/>
        </w:rPr>
        <w:t xml:space="preserve"> is granted to deserving projects prospectively, based on their merit, in accordanc</w:t>
      </w:r>
      <w:r w:rsidR="001E5E9D" w:rsidRPr="003C4BD7">
        <w:rPr>
          <w:rFonts w:ascii="Century Schoolbook" w:hAnsi="Century Schoolbook" w:cstheme="minorHAnsi"/>
          <w:i/>
          <w:sz w:val="24"/>
          <w:szCs w:val="24"/>
          <w:lang w:val="en-IN"/>
        </w:rPr>
        <w:t>e</w:t>
      </w:r>
      <w:r w:rsidRPr="003C4BD7">
        <w:rPr>
          <w:rFonts w:ascii="Century Schoolbook" w:hAnsi="Century Schoolbook" w:cstheme="minorHAnsi"/>
          <w:i/>
          <w:sz w:val="24"/>
          <w:szCs w:val="24"/>
          <w:lang w:val="en-IN"/>
        </w:rPr>
        <w:t xml:space="preserve">  with the recommen</w:t>
      </w:r>
      <w:r w:rsidR="001E5E9D" w:rsidRPr="003C4BD7">
        <w:rPr>
          <w:rFonts w:ascii="Century Schoolbook" w:hAnsi="Century Schoolbook" w:cstheme="minorHAnsi"/>
          <w:i/>
          <w:sz w:val="24"/>
          <w:szCs w:val="24"/>
          <w:lang w:val="en-IN"/>
        </w:rPr>
        <w:t>d</w:t>
      </w:r>
      <w:r w:rsidRPr="003C4BD7">
        <w:rPr>
          <w:rFonts w:ascii="Century Schoolbook" w:hAnsi="Century Schoolbook" w:cstheme="minorHAnsi"/>
          <w:i/>
          <w:sz w:val="24"/>
          <w:szCs w:val="24"/>
          <w:lang w:val="en-IN"/>
        </w:rPr>
        <w:t>ation of the Expert Appraisal Committees, simultaneously the concerned State Governments, under</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the powers delegated to them under</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the Environm</w:t>
      </w:r>
      <w:r w:rsidR="001E5E9D" w:rsidRPr="003C4BD7">
        <w:rPr>
          <w:rFonts w:ascii="Century Schoolbook" w:hAnsi="Century Schoolbook" w:cstheme="minorHAnsi"/>
          <w:i/>
          <w:sz w:val="24"/>
          <w:szCs w:val="24"/>
          <w:lang w:val="en-IN"/>
        </w:rPr>
        <w:t xml:space="preserve">ent </w:t>
      </w:r>
      <w:r w:rsidRPr="003C4BD7">
        <w:rPr>
          <w:rFonts w:ascii="Century Schoolbook" w:hAnsi="Century Schoolbook" w:cstheme="minorHAnsi"/>
          <w:i/>
          <w:sz w:val="24"/>
          <w:szCs w:val="24"/>
          <w:lang w:val="en-IN"/>
        </w:rPr>
        <w:t>(Protection) Act, 1986 are requested to initiate action against such units for the period these units have operated in violation of the said Act as</w:t>
      </w:r>
      <w:r w:rsidR="001E5E9D" w:rsidRPr="003C4BD7">
        <w:rPr>
          <w:rFonts w:ascii="Century Schoolbook" w:hAnsi="Century Schoolbook" w:cstheme="minorHAnsi"/>
          <w:i/>
          <w:sz w:val="24"/>
          <w:szCs w:val="24"/>
          <w:lang w:val="en-IN"/>
        </w:rPr>
        <w:t xml:space="preserve"> </w:t>
      </w:r>
      <w:r w:rsidRPr="003C4BD7">
        <w:rPr>
          <w:rFonts w:ascii="Century Schoolbook" w:hAnsi="Century Schoolbook" w:cstheme="minorHAnsi"/>
          <w:i/>
          <w:sz w:val="24"/>
          <w:szCs w:val="24"/>
          <w:lang w:val="en-IN"/>
        </w:rPr>
        <w:t xml:space="preserve">per procedure laid down.” </w:t>
      </w:r>
    </w:p>
    <w:p w14:paraId="68D34714" w14:textId="68707CCA" w:rsidR="00A709A9" w:rsidRPr="003C4BD7" w:rsidRDefault="00A709A9" w:rsidP="001E5E9D">
      <w:pPr>
        <w:pStyle w:val="ListParagraph"/>
        <w:tabs>
          <w:tab w:val="left" w:pos="9000"/>
        </w:tabs>
        <w:spacing w:after="0" w:line="360" w:lineRule="auto"/>
        <w:jc w:val="both"/>
        <w:rPr>
          <w:rFonts w:ascii="Century Schoolbook" w:hAnsi="Century Schoolbook" w:cstheme="minorHAnsi"/>
          <w:sz w:val="24"/>
          <w:szCs w:val="24"/>
          <w:lang w:val="en-IN"/>
        </w:rPr>
      </w:pPr>
      <w:r w:rsidRPr="003C4BD7">
        <w:rPr>
          <w:rFonts w:ascii="Century Schoolbook" w:hAnsi="Century Schoolbook" w:cstheme="minorHAnsi"/>
          <w:sz w:val="24"/>
          <w:szCs w:val="24"/>
          <w:lang w:val="en-IN"/>
        </w:rPr>
        <w:t xml:space="preserve">Further, the </w:t>
      </w:r>
      <w:proofErr w:type="spellStart"/>
      <w:r w:rsidRPr="003C4BD7">
        <w:rPr>
          <w:rFonts w:ascii="Century Schoolbook" w:hAnsi="Century Schoolbook" w:cstheme="minorHAnsi"/>
          <w:sz w:val="24"/>
          <w:szCs w:val="24"/>
          <w:lang w:val="en-IN"/>
        </w:rPr>
        <w:t>MoEF</w:t>
      </w:r>
      <w:proofErr w:type="spellEnd"/>
      <w:r w:rsidRPr="003C4BD7">
        <w:rPr>
          <w:rFonts w:ascii="Century Schoolbook" w:hAnsi="Century Schoolbook" w:cstheme="minorHAnsi"/>
          <w:sz w:val="24"/>
          <w:szCs w:val="24"/>
          <w:lang w:val="en-IN"/>
        </w:rPr>
        <w:t xml:space="preserve"> laid down a detailed procedure </w:t>
      </w:r>
      <w:r w:rsidR="001E5E9D" w:rsidRPr="003C4BD7">
        <w:rPr>
          <w:rFonts w:ascii="Century Schoolbook" w:hAnsi="Century Schoolbook" w:cstheme="minorHAnsi"/>
          <w:sz w:val="24"/>
          <w:szCs w:val="24"/>
          <w:lang w:val="en-IN"/>
        </w:rPr>
        <w:t>to</w:t>
      </w:r>
      <w:r w:rsidR="00EB6260" w:rsidRPr="003C4BD7">
        <w:rPr>
          <w:rFonts w:ascii="Century Schoolbook" w:hAnsi="Century Schoolbook" w:cstheme="minorHAnsi"/>
          <w:sz w:val="24"/>
          <w:szCs w:val="24"/>
          <w:lang w:val="en-IN"/>
        </w:rPr>
        <w:t xml:space="preserve"> </w:t>
      </w:r>
      <w:r w:rsidR="001E5E9D" w:rsidRPr="003C4BD7">
        <w:rPr>
          <w:rFonts w:ascii="Century Schoolbook" w:hAnsi="Century Schoolbook" w:cstheme="minorHAnsi"/>
          <w:sz w:val="24"/>
          <w:szCs w:val="24"/>
          <w:lang w:val="en-IN"/>
        </w:rPr>
        <w:t>deal with such violations</w:t>
      </w:r>
      <w:r w:rsidR="00CE772B" w:rsidRPr="003C4BD7">
        <w:rPr>
          <w:rFonts w:ascii="Century Schoolbook" w:hAnsi="Century Schoolbook" w:cstheme="minorHAnsi"/>
          <w:sz w:val="24"/>
          <w:szCs w:val="24"/>
          <w:lang w:val="en-IN"/>
        </w:rPr>
        <w:t>.</w:t>
      </w:r>
    </w:p>
    <w:p w14:paraId="3C54B6F9" w14:textId="12023253" w:rsidR="00837C6B" w:rsidRPr="003C4BD7" w:rsidRDefault="00837C6B" w:rsidP="00837C6B">
      <w:pPr>
        <w:pStyle w:val="ListParagraph"/>
        <w:spacing w:after="0" w:line="360" w:lineRule="auto"/>
        <w:jc w:val="both"/>
        <w:rPr>
          <w:rFonts w:ascii="Century Schoolbook" w:hAnsi="Century Schoolbook" w:cstheme="minorHAnsi"/>
          <w:sz w:val="24"/>
          <w:szCs w:val="24"/>
        </w:rPr>
      </w:pPr>
    </w:p>
    <w:p w14:paraId="7951654D" w14:textId="3B3EC690" w:rsidR="00A727F6" w:rsidRPr="003C4BD7" w:rsidRDefault="00A727F6" w:rsidP="00837C6B">
      <w:pPr>
        <w:pStyle w:val="ListParagraph"/>
        <w:spacing w:after="0" w:line="360" w:lineRule="auto"/>
        <w:jc w:val="both"/>
        <w:rPr>
          <w:rFonts w:ascii="Century Schoolbook" w:hAnsi="Century Schoolbook" w:cstheme="minorHAnsi"/>
          <w:i/>
          <w:sz w:val="24"/>
          <w:szCs w:val="24"/>
          <w:u w:val="single"/>
        </w:rPr>
      </w:pPr>
      <w:r w:rsidRPr="003C4BD7">
        <w:rPr>
          <w:rFonts w:ascii="Century Schoolbook" w:hAnsi="Century Schoolbook" w:cstheme="minorHAnsi"/>
          <w:i/>
          <w:sz w:val="24"/>
          <w:szCs w:val="24"/>
          <w:u w:val="single"/>
        </w:rPr>
        <w:t>Period from 2010 - present</w:t>
      </w:r>
    </w:p>
    <w:p w14:paraId="2BEBD975" w14:textId="77777777" w:rsidR="00A727F6" w:rsidRPr="003C4BD7" w:rsidRDefault="00A727F6" w:rsidP="00837C6B">
      <w:pPr>
        <w:pStyle w:val="ListParagraph"/>
        <w:spacing w:after="0" w:line="360" w:lineRule="auto"/>
        <w:jc w:val="both"/>
        <w:rPr>
          <w:rFonts w:ascii="Century Schoolbook" w:hAnsi="Century Schoolbook" w:cstheme="minorHAnsi"/>
          <w:sz w:val="24"/>
          <w:szCs w:val="24"/>
        </w:rPr>
      </w:pPr>
    </w:p>
    <w:p w14:paraId="6B59BB74" w14:textId="1C2AD7D7" w:rsidR="00384924" w:rsidRPr="003C4BD7" w:rsidRDefault="00384924" w:rsidP="009909A5">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A notification no.S.O.804(E) dated 14</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March 2017 was issued by MOEF laying down the procedure to consider the applications for EC by the lease holders who did not take the EC for their projects or expansion or modernization of their existing projects under EIA 2006. Another notification no. S.O.1030(E) dated 8</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March 2018 was issued making various amendments in the notification dated 14</w:t>
      </w:r>
      <w:r w:rsidRPr="003C4BD7">
        <w:rPr>
          <w:rFonts w:ascii="Century Schoolbook" w:hAnsi="Century Schoolbook" w:cstheme="minorHAnsi"/>
          <w:sz w:val="24"/>
          <w:szCs w:val="24"/>
          <w:vertAlign w:val="superscript"/>
        </w:rPr>
        <w:t>th</w:t>
      </w:r>
      <w:r w:rsidRPr="003C4BD7">
        <w:rPr>
          <w:rFonts w:ascii="Century Schoolbook" w:hAnsi="Century Schoolbook" w:cstheme="minorHAnsi"/>
          <w:sz w:val="24"/>
          <w:szCs w:val="24"/>
        </w:rPr>
        <w:t xml:space="preserve"> March 2017.</w:t>
      </w:r>
      <w:r w:rsidR="00CE772B" w:rsidRPr="003C4BD7">
        <w:rPr>
          <w:rFonts w:ascii="Century Schoolbook" w:hAnsi="Century Schoolbook" w:cstheme="minorHAnsi"/>
          <w:sz w:val="24"/>
          <w:szCs w:val="24"/>
        </w:rPr>
        <w:t xml:space="preserve"> A copy of the Notification no.S.O.804(E) dated 14</w:t>
      </w:r>
      <w:r w:rsidR="00CE772B" w:rsidRPr="003C4BD7">
        <w:rPr>
          <w:rFonts w:ascii="Century Schoolbook" w:hAnsi="Century Schoolbook" w:cstheme="minorHAnsi"/>
          <w:sz w:val="24"/>
          <w:szCs w:val="24"/>
          <w:vertAlign w:val="superscript"/>
        </w:rPr>
        <w:t>th</w:t>
      </w:r>
      <w:r w:rsidR="00CE772B" w:rsidRPr="003C4BD7">
        <w:rPr>
          <w:rFonts w:ascii="Century Schoolbook" w:hAnsi="Century Schoolbook" w:cstheme="minorHAnsi"/>
          <w:sz w:val="24"/>
          <w:szCs w:val="24"/>
        </w:rPr>
        <w:t xml:space="preserve"> March, 2017</w:t>
      </w:r>
      <w:r w:rsidR="00527A36" w:rsidRPr="003C4BD7">
        <w:rPr>
          <w:rFonts w:ascii="Century Schoolbook" w:hAnsi="Century Schoolbook" w:cstheme="minorHAnsi"/>
          <w:sz w:val="24"/>
          <w:szCs w:val="24"/>
        </w:rPr>
        <w:t xml:space="preserve"> and No. S.O.1030(E) dated 8</w:t>
      </w:r>
      <w:r w:rsidR="00527A36" w:rsidRPr="003C4BD7">
        <w:rPr>
          <w:rFonts w:ascii="Century Schoolbook" w:hAnsi="Century Schoolbook" w:cstheme="minorHAnsi"/>
          <w:sz w:val="24"/>
          <w:szCs w:val="24"/>
          <w:vertAlign w:val="superscript"/>
        </w:rPr>
        <w:t>th</w:t>
      </w:r>
      <w:r w:rsidR="00527A36" w:rsidRPr="003C4BD7">
        <w:rPr>
          <w:rFonts w:ascii="Century Schoolbook" w:hAnsi="Century Schoolbook" w:cstheme="minorHAnsi"/>
          <w:sz w:val="24"/>
          <w:szCs w:val="24"/>
        </w:rPr>
        <w:t xml:space="preserve"> March 2018</w:t>
      </w:r>
      <w:r w:rsidR="00CE772B" w:rsidRPr="003C4BD7">
        <w:rPr>
          <w:rFonts w:ascii="Century Schoolbook" w:hAnsi="Century Schoolbook" w:cstheme="minorHAnsi"/>
          <w:sz w:val="24"/>
          <w:szCs w:val="24"/>
        </w:rPr>
        <w:t xml:space="preserve"> is annexed herewith as </w:t>
      </w:r>
      <w:r w:rsidR="00CE772B" w:rsidRPr="003C4BD7">
        <w:rPr>
          <w:rFonts w:ascii="Century Schoolbook" w:hAnsi="Century Schoolbook" w:cstheme="minorHAnsi"/>
          <w:b/>
          <w:sz w:val="24"/>
          <w:szCs w:val="24"/>
        </w:rPr>
        <w:t>Annexure – 4</w:t>
      </w:r>
      <w:r w:rsidR="00527A36" w:rsidRPr="003C4BD7">
        <w:rPr>
          <w:rFonts w:ascii="Century Schoolbook" w:hAnsi="Century Schoolbook" w:cstheme="minorHAnsi"/>
          <w:b/>
          <w:sz w:val="24"/>
          <w:szCs w:val="24"/>
        </w:rPr>
        <w:t xml:space="preserve"> &amp; 5.</w:t>
      </w:r>
    </w:p>
    <w:p w14:paraId="22BBA699" w14:textId="77777777" w:rsidR="00837C6B" w:rsidRPr="003C4BD7" w:rsidRDefault="00837C6B" w:rsidP="00837C6B">
      <w:pPr>
        <w:pStyle w:val="ListParagraph"/>
        <w:rPr>
          <w:rFonts w:ascii="Century Schoolbook" w:hAnsi="Century Schoolbook" w:cstheme="minorHAnsi"/>
          <w:sz w:val="24"/>
          <w:szCs w:val="24"/>
        </w:rPr>
      </w:pPr>
    </w:p>
    <w:p w14:paraId="120F158E" w14:textId="6C02813C" w:rsidR="00837C6B" w:rsidRPr="003C4BD7" w:rsidRDefault="00837C6B" w:rsidP="00837C6B">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color w:val="000000"/>
          <w:sz w:val="24"/>
          <w:szCs w:val="24"/>
        </w:rPr>
        <w:t>Recently, the Hon’ble Supreme Court in its judgment dated 2</w:t>
      </w:r>
      <w:r w:rsidRPr="003C4BD7">
        <w:rPr>
          <w:rFonts w:ascii="Century Schoolbook" w:hAnsi="Century Schoolbook" w:cstheme="minorHAnsi"/>
          <w:color w:val="000000"/>
          <w:sz w:val="24"/>
          <w:szCs w:val="24"/>
          <w:vertAlign w:val="superscript"/>
        </w:rPr>
        <w:t>nd</w:t>
      </w:r>
      <w:r w:rsidRPr="003C4BD7">
        <w:rPr>
          <w:rFonts w:ascii="Century Schoolbook" w:hAnsi="Century Schoolbook" w:cstheme="minorHAnsi"/>
          <w:color w:val="000000"/>
          <w:sz w:val="24"/>
          <w:szCs w:val="24"/>
        </w:rPr>
        <w:t xml:space="preserve"> February, 2018 in the case of Goa Foundation vs. M/s </w:t>
      </w:r>
      <w:proofErr w:type="spellStart"/>
      <w:r w:rsidRPr="003C4BD7">
        <w:rPr>
          <w:rFonts w:ascii="Century Schoolbook" w:hAnsi="Century Schoolbook" w:cstheme="minorHAnsi"/>
          <w:color w:val="000000"/>
          <w:sz w:val="24"/>
          <w:szCs w:val="24"/>
        </w:rPr>
        <w:t>Sesa</w:t>
      </w:r>
      <w:proofErr w:type="spellEnd"/>
      <w:r w:rsidRPr="003C4BD7">
        <w:rPr>
          <w:rFonts w:ascii="Century Schoolbook" w:hAnsi="Century Schoolbook" w:cstheme="minorHAnsi"/>
          <w:color w:val="000000"/>
          <w:sz w:val="24"/>
          <w:szCs w:val="24"/>
        </w:rPr>
        <w:t xml:space="preserve"> </w:t>
      </w:r>
      <w:r w:rsidRPr="003C4BD7">
        <w:rPr>
          <w:rFonts w:ascii="Century Schoolbook" w:hAnsi="Century Schoolbook" w:cstheme="minorHAnsi"/>
          <w:sz w:val="24"/>
          <w:szCs w:val="24"/>
        </w:rPr>
        <w:t>has held that the validity of the EC for mining projects granted under 1994 shall be</w:t>
      </w:r>
      <w:r w:rsidR="00702C7C" w:rsidRPr="003C4BD7">
        <w:rPr>
          <w:rFonts w:ascii="Century Schoolbook" w:hAnsi="Century Schoolbook" w:cstheme="minorHAnsi"/>
          <w:sz w:val="24"/>
          <w:szCs w:val="24"/>
        </w:rPr>
        <w:t xml:space="preserve"> of</w:t>
      </w:r>
      <w:r w:rsidRPr="003C4BD7">
        <w:rPr>
          <w:rFonts w:ascii="Century Schoolbook" w:hAnsi="Century Schoolbook" w:cstheme="minorHAnsi"/>
          <w:sz w:val="24"/>
          <w:szCs w:val="24"/>
        </w:rPr>
        <w:t xml:space="preserve"> five years and as per para 9 of EIA 2006, the EC shall be valid for the estimated project life subject to a maximum of 30 years. </w:t>
      </w:r>
    </w:p>
    <w:p w14:paraId="67BAA354" w14:textId="77777777" w:rsidR="00837C6B" w:rsidRPr="003C4BD7" w:rsidRDefault="00837C6B" w:rsidP="00837C6B">
      <w:pPr>
        <w:pStyle w:val="ListParagraph"/>
        <w:spacing w:after="0" w:line="360" w:lineRule="auto"/>
        <w:jc w:val="both"/>
        <w:rPr>
          <w:rFonts w:ascii="Century Schoolbook" w:hAnsi="Century Schoolbook" w:cstheme="minorHAnsi"/>
          <w:sz w:val="24"/>
          <w:szCs w:val="24"/>
        </w:rPr>
      </w:pPr>
    </w:p>
    <w:p w14:paraId="5DE65D86" w14:textId="6EB530C9" w:rsidR="00837C6B" w:rsidRPr="003C4BD7" w:rsidRDefault="00837C6B" w:rsidP="009909A5">
      <w:pPr>
        <w:pStyle w:val="ListParagraph"/>
        <w:numPr>
          <w:ilvl w:val="1"/>
          <w:numId w:val="1"/>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Accordingly, MOEF issued a notification no.S.O.1530(E) dated 06.04.2018 directing that the mining projects who have taken EC under EIA 1994 but did not take EC under EIA 2006 for expansion/modernization/amendment, were directed to make applications for EC within 6 months from the date of notification as per EIA 2006 for grant of EC which would be considered by the concerned Committee and decide</w:t>
      </w:r>
      <w:r w:rsidR="00702C7C" w:rsidRPr="003C4BD7">
        <w:rPr>
          <w:rFonts w:ascii="Century Schoolbook" w:hAnsi="Century Schoolbook" w:cstheme="minorHAnsi"/>
          <w:sz w:val="24"/>
          <w:szCs w:val="24"/>
        </w:rPr>
        <w:t>d.</w:t>
      </w:r>
      <w:r w:rsidR="00015F06" w:rsidRPr="003C4BD7">
        <w:rPr>
          <w:rFonts w:ascii="Century Schoolbook" w:hAnsi="Century Schoolbook" w:cstheme="minorHAnsi"/>
          <w:sz w:val="24"/>
          <w:szCs w:val="24"/>
        </w:rPr>
        <w:t xml:space="preserve"> A copy of the Notification no.S.O.1530(E) dated 06.04.2018 is annexed herewith as </w:t>
      </w:r>
      <w:r w:rsidR="00CE772B" w:rsidRPr="003C4BD7">
        <w:rPr>
          <w:rFonts w:ascii="Century Schoolbook" w:hAnsi="Century Schoolbook" w:cstheme="minorHAnsi"/>
          <w:b/>
          <w:sz w:val="24"/>
          <w:szCs w:val="24"/>
        </w:rPr>
        <w:t xml:space="preserve">Annexure – </w:t>
      </w:r>
      <w:r w:rsidR="00527A36" w:rsidRPr="003C4BD7">
        <w:rPr>
          <w:rFonts w:ascii="Century Schoolbook" w:hAnsi="Century Schoolbook" w:cstheme="minorHAnsi"/>
          <w:b/>
          <w:sz w:val="24"/>
          <w:szCs w:val="24"/>
        </w:rPr>
        <w:t>6</w:t>
      </w:r>
      <w:r w:rsidR="00CE772B" w:rsidRPr="003C4BD7">
        <w:rPr>
          <w:rFonts w:ascii="Century Schoolbook" w:hAnsi="Century Schoolbook" w:cstheme="minorHAnsi"/>
          <w:b/>
          <w:sz w:val="24"/>
          <w:szCs w:val="24"/>
        </w:rPr>
        <w:t>.</w:t>
      </w:r>
    </w:p>
    <w:p w14:paraId="51611509" w14:textId="77777777" w:rsidR="00CE772B" w:rsidRPr="003C4BD7" w:rsidRDefault="00CE772B" w:rsidP="00CE772B">
      <w:pPr>
        <w:pStyle w:val="ListParagraph"/>
        <w:spacing w:after="0" w:line="360" w:lineRule="auto"/>
        <w:jc w:val="both"/>
        <w:rPr>
          <w:rFonts w:ascii="Century Schoolbook" w:hAnsi="Century Schoolbook" w:cstheme="minorHAnsi"/>
          <w:sz w:val="24"/>
          <w:szCs w:val="24"/>
        </w:rPr>
      </w:pPr>
    </w:p>
    <w:p w14:paraId="4B296719" w14:textId="77777777" w:rsidR="002F6A3B" w:rsidRPr="003C4BD7" w:rsidRDefault="002F6A3B" w:rsidP="002F6A3B">
      <w:pPr>
        <w:pStyle w:val="ListParagraph"/>
        <w:numPr>
          <w:ilvl w:val="0"/>
          <w:numId w:val="1"/>
        </w:numPr>
        <w:spacing w:line="360" w:lineRule="auto"/>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t xml:space="preserve">Directions issued by the Supreme Court in </w:t>
      </w:r>
      <w:r w:rsidRPr="003C4BD7">
        <w:rPr>
          <w:rFonts w:ascii="Century Schoolbook" w:hAnsi="Century Schoolbook" w:cstheme="minorHAnsi"/>
          <w:b/>
          <w:i/>
          <w:sz w:val="24"/>
          <w:szCs w:val="24"/>
          <w:u w:val="single"/>
        </w:rPr>
        <w:t>“Common Cause v. Union of India”</w:t>
      </w:r>
    </w:p>
    <w:p w14:paraId="512D2AF7" w14:textId="19AADE93" w:rsidR="00837C6B" w:rsidRPr="003C4BD7" w:rsidRDefault="002F6A3B" w:rsidP="002F6A3B">
      <w:pPr>
        <w:pStyle w:val="ListParagraph"/>
        <w:spacing w:line="360" w:lineRule="auto"/>
        <w:rPr>
          <w:rFonts w:ascii="Century Schoolbook" w:hAnsi="Century Schoolbook" w:cstheme="minorHAnsi"/>
          <w:b/>
          <w:sz w:val="24"/>
          <w:szCs w:val="24"/>
          <w:u w:val="single"/>
        </w:rPr>
      </w:pPr>
      <w:r w:rsidRPr="003C4BD7">
        <w:rPr>
          <w:rFonts w:ascii="Century Schoolbook" w:hAnsi="Century Schoolbook" w:cstheme="minorHAnsi"/>
          <w:b/>
          <w:i/>
          <w:sz w:val="24"/>
          <w:szCs w:val="24"/>
          <w:u w:val="single"/>
        </w:rPr>
        <w:t xml:space="preserve"> </w:t>
      </w:r>
    </w:p>
    <w:p w14:paraId="7E0CBC87" w14:textId="1D9BCC05" w:rsidR="002F6A3B" w:rsidRPr="003C4BD7" w:rsidRDefault="00E36301" w:rsidP="003F2757">
      <w:pPr>
        <w:pStyle w:val="ListParagraph"/>
        <w:numPr>
          <w:ilvl w:val="1"/>
          <w:numId w:val="1"/>
        </w:numPr>
        <w:spacing w:after="0" w:line="360" w:lineRule="auto"/>
        <w:jc w:val="both"/>
        <w:rPr>
          <w:rFonts w:ascii="Century Schoolbook" w:hAnsi="Century Schoolbook" w:cstheme="minorHAnsi"/>
          <w:color w:val="000000"/>
          <w:sz w:val="24"/>
          <w:szCs w:val="24"/>
        </w:rPr>
      </w:pPr>
      <w:r w:rsidRPr="003C4BD7">
        <w:rPr>
          <w:rFonts w:ascii="Century Schoolbook" w:hAnsi="Century Schoolbook" w:cstheme="minorHAnsi"/>
          <w:sz w:val="24"/>
          <w:szCs w:val="24"/>
        </w:rPr>
        <w:t>The Hon’ble Supreme Court in its judgment dated 02.08.2017 in the case of Common Case of Union of India, has issued the following directions:</w:t>
      </w:r>
    </w:p>
    <w:p w14:paraId="49A9824D" w14:textId="06F8962C" w:rsidR="002F6A3B" w:rsidRPr="003C4BD7" w:rsidRDefault="002F6A3B" w:rsidP="002F6A3B">
      <w:pPr>
        <w:pStyle w:val="ListParagraph"/>
        <w:spacing w:after="0" w:line="360" w:lineRule="auto"/>
        <w:jc w:val="both"/>
        <w:rPr>
          <w:rFonts w:ascii="Century Schoolbook" w:hAnsi="Century Schoolbook" w:cstheme="minorHAnsi"/>
          <w:b/>
          <w:sz w:val="24"/>
          <w:szCs w:val="24"/>
          <w:u w:val="single"/>
        </w:rPr>
      </w:pPr>
    </w:p>
    <w:p w14:paraId="09A5D36E" w14:textId="360E0EB0" w:rsidR="002F6A3B" w:rsidRPr="003C4BD7" w:rsidRDefault="002F6A3B" w:rsidP="002F6A3B">
      <w:pPr>
        <w:pStyle w:val="ListParagraph"/>
        <w:spacing w:after="0" w:line="360" w:lineRule="auto"/>
        <w:jc w:val="both"/>
        <w:rPr>
          <w:rFonts w:ascii="Century Schoolbook" w:hAnsi="Century Schoolbook" w:cstheme="minorHAnsi"/>
          <w:i/>
          <w:sz w:val="24"/>
          <w:szCs w:val="24"/>
        </w:rPr>
      </w:pPr>
      <w:r w:rsidRPr="003C4BD7">
        <w:rPr>
          <w:rFonts w:ascii="Century Schoolbook" w:hAnsi="Century Schoolbook" w:cstheme="minorHAnsi"/>
          <w:i/>
          <w:sz w:val="24"/>
          <w:szCs w:val="24"/>
        </w:rPr>
        <w:t>“Para 186.</w:t>
      </w:r>
    </w:p>
    <w:p w14:paraId="1A8C386F"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A mining project that has commenced prior to 27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1994 and has obtained a No Objection Certificate from the SPCB prior to that date is permitted to continue its mining operations without obtaining an EC from the Impact Assessment Agency. However, this is subject to any expansion (including an increase in the lease area) or modernization activity after 27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1994 which would result in an increase in the pollution load. In that event, a prior EC is required. However, if the pollution load is not expected to increase despite the proposed expansion (including any increase in the lease area) or modernization activity, a certificate to this effect is absolutely </w:t>
      </w:r>
      <w:r w:rsidRPr="003C4BD7">
        <w:rPr>
          <w:rFonts w:ascii="Century Schoolbook" w:hAnsi="Century Schoolbook" w:cstheme="minorHAnsi"/>
          <w:i/>
          <w:color w:val="000000"/>
          <w:sz w:val="24"/>
          <w:szCs w:val="24"/>
        </w:rPr>
        <w:lastRenderedPageBreak/>
        <w:t>necessary from the SPCB, which would be reviewed by the Impact Assessment Agency.</w:t>
      </w:r>
    </w:p>
    <w:p w14:paraId="105DB4FF" w14:textId="77777777" w:rsidR="00E36301" w:rsidRPr="003C4BD7" w:rsidRDefault="00E36301" w:rsidP="009909A5">
      <w:pPr>
        <w:pStyle w:val="ListParagraph"/>
        <w:spacing w:after="0" w:line="360" w:lineRule="auto"/>
        <w:ind w:left="1440"/>
        <w:jc w:val="both"/>
        <w:rPr>
          <w:rFonts w:ascii="Century Schoolbook" w:hAnsi="Century Schoolbook" w:cstheme="minorHAnsi"/>
          <w:i/>
          <w:color w:val="000000"/>
          <w:sz w:val="24"/>
          <w:szCs w:val="24"/>
        </w:rPr>
      </w:pPr>
    </w:p>
    <w:p w14:paraId="75F556BA"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The renewal of a mining lease after 27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1994 will require an EC even if there is no expansion or modernization activity or any increase in the pollution load.</w:t>
      </w:r>
    </w:p>
    <w:p w14:paraId="600D1155"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705EDC24"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For considering the pollution load the base year would be 1993-94 which is to say that if the annual production after 27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1994 exceeds the annual production of 1993-94, it would be treated as an expansion requiring an EC.</w:t>
      </w:r>
    </w:p>
    <w:p w14:paraId="0230515C"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12ADE8B4"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There is no doubt that a new mining project after 27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1994 would require a prior EC.</w:t>
      </w:r>
    </w:p>
    <w:p w14:paraId="34C4F04D" w14:textId="77777777" w:rsidR="002A00D9" w:rsidRPr="003C4BD7" w:rsidRDefault="002A00D9" w:rsidP="009909A5">
      <w:pPr>
        <w:pStyle w:val="ListParagraph"/>
        <w:spacing w:line="360" w:lineRule="auto"/>
        <w:rPr>
          <w:rFonts w:ascii="Century Schoolbook" w:hAnsi="Century Schoolbook" w:cstheme="minorHAnsi"/>
          <w:i/>
          <w:color w:val="000000"/>
          <w:sz w:val="24"/>
          <w:szCs w:val="24"/>
        </w:rPr>
      </w:pPr>
    </w:p>
    <w:p w14:paraId="02437937"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 xml:space="preserve">Any iron ore or manganese ore extracted contrary to EIA 1994 or EIA 2006 would constitute illegal or unlawful mining (as understood and interpreted by us) and compensation at 100% of the price of the mineral should be recovered from 2000-2001 onwards in terms of Section 21(5) of the MMDR Act, if the extracted mineral has been disposed of. In addition, any rent, royalty or tax for the period for such mining activity was </w:t>
      </w:r>
      <w:r w:rsidR="00E36301" w:rsidRPr="003C4BD7">
        <w:rPr>
          <w:rFonts w:ascii="Century Schoolbook" w:hAnsi="Century Schoolbook" w:cstheme="minorHAnsi"/>
          <w:i/>
          <w:color w:val="000000"/>
          <w:sz w:val="24"/>
          <w:szCs w:val="24"/>
        </w:rPr>
        <w:t xml:space="preserve">carried out outside the mining </w:t>
      </w:r>
      <w:r w:rsidRPr="003C4BD7">
        <w:rPr>
          <w:rFonts w:ascii="Century Schoolbook" w:hAnsi="Century Schoolbook" w:cstheme="minorHAnsi"/>
          <w:i/>
          <w:color w:val="000000"/>
          <w:sz w:val="24"/>
          <w:szCs w:val="24"/>
        </w:rPr>
        <w:t>lease area should be recovered.</w:t>
      </w:r>
    </w:p>
    <w:p w14:paraId="718DF224"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6D8F5400"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With effect from 14</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September 2006 all mining projects having a lease area of 5 </w:t>
      </w:r>
      <w:proofErr w:type="spellStart"/>
      <w:r w:rsidRPr="003C4BD7">
        <w:rPr>
          <w:rFonts w:ascii="Century Schoolbook" w:hAnsi="Century Schoolbook" w:cstheme="minorHAnsi"/>
          <w:i/>
          <w:color w:val="000000"/>
          <w:sz w:val="24"/>
          <w:szCs w:val="24"/>
        </w:rPr>
        <w:t>hactares</w:t>
      </w:r>
      <w:proofErr w:type="spellEnd"/>
      <w:r w:rsidRPr="003C4BD7">
        <w:rPr>
          <w:rFonts w:ascii="Century Schoolbook" w:hAnsi="Century Schoolbook" w:cstheme="minorHAnsi"/>
          <w:i/>
          <w:color w:val="000000"/>
          <w:sz w:val="24"/>
          <w:szCs w:val="24"/>
        </w:rPr>
        <w:t xml:space="preserve"> or more are required to have an EC. The extraction of any material in such a case without an EC would amount to illegal or unlawful mining attracting the provisions of Section 21(5) of the MMDR Act.</w:t>
      </w:r>
    </w:p>
    <w:p w14:paraId="2E967DC3"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5E635BC2" w14:textId="5F5BD374"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lastRenderedPageBreak/>
        <w:t xml:space="preserve">For a mining lease of iron ore or manganese ore of less than 5 </w:t>
      </w:r>
      <w:r w:rsidR="003C4BD7" w:rsidRPr="003C4BD7">
        <w:rPr>
          <w:rFonts w:ascii="Century Schoolbook" w:hAnsi="Century Schoolbook" w:cstheme="minorHAnsi"/>
          <w:i/>
          <w:color w:val="000000"/>
          <w:sz w:val="24"/>
          <w:szCs w:val="24"/>
        </w:rPr>
        <w:t>hectares</w:t>
      </w:r>
      <w:r w:rsidRPr="003C4BD7">
        <w:rPr>
          <w:rFonts w:ascii="Century Schoolbook" w:hAnsi="Century Schoolbook" w:cstheme="minorHAnsi"/>
          <w:i/>
          <w:color w:val="000000"/>
          <w:sz w:val="24"/>
          <w:szCs w:val="24"/>
        </w:rPr>
        <w:t xml:space="preserve"> area, the provisions of EIA 1994 will continue to apply subject to EIA 2006.</w:t>
      </w:r>
    </w:p>
    <w:p w14:paraId="24C40AFA"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0FE5E912"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Any mining activity carried on after 7</w:t>
      </w:r>
      <w:r w:rsidRPr="003C4BD7">
        <w:rPr>
          <w:rFonts w:ascii="Century Schoolbook" w:hAnsi="Century Schoolbook" w:cstheme="minorHAnsi"/>
          <w:i/>
          <w:color w:val="000000"/>
          <w:sz w:val="24"/>
          <w:szCs w:val="24"/>
          <w:vertAlign w:val="superscript"/>
        </w:rPr>
        <w:t>th</w:t>
      </w:r>
      <w:r w:rsidRPr="003C4BD7">
        <w:rPr>
          <w:rFonts w:ascii="Century Schoolbook" w:hAnsi="Century Schoolbook" w:cstheme="minorHAnsi"/>
          <w:i/>
          <w:color w:val="000000"/>
          <w:sz w:val="24"/>
          <w:szCs w:val="24"/>
        </w:rPr>
        <w:t xml:space="preserve"> January 1998 without an FC amounts to illegal or unlawful mining in terms of the provisions of Section 21(5) of MMDR Act attracting 100% recovery of the price of the extracted mineral that is disposed of.</w:t>
      </w:r>
    </w:p>
    <w:p w14:paraId="4B68E68F" w14:textId="77777777" w:rsidR="00E36301"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In the event of any overlap, that is, illegal or unlawful mining without an FC or without an EC or without both would attract only 100% compensation and not 200% compensation. In other words, only one set of compensation would be payable by the mining lease holder.</w:t>
      </w:r>
    </w:p>
    <w:p w14:paraId="1261E6F4" w14:textId="77777777" w:rsidR="00E36301" w:rsidRPr="003C4BD7" w:rsidRDefault="00E36301" w:rsidP="009909A5">
      <w:pPr>
        <w:pStyle w:val="ListParagraph"/>
        <w:spacing w:line="360" w:lineRule="auto"/>
        <w:rPr>
          <w:rFonts w:ascii="Century Schoolbook" w:hAnsi="Century Schoolbook" w:cstheme="minorHAnsi"/>
          <w:i/>
          <w:color w:val="000000"/>
          <w:sz w:val="24"/>
          <w:szCs w:val="24"/>
        </w:rPr>
      </w:pPr>
    </w:p>
    <w:p w14:paraId="50E5D171" w14:textId="2DACC898" w:rsidR="00A6568B" w:rsidRPr="003C4BD7" w:rsidRDefault="00A6568B" w:rsidP="009909A5">
      <w:pPr>
        <w:pStyle w:val="ListParagraph"/>
        <w:numPr>
          <w:ilvl w:val="0"/>
          <w:numId w:val="2"/>
        </w:numPr>
        <w:spacing w:after="0" w:line="360" w:lineRule="auto"/>
        <w:ind w:left="1440" w:hanging="720"/>
        <w:jc w:val="both"/>
        <w:rPr>
          <w:rFonts w:ascii="Century Schoolbook" w:hAnsi="Century Schoolbook" w:cstheme="minorHAnsi"/>
          <w:i/>
          <w:color w:val="000000"/>
          <w:sz w:val="24"/>
          <w:szCs w:val="24"/>
        </w:rPr>
      </w:pPr>
      <w:r w:rsidRPr="003C4BD7">
        <w:rPr>
          <w:rFonts w:ascii="Century Schoolbook" w:hAnsi="Century Schoolbook" w:cstheme="minorHAnsi"/>
          <w:i/>
          <w:color w:val="000000"/>
          <w:sz w:val="24"/>
          <w:szCs w:val="24"/>
        </w:rPr>
        <w:t xml:space="preserve">No mining lease holder will be entitled to the benefit of any payments made towards NPV or additional NPV or penal </w:t>
      </w:r>
      <w:r w:rsidR="00E37D54" w:rsidRPr="003C4BD7">
        <w:rPr>
          <w:rFonts w:ascii="Century Schoolbook" w:hAnsi="Century Schoolbook" w:cstheme="minorHAnsi"/>
          <w:i/>
          <w:color w:val="000000"/>
          <w:sz w:val="24"/>
          <w:szCs w:val="24"/>
        </w:rPr>
        <w:t>compensatory afforestation.</w:t>
      </w:r>
      <w:r w:rsidR="002F6A3B" w:rsidRPr="003C4BD7">
        <w:rPr>
          <w:rFonts w:ascii="Century Schoolbook" w:hAnsi="Century Schoolbook" w:cstheme="minorHAnsi"/>
          <w:i/>
          <w:color w:val="000000"/>
          <w:sz w:val="24"/>
          <w:szCs w:val="24"/>
        </w:rPr>
        <w:t>”</w:t>
      </w:r>
    </w:p>
    <w:p w14:paraId="1BA0BBBD" w14:textId="77777777" w:rsidR="00E37D54" w:rsidRPr="003C4BD7" w:rsidRDefault="00E37D54" w:rsidP="009909A5">
      <w:pPr>
        <w:spacing w:after="0" w:line="360" w:lineRule="auto"/>
        <w:rPr>
          <w:rFonts w:ascii="Century Schoolbook" w:hAnsi="Century Schoolbook" w:cstheme="minorHAnsi"/>
          <w:color w:val="000000"/>
          <w:sz w:val="24"/>
          <w:szCs w:val="24"/>
        </w:rPr>
      </w:pPr>
    </w:p>
    <w:p w14:paraId="004EF36B" w14:textId="18D27F5B" w:rsidR="00C07E9E" w:rsidRPr="003C4BD7" w:rsidRDefault="00384924" w:rsidP="002F6A3B">
      <w:pPr>
        <w:spacing w:after="0" w:line="360" w:lineRule="auto"/>
        <w:jc w:val="both"/>
        <w:rPr>
          <w:rFonts w:ascii="Century Schoolbook" w:hAnsi="Century Schoolbook" w:cstheme="minorHAnsi"/>
          <w:color w:val="000000"/>
          <w:sz w:val="24"/>
          <w:szCs w:val="24"/>
        </w:rPr>
      </w:pPr>
      <w:r w:rsidRPr="003C4BD7">
        <w:rPr>
          <w:rFonts w:ascii="Century Schoolbook" w:hAnsi="Century Schoolbook" w:cstheme="minorHAnsi"/>
          <w:color w:val="000000"/>
          <w:sz w:val="24"/>
          <w:szCs w:val="24"/>
        </w:rPr>
        <w:t>In the light of the directions issued by the Hon’ble Supreme Court in the case of Common</w:t>
      </w:r>
      <w:r w:rsidR="002F6A3B" w:rsidRPr="003C4BD7">
        <w:rPr>
          <w:rFonts w:ascii="Century Schoolbook" w:hAnsi="Century Schoolbook" w:cstheme="minorHAnsi"/>
          <w:color w:val="000000"/>
          <w:sz w:val="24"/>
          <w:szCs w:val="24"/>
        </w:rPr>
        <w:t xml:space="preserve"> </w:t>
      </w:r>
      <w:r w:rsidRPr="003C4BD7">
        <w:rPr>
          <w:rFonts w:ascii="Century Schoolbook" w:hAnsi="Century Schoolbook" w:cstheme="minorHAnsi"/>
          <w:color w:val="000000"/>
          <w:sz w:val="24"/>
          <w:szCs w:val="24"/>
        </w:rPr>
        <w:t>Cause, MOEF issued an Office Memorandum dated 30</w:t>
      </w:r>
      <w:r w:rsidRPr="003C4BD7">
        <w:rPr>
          <w:rFonts w:ascii="Century Schoolbook" w:hAnsi="Century Schoolbook" w:cstheme="minorHAnsi"/>
          <w:color w:val="000000"/>
          <w:sz w:val="24"/>
          <w:szCs w:val="24"/>
          <w:vertAlign w:val="superscript"/>
        </w:rPr>
        <w:t>th</w:t>
      </w:r>
      <w:r w:rsidRPr="003C4BD7">
        <w:rPr>
          <w:rFonts w:ascii="Century Schoolbook" w:hAnsi="Century Schoolbook" w:cstheme="minorHAnsi"/>
          <w:color w:val="000000"/>
          <w:sz w:val="24"/>
          <w:szCs w:val="24"/>
        </w:rPr>
        <w:t xml:space="preserve"> May 2018, directing the State Governments to ensure that mining operations of the project proponent who have filed application for EC in terms of notifications dated 14.03.2017 and 08.03.2018</w:t>
      </w:r>
      <w:r w:rsidR="00C07E9E" w:rsidRPr="003C4BD7">
        <w:rPr>
          <w:rFonts w:ascii="Century Schoolbook" w:hAnsi="Century Schoolbook" w:cstheme="minorHAnsi"/>
          <w:color w:val="000000"/>
          <w:sz w:val="24"/>
          <w:szCs w:val="24"/>
        </w:rPr>
        <w:t>, till the entire compensation as directed in the case of Common Cause is paid to the respective Department of Mining &amp; Geology.</w:t>
      </w:r>
    </w:p>
    <w:p w14:paraId="45CB47EF" w14:textId="77777777" w:rsidR="00AB7BA8" w:rsidRPr="003C4BD7" w:rsidRDefault="00AB7BA8" w:rsidP="00AB7BA8">
      <w:pPr>
        <w:pStyle w:val="ListParagraph"/>
        <w:rPr>
          <w:rFonts w:ascii="Century Schoolbook" w:hAnsi="Century Schoolbook" w:cstheme="minorHAnsi"/>
          <w:sz w:val="24"/>
          <w:szCs w:val="24"/>
        </w:rPr>
      </w:pPr>
    </w:p>
    <w:p w14:paraId="5553D75F" w14:textId="77777777" w:rsidR="00AB7BA8" w:rsidRPr="003C4BD7" w:rsidRDefault="00AB7BA8" w:rsidP="00AB7BA8">
      <w:pPr>
        <w:pStyle w:val="ListParagraph"/>
        <w:rPr>
          <w:rFonts w:ascii="Century Schoolbook" w:hAnsi="Century Schoolbook" w:cstheme="minorHAnsi"/>
          <w:sz w:val="24"/>
          <w:szCs w:val="24"/>
        </w:rPr>
      </w:pPr>
    </w:p>
    <w:p w14:paraId="04434C0C" w14:textId="7CE0DD5D" w:rsidR="005B19CC" w:rsidRPr="003C4BD7" w:rsidRDefault="005B19CC" w:rsidP="009909A5">
      <w:pPr>
        <w:pStyle w:val="ListParagraph"/>
        <w:numPr>
          <w:ilvl w:val="0"/>
          <w:numId w:val="1"/>
        </w:numPr>
        <w:spacing w:after="0" w:line="360" w:lineRule="auto"/>
        <w:jc w:val="both"/>
        <w:rPr>
          <w:rFonts w:ascii="Century Schoolbook" w:hAnsi="Century Schoolbook" w:cstheme="minorHAnsi"/>
          <w:b/>
          <w:sz w:val="24"/>
          <w:szCs w:val="24"/>
          <w:u w:val="single"/>
        </w:rPr>
      </w:pPr>
      <w:r w:rsidRPr="003C4BD7">
        <w:rPr>
          <w:rFonts w:ascii="Century Schoolbook" w:hAnsi="Century Schoolbook" w:cstheme="minorHAnsi"/>
          <w:b/>
          <w:sz w:val="24"/>
          <w:szCs w:val="24"/>
          <w:u w:val="single"/>
        </w:rPr>
        <w:t>Q</w:t>
      </w:r>
      <w:r w:rsidR="00036224">
        <w:rPr>
          <w:rFonts w:ascii="Century Schoolbook" w:hAnsi="Century Schoolbook" w:cstheme="minorHAnsi"/>
          <w:b/>
          <w:sz w:val="24"/>
          <w:szCs w:val="24"/>
          <w:u w:val="single"/>
        </w:rPr>
        <w:t>ueries</w:t>
      </w:r>
      <w:r w:rsidR="00AB0C7E" w:rsidRPr="003C4BD7">
        <w:rPr>
          <w:rFonts w:ascii="Century Schoolbook" w:hAnsi="Century Schoolbook" w:cstheme="minorHAnsi"/>
          <w:b/>
          <w:sz w:val="24"/>
          <w:szCs w:val="24"/>
          <w:u w:val="single"/>
        </w:rPr>
        <w:t xml:space="preserve"> by J. K. Cement</w:t>
      </w:r>
    </w:p>
    <w:p w14:paraId="24C913E5" w14:textId="77777777" w:rsidR="005B19CC" w:rsidRPr="003C4BD7" w:rsidRDefault="005B19CC" w:rsidP="009909A5">
      <w:pPr>
        <w:spacing w:after="0" w:line="360" w:lineRule="auto"/>
        <w:jc w:val="both"/>
        <w:rPr>
          <w:rFonts w:ascii="Century Schoolbook" w:hAnsi="Century Schoolbook" w:cstheme="minorHAnsi"/>
          <w:sz w:val="24"/>
          <w:szCs w:val="24"/>
        </w:rPr>
      </w:pPr>
    </w:p>
    <w:p w14:paraId="510D001F" w14:textId="77777777" w:rsidR="005B19CC" w:rsidRPr="003C4BD7" w:rsidRDefault="005B19CC" w:rsidP="009909A5">
      <w:p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In light of the above discussion, we solicit your legal opinion on the following issues:</w:t>
      </w:r>
    </w:p>
    <w:p w14:paraId="7ACA8D7C" w14:textId="77777777" w:rsidR="005B19CC" w:rsidRPr="003C4BD7" w:rsidRDefault="005B19CC" w:rsidP="009909A5">
      <w:pPr>
        <w:spacing w:after="0" w:line="360" w:lineRule="auto"/>
        <w:jc w:val="both"/>
        <w:rPr>
          <w:rFonts w:ascii="Century Schoolbook" w:hAnsi="Century Schoolbook" w:cstheme="minorHAnsi"/>
          <w:sz w:val="24"/>
          <w:szCs w:val="24"/>
        </w:rPr>
      </w:pPr>
    </w:p>
    <w:p w14:paraId="47A2C149"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 xml:space="preserve">As per ruling base year is taken as 1993-94, therefore for calculation of penalty whether the production of base year should be taken as reference </w:t>
      </w:r>
      <w:r w:rsidRPr="003C4BD7">
        <w:rPr>
          <w:rFonts w:ascii="Century Schoolbook" w:hAnsi="Century Schoolbook" w:cstheme="minorHAnsi"/>
          <w:sz w:val="24"/>
          <w:szCs w:val="24"/>
        </w:rPr>
        <w:lastRenderedPageBreak/>
        <w:t xml:space="preserve">and any production over this quantity is liable for penalty in the years 2000 till the EC was obtained? </w:t>
      </w:r>
    </w:p>
    <w:p w14:paraId="49DDF572" w14:textId="77777777" w:rsidR="008433CC" w:rsidRPr="003C4BD7" w:rsidRDefault="008433CC" w:rsidP="009909A5">
      <w:pPr>
        <w:pStyle w:val="ListParagraph"/>
        <w:spacing w:after="0" w:line="360" w:lineRule="auto"/>
        <w:ind w:left="1080"/>
        <w:jc w:val="both"/>
        <w:rPr>
          <w:rFonts w:ascii="Century Schoolbook" w:hAnsi="Century Schoolbook" w:cstheme="minorHAnsi"/>
          <w:sz w:val="24"/>
          <w:szCs w:val="24"/>
        </w:rPr>
      </w:pPr>
    </w:p>
    <w:p w14:paraId="631DEDC7"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Whether the directions issued by the Supreme Court in Common Cause were not restricted to only iron ore or manganese ore mining companies in the State of Orissa or every lease holder in India?</w:t>
      </w:r>
    </w:p>
    <w:p w14:paraId="0E37E38E"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11218685"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If our project is prior to 1994 and thus not obtained an EC, then in this situation whether it is mandatory to take a NOC from SPCB even if there is no expansion?</w:t>
      </w:r>
    </w:p>
    <w:p w14:paraId="4E325E2E" w14:textId="77777777" w:rsidR="008433CC" w:rsidRPr="003C4BD7" w:rsidRDefault="008433CC" w:rsidP="009909A5">
      <w:pPr>
        <w:pStyle w:val="ListParagraph"/>
        <w:spacing w:line="360" w:lineRule="auto"/>
        <w:ind w:left="1080"/>
        <w:jc w:val="both"/>
        <w:rPr>
          <w:rFonts w:ascii="Century Schoolbook" w:hAnsi="Century Schoolbook" w:cstheme="minorHAnsi"/>
          <w:sz w:val="24"/>
          <w:szCs w:val="24"/>
        </w:rPr>
      </w:pPr>
    </w:p>
    <w:p w14:paraId="7D53D795"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Whether the Consent to Operate granted by State Pollution Control Board for the operations of mines would falls definition of “NOC” from SPCB as held by the Supreme Court in the case of Common Cause?</w:t>
      </w:r>
    </w:p>
    <w:p w14:paraId="14827D45"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6D0C8992"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If the Consent to Operate from SPCB amounts to NOC, in that case whether the Querist would be liable for compensation?</w:t>
      </w:r>
    </w:p>
    <w:p w14:paraId="15068726"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367B7FDE"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Whether we are guilty of illegal mining when we have a valid Consent to Operate (CTO) from the State Pollution Control Board which was renewed from time to time?</w:t>
      </w:r>
    </w:p>
    <w:p w14:paraId="3AE530EE"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0592E6AB"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 xml:space="preserve">Once the State Government has given a CTO then should it not be deemed that all conditions mandatory to be complied with have been checked and thereby the mining cannot be termed illegal. </w:t>
      </w:r>
    </w:p>
    <w:p w14:paraId="6FA7D72E"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14F6EE3C" w14:textId="77777777" w:rsidR="008433CC" w:rsidRPr="003C4BD7" w:rsidRDefault="008433CC" w:rsidP="009909A5">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t xml:space="preserve">Whether it is not the State Government to ensure before issuing a Consent to Operate to insist for </w:t>
      </w:r>
      <w:proofErr w:type="gramStart"/>
      <w:r w:rsidRPr="003C4BD7">
        <w:rPr>
          <w:rFonts w:ascii="Century Schoolbook" w:hAnsi="Century Schoolbook" w:cstheme="minorHAnsi"/>
          <w:sz w:val="24"/>
          <w:szCs w:val="24"/>
        </w:rPr>
        <w:t>a</w:t>
      </w:r>
      <w:proofErr w:type="gramEnd"/>
      <w:r w:rsidRPr="003C4BD7">
        <w:rPr>
          <w:rFonts w:ascii="Century Schoolbook" w:hAnsi="Century Schoolbook" w:cstheme="minorHAnsi"/>
          <w:sz w:val="24"/>
          <w:szCs w:val="24"/>
        </w:rPr>
        <w:t xml:space="preserve"> EC to any industry and once such consent is issued, the State Government cannot turn back and claim compensation for the mining done with their consent?</w:t>
      </w:r>
    </w:p>
    <w:p w14:paraId="601E2446" w14:textId="77777777" w:rsidR="008433CC" w:rsidRPr="003C4BD7" w:rsidRDefault="008433CC" w:rsidP="009909A5">
      <w:pPr>
        <w:pStyle w:val="ListParagraph"/>
        <w:spacing w:line="360" w:lineRule="auto"/>
        <w:rPr>
          <w:rFonts w:ascii="Century Schoolbook" w:hAnsi="Century Schoolbook" w:cstheme="minorHAnsi"/>
          <w:sz w:val="24"/>
          <w:szCs w:val="24"/>
        </w:rPr>
      </w:pPr>
    </w:p>
    <w:p w14:paraId="5367AD7F" w14:textId="77777777" w:rsidR="00036224" w:rsidRDefault="008433CC" w:rsidP="00036224">
      <w:pPr>
        <w:pStyle w:val="ListParagraph"/>
        <w:numPr>
          <w:ilvl w:val="0"/>
          <w:numId w:val="4"/>
        </w:numPr>
        <w:spacing w:after="0" w:line="360" w:lineRule="auto"/>
        <w:jc w:val="both"/>
        <w:rPr>
          <w:rFonts w:ascii="Century Schoolbook" w:hAnsi="Century Schoolbook" w:cstheme="minorHAnsi"/>
          <w:sz w:val="24"/>
          <w:szCs w:val="24"/>
        </w:rPr>
      </w:pPr>
      <w:r w:rsidRPr="003C4BD7">
        <w:rPr>
          <w:rFonts w:ascii="Century Schoolbook" w:hAnsi="Century Schoolbook" w:cstheme="minorHAnsi"/>
          <w:sz w:val="24"/>
          <w:szCs w:val="24"/>
        </w:rPr>
        <w:lastRenderedPageBreak/>
        <w:t>Up-to what period the compensation to be calculated i.e. whether it is the date of the validity of the EC obtained by the Querist under EIA 1994 or till new EC applied for is granted under EIA 2006?</w:t>
      </w:r>
    </w:p>
    <w:p w14:paraId="4B77B7AE" w14:textId="77777777" w:rsidR="00036224" w:rsidRPr="00036224" w:rsidRDefault="00036224" w:rsidP="00036224">
      <w:pPr>
        <w:pStyle w:val="ListParagraph"/>
        <w:rPr>
          <w:rFonts w:ascii="Century Schoolbook" w:hAnsi="Century Schoolbook"/>
          <w:sz w:val="24"/>
          <w:szCs w:val="24"/>
        </w:rPr>
      </w:pPr>
    </w:p>
    <w:p w14:paraId="45CEB93F" w14:textId="77777777" w:rsidR="00036224" w:rsidRDefault="00255F20" w:rsidP="0047700D">
      <w:pPr>
        <w:pStyle w:val="ListParagraph"/>
        <w:numPr>
          <w:ilvl w:val="0"/>
          <w:numId w:val="4"/>
        </w:numPr>
        <w:spacing w:after="0" w:line="360" w:lineRule="auto"/>
        <w:jc w:val="both"/>
        <w:rPr>
          <w:rFonts w:ascii="Century Schoolbook" w:hAnsi="Century Schoolbook"/>
          <w:sz w:val="24"/>
          <w:szCs w:val="24"/>
        </w:rPr>
      </w:pPr>
      <w:r w:rsidRPr="00036224">
        <w:rPr>
          <w:rFonts w:ascii="Century Schoolbook" w:hAnsi="Century Schoolbook"/>
          <w:sz w:val="24"/>
          <w:szCs w:val="24"/>
        </w:rPr>
        <w:t>The querist seeks an opinion whether the compensation will be calculated for the period 2001 to 2003 only or beyond that also?</w:t>
      </w:r>
    </w:p>
    <w:p w14:paraId="26A58AD1" w14:textId="77777777" w:rsidR="00036224" w:rsidRPr="00036224" w:rsidRDefault="00036224" w:rsidP="00036224">
      <w:pPr>
        <w:pStyle w:val="ListParagraph"/>
        <w:rPr>
          <w:rFonts w:ascii="Century Schoolbook" w:hAnsi="Century Schoolbook"/>
          <w:sz w:val="24"/>
          <w:szCs w:val="24"/>
        </w:rPr>
      </w:pPr>
    </w:p>
    <w:p w14:paraId="6C31DB9C" w14:textId="28EA7672" w:rsidR="00255F20" w:rsidRPr="00036224" w:rsidRDefault="00255F20" w:rsidP="0047700D">
      <w:pPr>
        <w:pStyle w:val="ListParagraph"/>
        <w:numPr>
          <w:ilvl w:val="0"/>
          <w:numId w:val="4"/>
        </w:numPr>
        <w:spacing w:after="0" w:line="360" w:lineRule="auto"/>
        <w:jc w:val="both"/>
        <w:rPr>
          <w:rFonts w:ascii="Century Schoolbook" w:hAnsi="Century Schoolbook"/>
          <w:sz w:val="24"/>
          <w:szCs w:val="24"/>
        </w:rPr>
      </w:pPr>
      <w:r w:rsidRPr="00036224">
        <w:rPr>
          <w:rFonts w:ascii="Century Schoolbook" w:hAnsi="Century Schoolbook"/>
          <w:sz w:val="24"/>
          <w:szCs w:val="24"/>
        </w:rPr>
        <w:t xml:space="preserve">The querist seeks an opinion with regard to the term </w:t>
      </w:r>
      <w:r w:rsidRPr="00036224">
        <w:rPr>
          <w:rFonts w:ascii="Century Schoolbook" w:hAnsi="Century Schoolbook"/>
          <w:i/>
          <w:sz w:val="24"/>
          <w:szCs w:val="24"/>
        </w:rPr>
        <w:t xml:space="preserve">disposed of </w:t>
      </w:r>
      <w:r w:rsidRPr="00036224">
        <w:rPr>
          <w:rFonts w:ascii="Century Schoolbook" w:hAnsi="Century Schoolbook"/>
          <w:sz w:val="24"/>
          <w:szCs w:val="24"/>
        </w:rPr>
        <w:t xml:space="preserve">used in the paragraph. Whether the word </w:t>
      </w:r>
      <w:r w:rsidRPr="00036224">
        <w:rPr>
          <w:rFonts w:ascii="Century Schoolbook" w:hAnsi="Century Schoolbook"/>
          <w:i/>
          <w:sz w:val="24"/>
          <w:szCs w:val="24"/>
        </w:rPr>
        <w:t xml:space="preserve">disposed of </w:t>
      </w:r>
      <w:r w:rsidRPr="00036224">
        <w:rPr>
          <w:rFonts w:ascii="Century Schoolbook" w:hAnsi="Century Schoolbook"/>
          <w:sz w:val="24"/>
          <w:szCs w:val="24"/>
        </w:rPr>
        <w:t>means sale of</w:t>
      </w:r>
      <w:r w:rsidRPr="00036224">
        <w:rPr>
          <w:rFonts w:ascii="Century Schoolbook" w:hAnsi="Century Schoolbook"/>
          <w:i/>
          <w:sz w:val="24"/>
          <w:szCs w:val="24"/>
        </w:rPr>
        <w:t xml:space="preserve"> </w:t>
      </w:r>
      <w:r w:rsidRPr="00036224">
        <w:rPr>
          <w:rFonts w:ascii="Century Schoolbook" w:hAnsi="Century Schoolbook"/>
          <w:sz w:val="24"/>
          <w:szCs w:val="24"/>
        </w:rPr>
        <w:t>extracted mineral or whether dues, meaning the extracted mineral in that period?</w:t>
      </w:r>
    </w:p>
    <w:p w14:paraId="7DBDDDF1" w14:textId="77777777" w:rsidR="00255F20" w:rsidRPr="003C4BD7" w:rsidRDefault="00255F20" w:rsidP="000A2D82">
      <w:pPr>
        <w:pStyle w:val="ListParagraph"/>
        <w:jc w:val="both"/>
        <w:rPr>
          <w:rFonts w:ascii="Century Schoolbook" w:hAnsi="Century Schoolbook"/>
          <w:sz w:val="24"/>
          <w:szCs w:val="24"/>
        </w:rPr>
      </w:pPr>
    </w:p>
    <w:p w14:paraId="6B0EA101" w14:textId="77777777" w:rsidR="00E35CCF" w:rsidRPr="003C4BD7" w:rsidRDefault="00E35CCF" w:rsidP="00E35CCF">
      <w:pPr>
        <w:pStyle w:val="ListParagraph"/>
        <w:rPr>
          <w:rFonts w:ascii="Century Schoolbook" w:hAnsi="Century Schoolbook"/>
          <w:sz w:val="24"/>
          <w:szCs w:val="24"/>
        </w:rPr>
      </w:pPr>
    </w:p>
    <w:p w14:paraId="683827EE" w14:textId="77777777" w:rsidR="008433CC" w:rsidRPr="00527A36" w:rsidRDefault="008433CC" w:rsidP="009909A5">
      <w:pPr>
        <w:spacing w:after="0" w:line="360" w:lineRule="auto"/>
        <w:jc w:val="both"/>
        <w:rPr>
          <w:rFonts w:ascii="Century Schoolbook" w:hAnsi="Century Schoolbook" w:cstheme="minorHAnsi"/>
          <w:sz w:val="24"/>
          <w:szCs w:val="24"/>
        </w:rPr>
      </w:pPr>
    </w:p>
    <w:sectPr w:rsidR="008433CC" w:rsidRPr="00527A36" w:rsidSect="005B19CC">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1FF40" w14:textId="77777777" w:rsidR="00EB7500" w:rsidRDefault="00EB7500" w:rsidP="00CD6846">
      <w:pPr>
        <w:spacing w:after="0" w:line="240" w:lineRule="auto"/>
      </w:pPr>
      <w:r>
        <w:separator/>
      </w:r>
    </w:p>
  </w:endnote>
  <w:endnote w:type="continuationSeparator" w:id="0">
    <w:p w14:paraId="55353979" w14:textId="77777777" w:rsidR="00EB7500" w:rsidRDefault="00EB7500" w:rsidP="00CD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535716"/>
      <w:docPartObj>
        <w:docPartGallery w:val="Page Numbers (Bottom of Page)"/>
        <w:docPartUnique/>
      </w:docPartObj>
    </w:sdtPr>
    <w:sdtEndPr>
      <w:rPr>
        <w:noProof/>
      </w:rPr>
    </w:sdtEndPr>
    <w:sdtContent>
      <w:p w14:paraId="7E651E8D" w14:textId="4D97B67B" w:rsidR="00CD6846" w:rsidRDefault="00CD6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793BF" w14:textId="77777777" w:rsidR="00CD6846" w:rsidRDefault="00CD6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40B3D" w14:textId="77777777" w:rsidR="00EB7500" w:rsidRDefault="00EB7500" w:rsidP="00CD6846">
      <w:pPr>
        <w:spacing w:after="0" w:line="240" w:lineRule="auto"/>
      </w:pPr>
      <w:r>
        <w:separator/>
      </w:r>
    </w:p>
  </w:footnote>
  <w:footnote w:type="continuationSeparator" w:id="0">
    <w:p w14:paraId="49F22EC6" w14:textId="77777777" w:rsidR="00EB7500" w:rsidRDefault="00EB7500" w:rsidP="00CD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4EC"/>
    <w:multiLevelType w:val="hybridMultilevel"/>
    <w:tmpl w:val="DE6C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64CD6"/>
    <w:multiLevelType w:val="hybridMultilevel"/>
    <w:tmpl w:val="D4F0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671C9"/>
    <w:multiLevelType w:val="hybridMultilevel"/>
    <w:tmpl w:val="EC6E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31A6B"/>
    <w:multiLevelType w:val="hybridMultilevel"/>
    <w:tmpl w:val="32706F6A"/>
    <w:lvl w:ilvl="0" w:tplc="25A48E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65656"/>
    <w:multiLevelType w:val="hybridMultilevel"/>
    <w:tmpl w:val="44805032"/>
    <w:lvl w:ilvl="0" w:tplc="AE5818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38F"/>
    <w:multiLevelType w:val="hybridMultilevel"/>
    <w:tmpl w:val="18863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96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953469"/>
    <w:multiLevelType w:val="hybridMultilevel"/>
    <w:tmpl w:val="BFFEFE54"/>
    <w:lvl w:ilvl="0" w:tplc="9FA4CD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A6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B54FE0"/>
    <w:multiLevelType w:val="hybridMultilevel"/>
    <w:tmpl w:val="08D2D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E25820"/>
    <w:multiLevelType w:val="multilevel"/>
    <w:tmpl w:val="2C1C90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69C2F85"/>
    <w:multiLevelType w:val="hybridMultilevel"/>
    <w:tmpl w:val="9B6AE1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88722E"/>
    <w:multiLevelType w:val="hybridMultilevel"/>
    <w:tmpl w:val="427AC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F063AA"/>
    <w:multiLevelType w:val="hybridMultilevel"/>
    <w:tmpl w:val="E74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20A76"/>
    <w:multiLevelType w:val="hybridMultilevel"/>
    <w:tmpl w:val="0ABA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F3156"/>
    <w:multiLevelType w:val="hybridMultilevel"/>
    <w:tmpl w:val="E22682A4"/>
    <w:lvl w:ilvl="0" w:tplc="B9489D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37410"/>
    <w:multiLevelType w:val="hybridMultilevel"/>
    <w:tmpl w:val="B5F4D3F8"/>
    <w:lvl w:ilvl="0" w:tplc="EDBE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4115C"/>
    <w:multiLevelType w:val="hybridMultilevel"/>
    <w:tmpl w:val="01B6F6AE"/>
    <w:lvl w:ilvl="0" w:tplc="D6A4E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9269B6"/>
    <w:multiLevelType w:val="hybridMultilevel"/>
    <w:tmpl w:val="50A41702"/>
    <w:lvl w:ilvl="0" w:tplc="6C20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619D6"/>
    <w:multiLevelType w:val="hybridMultilevel"/>
    <w:tmpl w:val="FE688CE2"/>
    <w:lvl w:ilvl="0" w:tplc="99E67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D5146"/>
    <w:multiLevelType w:val="hybridMultilevel"/>
    <w:tmpl w:val="3BC20E42"/>
    <w:lvl w:ilvl="0" w:tplc="DBBE81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B3DC4"/>
    <w:multiLevelType w:val="hybridMultilevel"/>
    <w:tmpl w:val="8F366FC8"/>
    <w:lvl w:ilvl="0" w:tplc="DBBE81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86DC0"/>
    <w:multiLevelType w:val="multilevel"/>
    <w:tmpl w:val="344E0D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131440A"/>
    <w:multiLevelType w:val="hybridMultilevel"/>
    <w:tmpl w:val="DB4C6E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2E46999"/>
    <w:multiLevelType w:val="hybridMultilevel"/>
    <w:tmpl w:val="73701F8E"/>
    <w:lvl w:ilvl="0" w:tplc="DBBE8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3"/>
  </w:num>
  <w:num w:numId="8">
    <w:abstractNumId w:val="6"/>
  </w:num>
  <w:num w:numId="9">
    <w:abstractNumId w:val="3"/>
  </w:num>
  <w:num w:numId="10">
    <w:abstractNumId w:val="14"/>
  </w:num>
  <w:num w:numId="11">
    <w:abstractNumId w:val="1"/>
  </w:num>
  <w:num w:numId="12">
    <w:abstractNumId w:val="11"/>
  </w:num>
  <w:num w:numId="13">
    <w:abstractNumId w:val="0"/>
  </w:num>
  <w:num w:numId="14">
    <w:abstractNumId w:val="12"/>
  </w:num>
  <w:num w:numId="15">
    <w:abstractNumId w:val="9"/>
  </w:num>
  <w:num w:numId="16">
    <w:abstractNumId w:val="23"/>
  </w:num>
  <w:num w:numId="17">
    <w:abstractNumId w:val="24"/>
  </w:num>
  <w:num w:numId="18">
    <w:abstractNumId w:val="21"/>
  </w:num>
  <w:num w:numId="19">
    <w:abstractNumId w:val="20"/>
  </w:num>
  <w:num w:numId="20">
    <w:abstractNumId w:val="5"/>
  </w:num>
  <w:num w:numId="21">
    <w:abstractNumId w:val="2"/>
  </w:num>
  <w:num w:numId="22">
    <w:abstractNumId w:val="15"/>
  </w:num>
  <w:num w:numId="23">
    <w:abstractNumId w:val="16"/>
  </w:num>
  <w:num w:numId="24">
    <w:abstractNumId w:val="19"/>
  </w:num>
  <w:num w:numId="25">
    <w:abstractNumId w:val="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D17"/>
    <w:rsid w:val="00015F06"/>
    <w:rsid w:val="00020CFD"/>
    <w:rsid w:val="00032EE3"/>
    <w:rsid w:val="00036224"/>
    <w:rsid w:val="000A2D82"/>
    <w:rsid w:val="000B38D7"/>
    <w:rsid w:val="000D77FE"/>
    <w:rsid w:val="000E46DE"/>
    <w:rsid w:val="00154D28"/>
    <w:rsid w:val="00164CC2"/>
    <w:rsid w:val="00173FCF"/>
    <w:rsid w:val="001C4455"/>
    <w:rsid w:val="001E5E9D"/>
    <w:rsid w:val="00221613"/>
    <w:rsid w:val="00255F20"/>
    <w:rsid w:val="00263134"/>
    <w:rsid w:val="002A00D9"/>
    <w:rsid w:val="002F333A"/>
    <w:rsid w:val="002F6A3B"/>
    <w:rsid w:val="00341D17"/>
    <w:rsid w:val="003807F8"/>
    <w:rsid w:val="00384924"/>
    <w:rsid w:val="003C4BD7"/>
    <w:rsid w:val="003F2757"/>
    <w:rsid w:val="00412496"/>
    <w:rsid w:val="00443193"/>
    <w:rsid w:val="00520E8C"/>
    <w:rsid w:val="00527A36"/>
    <w:rsid w:val="005B19CC"/>
    <w:rsid w:val="005D2029"/>
    <w:rsid w:val="00637FC9"/>
    <w:rsid w:val="006645C4"/>
    <w:rsid w:val="006F46F8"/>
    <w:rsid w:val="00702C7C"/>
    <w:rsid w:val="00706C8A"/>
    <w:rsid w:val="00764519"/>
    <w:rsid w:val="00777AEE"/>
    <w:rsid w:val="00795515"/>
    <w:rsid w:val="007A22EE"/>
    <w:rsid w:val="00805C2B"/>
    <w:rsid w:val="00821F28"/>
    <w:rsid w:val="00837C6B"/>
    <w:rsid w:val="008433CC"/>
    <w:rsid w:val="008758E6"/>
    <w:rsid w:val="008B152A"/>
    <w:rsid w:val="009909A5"/>
    <w:rsid w:val="00A6568B"/>
    <w:rsid w:val="00A709A9"/>
    <w:rsid w:val="00A727F6"/>
    <w:rsid w:val="00A74346"/>
    <w:rsid w:val="00AB0C7E"/>
    <w:rsid w:val="00AB7BA8"/>
    <w:rsid w:val="00AE2A6C"/>
    <w:rsid w:val="00AE4E43"/>
    <w:rsid w:val="00B04488"/>
    <w:rsid w:val="00B81129"/>
    <w:rsid w:val="00B879AE"/>
    <w:rsid w:val="00BA2FE9"/>
    <w:rsid w:val="00BC6279"/>
    <w:rsid w:val="00BC65BA"/>
    <w:rsid w:val="00BE1C7D"/>
    <w:rsid w:val="00C07E9E"/>
    <w:rsid w:val="00C10171"/>
    <w:rsid w:val="00C14053"/>
    <w:rsid w:val="00C20C81"/>
    <w:rsid w:val="00C422B2"/>
    <w:rsid w:val="00C47125"/>
    <w:rsid w:val="00CD6846"/>
    <w:rsid w:val="00CE772B"/>
    <w:rsid w:val="00D25BEA"/>
    <w:rsid w:val="00D51E5E"/>
    <w:rsid w:val="00D737A2"/>
    <w:rsid w:val="00DA4F4F"/>
    <w:rsid w:val="00DA5A24"/>
    <w:rsid w:val="00DA5A8B"/>
    <w:rsid w:val="00DF073E"/>
    <w:rsid w:val="00E0674E"/>
    <w:rsid w:val="00E35CCF"/>
    <w:rsid w:val="00E36301"/>
    <w:rsid w:val="00E37D54"/>
    <w:rsid w:val="00EB6260"/>
    <w:rsid w:val="00EB7500"/>
    <w:rsid w:val="00EC0E4D"/>
    <w:rsid w:val="00F3449C"/>
    <w:rsid w:val="00F345C7"/>
    <w:rsid w:val="00F54E26"/>
    <w:rsid w:val="00F56619"/>
    <w:rsid w:val="00F775A7"/>
    <w:rsid w:val="00F80D21"/>
    <w:rsid w:val="00FD2C61"/>
    <w:rsid w:val="00FD7FB6"/>
    <w:rsid w:val="00FF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B9E9"/>
  <w15:chartTrackingRefBased/>
  <w15:docId w15:val="{1CE67D37-78F8-40DE-A7DB-41422517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58E6"/>
    <w:pPr>
      <w:ind w:left="720"/>
      <w:contextualSpacing/>
    </w:pPr>
  </w:style>
  <w:style w:type="paragraph" w:styleId="BalloonText">
    <w:name w:val="Balloon Text"/>
    <w:basedOn w:val="Normal"/>
    <w:link w:val="BalloonTextChar"/>
    <w:uiPriority w:val="99"/>
    <w:semiHidden/>
    <w:unhideWhenUsed/>
    <w:rsid w:val="00221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613"/>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9909A5"/>
  </w:style>
  <w:style w:type="table" w:styleId="TableGrid">
    <w:name w:val="Table Grid"/>
    <w:basedOn w:val="TableNormal"/>
    <w:uiPriority w:val="39"/>
    <w:rsid w:val="00B8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EE3"/>
    <w:rPr>
      <w:sz w:val="16"/>
      <w:szCs w:val="16"/>
    </w:rPr>
  </w:style>
  <w:style w:type="paragraph" w:styleId="CommentText">
    <w:name w:val="annotation text"/>
    <w:basedOn w:val="Normal"/>
    <w:link w:val="CommentTextChar"/>
    <w:uiPriority w:val="99"/>
    <w:semiHidden/>
    <w:unhideWhenUsed/>
    <w:rsid w:val="00032EE3"/>
    <w:pPr>
      <w:spacing w:line="240" w:lineRule="auto"/>
    </w:pPr>
    <w:rPr>
      <w:sz w:val="20"/>
      <w:szCs w:val="20"/>
    </w:rPr>
  </w:style>
  <w:style w:type="character" w:customStyle="1" w:styleId="CommentTextChar">
    <w:name w:val="Comment Text Char"/>
    <w:basedOn w:val="DefaultParagraphFont"/>
    <w:link w:val="CommentText"/>
    <w:uiPriority w:val="99"/>
    <w:semiHidden/>
    <w:rsid w:val="00032EE3"/>
    <w:rPr>
      <w:sz w:val="20"/>
      <w:szCs w:val="20"/>
    </w:rPr>
  </w:style>
  <w:style w:type="paragraph" w:styleId="CommentSubject">
    <w:name w:val="annotation subject"/>
    <w:basedOn w:val="CommentText"/>
    <w:next w:val="CommentText"/>
    <w:link w:val="CommentSubjectChar"/>
    <w:uiPriority w:val="99"/>
    <w:semiHidden/>
    <w:unhideWhenUsed/>
    <w:rsid w:val="00032EE3"/>
    <w:rPr>
      <w:b/>
      <w:bCs/>
    </w:rPr>
  </w:style>
  <w:style w:type="character" w:customStyle="1" w:styleId="CommentSubjectChar">
    <w:name w:val="Comment Subject Char"/>
    <w:basedOn w:val="CommentTextChar"/>
    <w:link w:val="CommentSubject"/>
    <w:uiPriority w:val="99"/>
    <w:semiHidden/>
    <w:rsid w:val="00032EE3"/>
    <w:rPr>
      <w:b/>
      <w:bCs/>
      <w:sz w:val="20"/>
      <w:szCs w:val="20"/>
    </w:rPr>
  </w:style>
  <w:style w:type="character" w:styleId="Hyperlink">
    <w:name w:val="Hyperlink"/>
    <w:basedOn w:val="DefaultParagraphFont"/>
    <w:uiPriority w:val="99"/>
    <w:unhideWhenUsed/>
    <w:rsid w:val="00BC65BA"/>
    <w:rPr>
      <w:color w:val="0563C1" w:themeColor="hyperlink"/>
      <w:u w:val="single"/>
    </w:rPr>
  </w:style>
  <w:style w:type="paragraph" w:styleId="Header">
    <w:name w:val="header"/>
    <w:basedOn w:val="Normal"/>
    <w:link w:val="HeaderChar"/>
    <w:uiPriority w:val="99"/>
    <w:unhideWhenUsed/>
    <w:rsid w:val="00CD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846"/>
  </w:style>
  <w:style w:type="paragraph" w:styleId="Footer">
    <w:name w:val="footer"/>
    <w:basedOn w:val="Normal"/>
    <w:link w:val="FooterChar"/>
    <w:uiPriority w:val="99"/>
    <w:unhideWhenUsed/>
    <w:rsid w:val="00CD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80118">
      <w:bodyDiv w:val="1"/>
      <w:marLeft w:val="0"/>
      <w:marRight w:val="0"/>
      <w:marTop w:val="0"/>
      <w:marBottom w:val="0"/>
      <w:divBdr>
        <w:top w:val="none" w:sz="0" w:space="0" w:color="auto"/>
        <w:left w:val="none" w:sz="0" w:space="0" w:color="auto"/>
        <w:bottom w:val="none" w:sz="0" w:space="0" w:color="auto"/>
        <w:right w:val="none" w:sz="0" w:space="0" w:color="auto"/>
      </w:divBdr>
    </w:div>
    <w:div w:id="786655061">
      <w:bodyDiv w:val="1"/>
      <w:marLeft w:val="0"/>
      <w:marRight w:val="0"/>
      <w:marTop w:val="0"/>
      <w:marBottom w:val="0"/>
      <w:divBdr>
        <w:top w:val="none" w:sz="0" w:space="0" w:color="auto"/>
        <w:left w:val="none" w:sz="0" w:space="0" w:color="auto"/>
        <w:bottom w:val="none" w:sz="0" w:space="0" w:color="auto"/>
        <w:right w:val="none" w:sz="0" w:space="0" w:color="auto"/>
      </w:divBdr>
    </w:div>
    <w:div w:id="926888174">
      <w:bodyDiv w:val="1"/>
      <w:marLeft w:val="0"/>
      <w:marRight w:val="0"/>
      <w:marTop w:val="0"/>
      <w:marBottom w:val="0"/>
      <w:divBdr>
        <w:top w:val="none" w:sz="0" w:space="0" w:color="auto"/>
        <w:left w:val="none" w:sz="0" w:space="0" w:color="auto"/>
        <w:bottom w:val="none" w:sz="0" w:space="0" w:color="auto"/>
        <w:right w:val="none" w:sz="0" w:space="0" w:color="auto"/>
      </w:divBdr>
    </w:div>
    <w:div w:id="1381857351">
      <w:bodyDiv w:val="1"/>
      <w:marLeft w:val="0"/>
      <w:marRight w:val="0"/>
      <w:marTop w:val="0"/>
      <w:marBottom w:val="0"/>
      <w:divBdr>
        <w:top w:val="none" w:sz="0" w:space="0" w:color="auto"/>
        <w:left w:val="none" w:sz="0" w:space="0" w:color="auto"/>
        <w:bottom w:val="none" w:sz="0" w:space="0" w:color="auto"/>
        <w:right w:val="none" w:sz="0" w:space="0" w:color="auto"/>
      </w:divBdr>
    </w:div>
    <w:div w:id="15798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293A-1C0C-46D2-99A6-C7FEC939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3341</Words>
  <Characters>19048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Shankar Paliwal</dc:creator>
  <cp:keywords/>
  <dc:description/>
  <cp:lastModifiedBy>DSNR</cp:lastModifiedBy>
  <cp:revision>10</cp:revision>
  <cp:lastPrinted>2018-07-20T04:56:00Z</cp:lastPrinted>
  <dcterms:created xsi:type="dcterms:W3CDTF">2018-08-14T05:41:00Z</dcterms:created>
  <dcterms:modified xsi:type="dcterms:W3CDTF">2018-08-14T07:36:00Z</dcterms:modified>
</cp:coreProperties>
</file>