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560" w:after="0" w:line="269" w:lineRule="auto"/>
        <w:jc w:val="both"/>
      </w:pPr>
    </w:p>
    <w:p>
      <w:pPr>
        <w:keepNext w:val="0"/>
        <w:spacing w:before="0" w:after="40" w:line="276" w:lineRule="auto"/>
        <w:jc w:val="center"/>
      </w:pPr>
      <w:r>
        <w:rPr>
          <w:rFonts w:ascii="Times New Roman" w:hAnsi="Times New Roman" w:eastAsia="Times New Roman" w:cs="Times New Roman"/>
          <w:b/>
          <w:i w:val="0"/>
          <w:color w:val="000000"/>
          <w:sz w:val="26"/>
        </w:rPr>
        <w:t>MAHARASHTRA INSTITUTE OF TECHNOLOGY, CHHATRAPATI SAMBHAJINAGAR</w:t>
      </w:r>
    </w:p>
    <w:p>
      <w:pPr>
        <w:keepNext w:val="0"/>
        <w:spacing w:before="0" w:after="40" w:line="276" w:lineRule="auto"/>
        <w:jc w:val="center"/>
      </w:pPr>
      <w:r>
        <w:rPr>
          <w:rFonts w:ascii="Times New Roman" w:hAnsi="Times New Roman" w:eastAsia="Times New Roman" w:cs="Times New Roman"/>
          <w:b w:val="0"/>
          <w:i/>
          <w:color w:val="000000"/>
          <w:sz w:val="20"/>
        </w:rPr>
        <w:t>(An Autonomous Institute Affiliated to Dr. BATU, Lonere)</w:t>
      </w:r>
    </w:p>
    <w:p>
      <w:pPr>
        <w:keepNext w:val="0"/>
        <w:spacing w:before="0" w:after="80" w:line="276" w:lineRule="auto"/>
        <w:jc w:val="center"/>
      </w:pPr>
      <w:r>
        <w:rPr>
          <w:rFonts w:ascii="Times New Roman" w:hAnsi="Times New Roman" w:eastAsia="Times New Roman" w:cs="Times New Roman"/>
          <w:b/>
          <w:i w:val="0"/>
          <w:color w:val="000000"/>
          <w:sz w:val="22"/>
        </w:rPr>
        <w:t>DEPARTMENT OF EMERGING SCIENCE AND TECHNOLOGY</w:t>
      </w:r>
    </w:p>
    <w:p>
      <w:pPr>
        <w:keepNext w:val="0"/>
        <w:spacing w:before="0" w:after="480" w:line="276" w:lineRule="auto"/>
        <w:jc w:val="center"/>
      </w:pPr>
      <w:r>
        <w:rPr>
          <w:rFonts w:ascii="Times New Roman" w:hAnsi="Times New Roman" w:eastAsia="Times New Roman" w:cs="Times New Roman"/>
          <w:b/>
          <w:i w:val="0"/>
          <w:color w:val="000000"/>
          <w:sz w:val="23"/>
        </w:rPr>
        <w:t>CONTINUOUS INTERNAL EVALUATION - 1 (CIE-1)</w:t>
      </w:r>
    </w:p>
    <w:p>
      <w:pPr>
        <w:keepNext w:val="0"/>
        <w:spacing w:before="0" w:after="120" w:line="276" w:lineRule="auto"/>
        <w:jc w:val="center"/>
      </w:pPr>
      <w:r>
        <w:rPr>
          <w:rFonts w:ascii="Times New Roman" w:hAnsi="Times New Roman" w:eastAsia="Times New Roman" w:cs="Times New Roman"/>
          <w:b/>
          <w:i w:val="0"/>
          <w:color w:val="000000"/>
          <w:sz w:val="21"/>
        </w:rPr>
        <w:t>SUBJECT: SUBMISSION OF AN APPLICATION INTERFACE USING NIELSEN'S USABILITY HEURISTICS</w:t>
      </w:r>
    </w:p>
    <w:p>
      <w:pPr>
        <w:keepNext w:val="0"/>
        <w:spacing w:before="0" w:after="640" w:line="276" w:lineRule="auto"/>
        <w:jc w:val="center"/>
      </w:pPr>
      <w:r>
        <w:rPr>
          <w:rFonts w:ascii="Times New Roman" w:hAnsi="Times New Roman" w:eastAsia="Times New Roman" w:cs="Times New Roman"/>
          <w:b/>
          <w:i w:val="0"/>
          <w:color w:val="000000"/>
          <w:sz w:val="32"/>
        </w:rPr>
        <w:t>ONLINE RAILWAY INFORMATION AND BOOKING APPLICATION (RAILSAFAR)</w:t>
      </w:r>
    </w:p>
    <w:p>
      <w:pPr>
        <w:keepNext w:val="0"/>
        <w:spacing w:before="0" w:after="40" w:line="276" w:lineRule="auto"/>
        <w:jc w:val="center"/>
      </w:pPr>
      <w:r>
        <w:rPr>
          <w:rFonts w:ascii="Times New Roman" w:hAnsi="Times New Roman" w:eastAsia="Times New Roman" w:cs="Times New Roman"/>
          <w:b w:val="0"/>
          <w:i/>
          <w:color w:val="000000"/>
          <w:sz w:val="20"/>
        </w:rPr>
        <w:t>Submitted in partial fulfillment of the requirements for the course</w:t>
      </w:r>
    </w:p>
    <w:p>
      <w:pPr>
        <w:keepNext w:val="0"/>
        <w:spacing w:before="0" w:after="480" w:line="276" w:lineRule="auto"/>
        <w:jc w:val="center"/>
      </w:pPr>
      <w:r>
        <w:rPr>
          <w:rFonts w:ascii="Times New Roman" w:hAnsi="Times New Roman" w:eastAsia="Times New Roman" w:cs="Times New Roman"/>
          <w:b/>
          <w:i w:val="0"/>
          <w:color w:val="000000"/>
          <w:sz w:val="25"/>
        </w:rPr>
        <w:t>Human-Computer Interaction (HCI)</w:t>
      </w:r>
    </w:p>
    <w:p>
      <w:pPr>
        <w:keepNext w:val="0"/>
        <w:spacing w:before="0" w:after="20" w:line="264" w:lineRule="auto"/>
        <w:jc w:val="center"/>
      </w:pPr>
      <w:r>
        <w:rPr>
          <w:rFonts w:ascii="Times New Roman" w:hAnsi="Times New Roman" w:eastAsia="Times New Roman" w:cs="Times New Roman"/>
          <w:b/>
          <w:i w:val="0"/>
          <w:color w:val="000000"/>
          <w:sz w:val="19"/>
        </w:rPr>
        <w:t>Submitted by</w:t>
      </w:r>
    </w:p>
    <w:p>
      <w:pPr>
        <w:keepNext w:val="0"/>
        <w:spacing w:before="0" w:after="160" w:line="264" w:lineRule="auto"/>
        <w:jc w:val="center"/>
      </w:pPr>
      <w:r>
        <w:rPr>
          <w:rFonts w:ascii="Times New Roman" w:hAnsi="Times New Roman" w:eastAsia="Times New Roman" w:cs="Times New Roman"/>
          <w:b w:val="0"/>
          <w:i w:val="0"/>
          <w:color w:val="000000"/>
          <w:sz w:val="21"/>
        </w:rPr>
        <w:t>Pranav Samadhan Khaire (Roll No. 49)</w:t>
      </w:r>
    </w:p>
    <w:p>
      <w:pPr>
        <w:keepNext w:val="0"/>
        <w:spacing w:before="0" w:after="20" w:line="264" w:lineRule="auto"/>
        <w:jc w:val="center"/>
      </w:pPr>
      <w:r>
        <w:rPr>
          <w:rFonts w:ascii="Times New Roman" w:hAnsi="Times New Roman" w:eastAsia="Times New Roman" w:cs="Times New Roman"/>
          <w:b/>
          <w:i w:val="0"/>
          <w:color w:val="000000"/>
          <w:sz w:val="19"/>
        </w:rPr>
        <w:t>Class &amp; Branch</w:t>
      </w:r>
    </w:p>
    <w:p>
      <w:pPr>
        <w:keepNext w:val="0"/>
        <w:spacing w:before="0" w:after="160" w:line="264" w:lineRule="auto"/>
        <w:jc w:val="center"/>
      </w:pPr>
      <w:r>
        <w:rPr>
          <w:rFonts w:ascii="Times New Roman" w:hAnsi="Times New Roman" w:eastAsia="Times New Roman" w:cs="Times New Roman"/>
          <w:b w:val="0"/>
          <w:i w:val="0"/>
          <w:color w:val="000000"/>
          <w:sz w:val="21"/>
        </w:rPr>
        <w:t>Third Year B.Tech (TY-C), Computer Science and Design</w:t>
      </w:r>
    </w:p>
    <w:p>
      <w:pPr>
        <w:keepNext w:val="0"/>
        <w:spacing w:before="0" w:after="20" w:line="264" w:lineRule="auto"/>
        <w:jc w:val="center"/>
      </w:pPr>
      <w:r>
        <w:rPr>
          <w:rFonts w:ascii="Times New Roman" w:hAnsi="Times New Roman" w:eastAsia="Times New Roman" w:cs="Times New Roman"/>
          <w:b/>
          <w:i w:val="0"/>
          <w:color w:val="000000"/>
          <w:sz w:val="19"/>
        </w:rPr>
        <w:t>Course Coordinator / Subject Teacher</w:t>
      </w:r>
    </w:p>
    <w:p>
      <w:pPr>
        <w:keepNext w:val="0"/>
        <w:spacing w:before="0" w:after="160" w:line="264" w:lineRule="auto"/>
        <w:jc w:val="center"/>
      </w:pPr>
      <w:r>
        <w:rPr>
          <w:rFonts w:ascii="Times New Roman" w:hAnsi="Times New Roman" w:eastAsia="Times New Roman" w:cs="Times New Roman"/>
          <w:b w:val="0"/>
          <w:i w:val="0"/>
          <w:color w:val="000000"/>
          <w:sz w:val="21"/>
        </w:rPr>
        <w:t>Mr. D. V. Thombare</w:t>
      </w:r>
    </w:p>
    <w:p>
      <w:pPr>
        <w:keepNext w:val="0"/>
        <w:spacing w:before="0" w:after="20" w:line="264" w:lineRule="auto"/>
        <w:jc w:val="center"/>
      </w:pPr>
      <w:r>
        <w:rPr>
          <w:rFonts w:ascii="Times New Roman" w:hAnsi="Times New Roman" w:eastAsia="Times New Roman" w:cs="Times New Roman"/>
          <w:b/>
          <w:i w:val="0"/>
          <w:color w:val="000000"/>
          <w:sz w:val="19"/>
        </w:rPr>
        <w:t>Head of Department</w:t>
      </w:r>
    </w:p>
    <w:p>
      <w:pPr>
        <w:keepNext w:val="0"/>
        <w:spacing w:before="0" w:after="160" w:line="264" w:lineRule="auto"/>
        <w:jc w:val="center"/>
      </w:pPr>
      <w:r>
        <w:rPr>
          <w:rFonts w:ascii="Times New Roman" w:hAnsi="Times New Roman" w:eastAsia="Times New Roman" w:cs="Times New Roman"/>
          <w:b w:val="0"/>
          <w:i w:val="0"/>
          <w:color w:val="000000"/>
          <w:sz w:val="21"/>
        </w:rPr>
        <w:t>Dr. K. V. Bhosale</w:t>
      </w:r>
    </w:p>
    <w:p>
      <w:pPr>
        <w:keepNext w:val="0"/>
        <w:spacing w:before="0" w:after="20" w:line="264" w:lineRule="auto"/>
        <w:jc w:val="center"/>
      </w:pPr>
      <w:r>
        <w:rPr>
          <w:rFonts w:ascii="Times New Roman" w:hAnsi="Times New Roman" w:eastAsia="Times New Roman" w:cs="Times New Roman"/>
          <w:b/>
          <w:i w:val="0"/>
          <w:color w:val="000000"/>
          <w:sz w:val="19"/>
        </w:rPr>
        <w:t>Date of Submission</w:t>
      </w:r>
    </w:p>
    <w:p>
      <w:pPr>
        <w:keepNext w:val="0"/>
        <w:spacing w:before="0" w:after="160" w:line="264" w:lineRule="auto"/>
        <w:jc w:val="center"/>
      </w:pPr>
      <w:r>
        <w:rPr>
          <w:rFonts w:ascii="Times New Roman" w:hAnsi="Times New Roman" w:eastAsia="Times New Roman" w:cs="Times New Roman"/>
          <w:b w:val="0"/>
          <w:i w:val="0"/>
          <w:color w:val="000000"/>
          <w:sz w:val="21"/>
        </w:rPr>
        <w:t>09 October 2026</w:t>
      </w:r>
    </w:p>
    <w:p>
      <w:pPr>
        <w:sectPr>
          <w:pgSz w:w="11906" w:h="16838"/>
          <w:pgMar w:top="907" w:right="1020" w:bottom="907" w:left="1247" w:header="720" w:footer="720" w:gutter="0"/>
          <w:cols w:space="720"/>
          <w:docGrid w:linePitch="360"/>
        </w:sectPr>
      </w:pPr>
    </w:p>
    <w:p>
      <w:pPr>
        <w:keepNext/>
        <w:spacing w:before="120" w:after="40" w:line="259" w:lineRule="auto"/>
        <w:jc w:val="left"/>
      </w:pPr>
      <w:r>
        <w:rPr>
          <w:rFonts w:ascii="Times New Roman" w:hAnsi="Times New Roman" w:eastAsia="Times New Roman" w:cs="Times New Roman"/>
          <w:b/>
          <w:i w:val="0"/>
          <w:color w:val="000000"/>
          <w:sz w:val="25"/>
        </w:rPr>
        <w:t>Table of Contents</w:t>
      </w:r>
    </w:p>
    <w:tbl>
      <w:tblPr>
        <w:tblW w:type="auto" w:w="0"/>
        <w:jc w:val="center"/>
        <w:tblLayout w:type="fixed"/>
        <w:tblLook w:firstColumn="1" w:firstRow="1" w:lastColumn="0" w:lastRow="0" w:noHBand="0" w:noVBand="1" w:val="04A0"/>
        <w:tblBorders>
          <w:top w:val="none"/>
          <w:left w:val="none"/>
          <w:bottom w:val="single" w:sz="6" w:space="0" w:color="000000"/>
          <w:right w:val="none"/>
          <w:insideH w:val="none"/>
          <w:insideV w:val="none"/>
        </w:tblBorders>
      </w:tblPr>
      <w:tblGrid>
        <w:gridCol w:w="3213"/>
        <w:gridCol w:w="3213"/>
        <w:gridCol w:w="3213"/>
      </w:tblGrid>
      <w:tr>
        <w:tc>
          <w:tcPr>
            <w:tcW w:type="dxa" w:w="1020"/>
          </w:tcPr>
          <w:p>
            <w:pPr>
              <w:spacing w:before="0" w:after="20"/>
              <w:jc w:val="left"/>
            </w:pPr>
            <w:r/>
            <w:r>
              <w:rPr>
                <w:rFonts w:ascii="Times New Roman" w:hAnsi="Times New Roman" w:eastAsia="Times New Roman" w:cs="Times New Roman"/>
                <w:b/>
                <w:i w:val="0"/>
                <w:color w:val="000000"/>
                <w:sz w:val="17"/>
              </w:rPr>
              <w:t>Section</w:t>
            </w:r>
          </w:p>
        </w:tc>
        <w:tc>
          <w:tcPr>
            <w:tcW w:type="dxa" w:w="7710"/>
          </w:tcPr>
          <w:p>
            <w:pPr>
              <w:spacing w:before="0" w:after="20"/>
              <w:jc w:val="left"/>
            </w:pPr>
            <w:r/>
            <w:r>
              <w:rPr>
                <w:rFonts w:ascii="Times New Roman" w:hAnsi="Times New Roman" w:eastAsia="Times New Roman" w:cs="Times New Roman"/>
                <w:b/>
                <w:i w:val="0"/>
                <w:color w:val="000000"/>
                <w:sz w:val="17"/>
              </w:rPr>
              <w:t>Title</w:t>
            </w:r>
          </w:p>
        </w:tc>
        <w:tc>
          <w:tcPr>
            <w:tcW w:type="dxa" w:w="680"/>
          </w:tcPr>
          <w:p>
            <w:pPr>
              <w:spacing w:before="0" w:after="20"/>
              <w:jc w:val="right"/>
            </w:pPr>
            <w:r/>
            <w:r>
              <w:rPr>
                <w:rFonts w:ascii="Times New Roman" w:hAnsi="Times New Roman" w:eastAsia="Times New Roman" w:cs="Times New Roman"/>
                <w:b/>
                <w:i w:val="0"/>
                <w:color w:val="000000"/>
                <w:sz w:val="17"/>
              </w:rPr>
              <w:t>Page</w:t>
            </w:r>
          </w:p>
        </w:tc>
      </w:tr>
      <w:tr>
        <w:tc>
          <w:tcPr>
            <w:tcW w:type="dxa" w:w="1020"/>
          </w:tcPr>
          <w:p>
            <w:pPr>
              <w:spacing w:before="0" w:after="10"/>
              <w:jc w:val="left"/>
            </w:pPr>
            <w:r/>
            <w:r>
              <w:rPr>
                <w:rFonts w:ascii="Times New Roman" w:hAnsi="Times New Roman" w:eastAsia="Times New Roman" w:cs="Times New Roman"/>
                <w:b/>
                <w:i w:val="0"/>
                <w:color w:val="000000"/>
                <w:sz w:val="16"/>
              </w:rPr>
              <w:t>1.</w:t>
            </w:r>
          </w:p>
        </w:tc>
        <w:tc>
          <w:tcPr>
            <w:tcW w:type="dxa" w:w="7710"/>
          </w:tcPr>
          <w:p>
            <w:pPr>
              <w:spacing w:before="0" w:after="10"/>
              <w:jc w:val="left"/>
            </w:pPr>
            <w:r/>
            <w:r>
              <w:rPr>
                <w:rFonts w:ascii="Times New Roman" w:hAnsi="Times New Roman" w:eastAsia="Times New Roman" w:cs="Times New Roman"/>
                <w:b/>
                <w:i w:val="0"/>
                <w:color w:val="000000"/>
                <w:sz w:val="16"/>
              </w:rPr>
              <w:t>Title of the Application</w:t>
            </w:r>
          </w:p>
        </w:tc>
        <w:tc>
          <w:tcPr>
            <w:tcW w:type="dxa" w:w="680"/>
          </w:tcPr>
          <w:p>
            <w:pPr>
              <w:spacing w:before="0" w:after="10"/>
              <w:jc w:val="right"/>
            </w:pPr>
            <w:r/>
            <w:r>
              <w:rPr>
                <w:rFonts w:ascii="Times New Roman" w:hAnsi="Times New Roman" w:eastAsia="Times New Roman" w:cs="Times New Roman"/>
                <w:b/>
                <w:i w:val="0"/>
                <w:color w:val="000000"/>
                <w:sz w:val="16"/>
              </w:rPr>
              <w:t>1</w:t>
            </w:r>
          </w:p>
        </w:tc>
      </w:tr>
      <w:tr>
        <w:tc>
          <w:tcPr>
            <w:tcW w:type="dxa" w:w="1020"/>
          </w:tcPr>
          <w:p>
            <w:pPr>
              <w:spacing w:before="0" w:after="10"/>
              <w:jc w:val="left"/>
            </w:pPr>
            <w:r/>
            <w:r>
              <w:rPr>
                <w:rFonts w:ascii="Times New Roman" w:hAnsi="Times New Roman" w:eastAsia="Times New Roman" w:cs="Times New Roman"/>
                <w:b/>
                <w:i w:val="0"/>
                <w:color w:val="000000"/>
                <w:sz w:val="16"/>
              </w:rPr>
              <w:t>2.</w:t>
            </w:r>
          </w:p>
        </w:tc>
        <w:tc>
          <w:tcPr>
            <w:tcW w:type="dxa" w:w="7710"/>
          </w:tcPr>
          <w:p>
            <w:pPr>
              <w:spacing w:before="0" w:after="10"/>
              <w:jc w:val="left"/>
            </w:pPr>
            <w:r/>
            <w:r>
              <w:rPr>
                <w:rFonts w:ascii="Times New Roman" w:hAnsi="Times New Roman" w:eastAsia="Times New Roman" w:cs="Times New Roman"/>
                <w:b/>
                <w:i w:val="0"/>
                <w:color w:val="000000"/>
                <w:sz w:val="16"/>
              </w:rPr>
              <w:t>Objective of the Interface</w:t>
            </w:r>
          </w:p>
        </w:tc>
        <w:tc>
          <w:tcPr>
            <w:tcW w:type="dxa" w:w="680"/>
          </w:tcPr>
          <w:p>
            <w:pPr>
              <w:spacing w:before="0" w:after="10"/>
              <w:jc w:val="right"/>
            </w:pPr>
            <w:r/>
            <w:r>
              <w:rPr>
                <w:rFonts w:ascii="Times New Roman" w:hAnsi="Times New Roman" w:eastAsia="Times New Roman" w:cs="Times New Roman"/>
                <w:b/>
                <w:i w:val="0"/>
                <w:color w:val="000000"/>
                <w:sz w:val="16"/>
              </w:rPr>
              <w:t>1</w:t>
            </w:r>
          </w:p>
        </w:tc>
      </w:tr>
      <w:tr>
        <w:tc>
          <w:tcPr>
            <w:tcW w:type="dxa" w:w="1020"/>
          </w:tcPr>
          <w:p>
            <w:pPr>
              <w:spacing w:before="0" w:after="10"/>
              <w:jc w:val="left"/>
            </w:pPr>
            <w:r/>
            <w:r>
              <w:rPr>
                <w:rFonts w:ascii="Times New Roman" w:hAnsi="Times New Roman" w:eastAsia="Times New Roman" w:cs="Times New Roman"/>
                <w:b w:val="0"/>
                <w:i w:val="0"/>
                <w:color w:val="000000"/>
                <w:sz w:val="16"/>
              </w:rPr>
              <w:t>2.1</w:t>
            </w:r>
          </w:p>
        </w:tc>
        <w:tc>
          <w:tcPr>
            <w:tcW w:type="dxa" w:w="7710"/>
          </w:tcPr>
          <w:p>
            <w:pPr>
              <w:spacing w:before="0" w:after="10"/>
              <w:jc w:val="left"/>
            </w:pPr>
            <w:r/>
            <w:r>
              <w:rPr>
                <w:rFonts w:ascii="Times New Roman" w:hAnsi="Times New Roman" w:eastAsia="Times New Roman" w:cs="Times New Roman"/>
                <w:b w:val="0"/>
                <w:i w:val="0"/>
                <w:color w:val="000000"/>
                <w:sz w:val="16"/>
              </w:rPr>
              <w:t>Domain Context &amp; Commuter Diversity</w:t>
            </w:r>
          </w:p>
        </w:tc>
        <w:tc>
          <w:tcPr>
            <w:tcW w:type="dxa" w:w="680"/>
          </w:tcPr>
          <w:p>
            <w:pPr>
              <w:spacing w:before="0" w:after="10"/>
              <w:jc w:val="right"/>
            </w:pPr>
            <w:r/>
            <w:r>
              <w:rPr>
                <w:rFonts w:ascii="Times New Roman" w:hAnsi="Times New Roman" w:eastAsia="Times New Roman" w:cs="Times New Roman"/>
                <w:b w:val="0"/>
                <w:i w:val="0"/>
                <w:color w:val="000000"/>
                <w:sz w:val="16"/>
              </w:rPr>
              <w:t>1</w:t>
            </w:r>
          </w:p>
        </w:tc>
      </w:tr>
      <w:tr>
        <w:tc>
          <w:tcPr>
            <w:tcW w:type="dxa" w:w="1020"/>
          </w:tcPr>
          <w:p>
            <w:pPr>
              <w:spacing w:before="0" w:after="10"/>
              <w:jc w:val="left"/>
            </w:pPr>
            <w:r/>
            <w:r>
              <w:rPr>
                <w:rFonts w:ascii="Times New Roman" w:hAnsi="Times New Roman" w:eastAsia="Times New Roman" w:cs="Times New Roman"/>
                <w:b w:val="0"/>
                <w:i w:val="0"/>
                <w:color w:val="000000"/>
                <w:sz w:val="16"/>
              </w:rPr>
              <w:t>2.2</w:t>
            </w:r>
          </w:p>
        </w:tc>
        <w:tc>
          <w:tcPr>
            <w:tcW w:type="dxa" w:w="7710"/>
          </w:tcPr>
          <w:p>
            <w:pPr>
              <w:spacing w:before="0" w:after="10"/>
              <w:jc w:val="left"/>
            </w:pPr>
            <w:r/>
            <w:r>
              <w:rPr>
                <w:rFonts w:ascii="Times New Roman" w:hAnsi="Times New Roman" w:eastAsia="Times New Roman" w:cs="Times New Roman"/>
                <w:b w:val="0"/>
                <w:i w:val="0"/>
                <w:color w:val="000000"/>
                <w:sz w:val="16"/>
              </w:rPr>
              <w:t>Core Usability Objectives</w:t>
            </w:r>
          </w:p>
        </w:tc>
        <w:tc>
          <w:tcPr>
            <w:tcW w:type="dxa" w:w="680"/>
          </w:tcPr>
          <w:p>
            <w:pPr>
              <w:spacing w:before="0" w:after="10"/>
              <w:jc w:val="right"/>
            </w:pPr>
            <w:r/>
            <w:r>
              <w:rPr>
                <w:rFonts w:ascii="Times New Roman" w:hAnsi="Times New Roman" w:eastAsia="Times New Roman" w:cs="Times New Roman"/>
                <w:b w:val="0"/>
                <w:i w:val="0"/>
                <w:color w:val="000000"/>
                <w:sz w:val="16"/>
              </w:rPr>
              <w:t>1</w:t>
            </w:r>
          </w:p>
        </w:tc>
      </w:tr>
      <w:tr>
        <w:tc>
          <w:tcPr>
            <w:tcW w:type="dxa" w:w="1020"/>
          </w:tcPr>
          <w:p>
            <w:pPr>
              <w:spacing w:before="0" w:after="10"/>
              <w:jc w:val="left"/>
            </w:pPr>
            <w:r/>
            <w:r>
              <w:rPr>
                <w:rFonts w:ascii="Times New Roman" w:hAnsi="Times New Roman" w:eastAsia="Times New Roman" w:cs="Times New Roman"/>
                <w:b/>
                <w:i w:val="0"/>
                <w:color w:val="000000"/>
                <w:sz w:val="16"/>
              </w:rPr>
              <w:t>3.</w:t>
            </w:r>
          </w:p>
        </w:tc>
        <w:tc>
          <w:tcPr>
            <w:tcW w:type="dxa" w:w="7710"/>
          </w:tcPr>
          <w:p>
            <w:pPr>
              <w:spacing w:before="0" w:after="10"/>
              <w:jc w:val="left"/>
            </w:pPr>
            <w:r/>
            <w:r>
              <w:rPr>
                <w:rFonts w:ascii="Times New Roman" w:hAnsi="Times New Roman" w:eastAsia="Times New Roman" w:cs="Times New Roman"/>
                <w:b/>
                <w:i w:val="0"/>
                <w:color w:val="000000"/>
                <w:sz w:val="16"/>
              </w:rPr>
              <w:t>Five Selected Nielsen's Usability Heuristics</w:t>
            </w:r>
          </w:p>
        </w:tc>
        <w:tc>
          <w:tcPr>
            <w:tcW w:type="dxa" w:w="680"/>
          </w:tcPr>
          <w:p>
            <w:pPr>
              <w:spacing w:before="0" w:after="10"/>
              <w:jc w:val="right"/>
            </w:pPr>
            <w:r/>
            <w:r>
              <w:rPr>
                <w:rFonts w:ascii="Times New Roman" w:hAnsi="Times New Roman" w:eastAsia="Times New Roman" w:cs="Times New Roman"/>
                <w:b/>
                <w:i w:val="0"/>
                <w:color w:val="000000"/>
                <w:sz w:val="16"/>
              </w:rPr>
              <w:t>1</w:t>
            </w:r>
          </w:p>
        </w:tc>
      </w:tr>
      <w:tr>
        <w:tc>
          <w:tcPr>
            <w:tcW w:type="dxa" w:w="1020"/>
          </w:tcPr>
          <w:p>
            <w:pPr>
              <w:spacing w:before="0" w:after="10"/>
              <w:jc w:val="left"/>
            </w:pPr>
            <w:r/>
            <w:r>
              <w:rPr>
                <w:rFonts w:ascii="Times New Roman" w:hAnsi="Times New Roman" w:eastAsia="Times New Roman" w:cs="Times New Roman"/>
                <w:b/>
                <w:i w:val="0"/>
                <w:color w:val="000000"/>
                <w:sz w:val="16"/>
              </w:rPr>
              <w:t>4.</w:t>
            </w:r>
          </w:p>
        </w:tc>
        <w:tc>
          <w:tcPr>
            <w:tcW w:type="dxa" w:w="7710"/>
          </w:tcPr>
          <w:p>
            <w:pPr>
              <w:spacing w:before="0" w:after="10"/>
              <w:jc w:val="left"/>
            </w:pPr>
            <w:r/>
            <w:r>
              <w:rPr>
                <w:rFonts w:ascii="Times New Roman" w:hAnsi="Times New Roman" w:eastAsia="Times New Roman" w:cs="Times New Roman"/>
                <w:b/>
                <w:i w:val="0"/>
                <w:color w:val="000000"/>
                <w:sz w:val="16"/>
              </w:rPr>
              <w:t>Implementation of Selected Heuristics with Interface Screenshots</w:t>
            </w:r>
          </w:p>
        </w:tc>
        <w:tc>
          <w:tcPr>
            <w:tcW w:type="dxa" w:w="680"/>
          </w:tcPr>
          <w:p>
            <w:pPr>
              <w:spacing w:before="0" w:after="10"/>
              <w:jc w:val="right"/>
            </w:pPr>
            <w:r/>
            <w:r>
              <w:rPr>
                <w:rFonts w:ascii="Times New Roman" w:hAnsi="Times New Roman" w:eastAsia="Times New Roman" w:cs="Times New Roman"/>
                <w:b/>
                <w:i w:val="0"/>
                <w:color w:val="000000"/>
                <w:sz w:val="16"/>
              </w:rPr>
              <w:t>2</w:t>
            </w:r>
          </w:p>
        </w:tc>
      </w:tr>
      <w:tr>
        <w:tc>
          <w:tcPr>
            <w:tcW w:type="dxa" w:w="1020"/>
          </w:tcPr>
          <w:p>
            <w:pPr>
              <w:spacing w:before="0" w:after="10"/>
              <w:jc w:val="left"/>
            </w:pPr>
            <w:r/>
            <w:r>
              <w:rPr>
                <w:rFonts w:ascii="Times New Roman" w:hAnsi="Times New Roman" w:eastAsia="Times New Roman" w:cs="Times New Roman"/>
                <w:b w:val="0"/>
                <w:i w:val="0"/>
                <w:color w:val="000000"/>
                <w:sz w:val="16"/>
              </w:rPr>
              <w:t>4.1</w:t>
            </w:r>
          </w:p>
        </w:tc>
        <w:tc>
          <w:tcPr>
            <w:tcW w:type="dxa" w:w="7710"/>
          </w:tcPr>
          <w:p>
            <w:pPr>
              <w:spacing w:before="0" w:after="10"/>
              <w:jc w:val="left"/>
            </w:pPr>
            <w:r/>
            <w:r>
              <w:rPr>
                <w:rFonts w:ascii="Times New Roman" w:hAnsi="Times New Roman" w:eastAsia="Times New Roman" w:cs="Times New Roman"/>
                <w:b w:val="0"/>
                <w:i w:val="0"/>
                <w:color w:val="000000"/>
                <w:sz w:val="16"/>
              </w:rPr>
              <w:t>Heuristic 1: Visibility of System Status (Figure 1)</w:t>
            </w:r>
          </w:p>
        </w:tc>
        <w:tc>
          <w:tcPr>
            <w:tcW w:type="dxa" w:w="680"/>
          </w:tcPr>
          <w:p>
            <w:pPr>
              <w:spacing w:before="0" w:after="10"/>
              <w:jc w:val="right"/>
            </w:pPr>
            <w:r/>
            <w:r>
              <w:rPr>
                <w:rFonts w:ascii="Times New Roman" w:hAnsi="Times New Roman" w:eastAsia="Times New Roman" w:cs="Times New Roman"/>
                <w:b w:val="0"/>
                <w:i w:val="0"/>
                <w:color w:val="000000"/>
                <w:sz w:val="16"/>
              </w:rPr>
              <w:t>2</w:t>
            </w:r>
          </w:p>
        </w:tc>
      </w:tr>
      <w:tr>
        <w:tc>
          <w:tcPr>
            <w:tcW w:type="dxa" w:w="1020"/>
          </w:tcPr>
          <w:p>
            <w:pPr>
              <w:spacing w:before="0" w:after="10"/>
              <w:jc w:val="left"/>
            </w:pPr>
            <w:r/>
            <w:r>
              <w:rPr>
                <w:rFonts w:ascii="Times New Roman" w:hAnsi="Times New Roman" w:eastAsia="Times New Roman" w:cs="Times New Roman"/>
                <w:b w:val="0"/>
                <w:i w:val="0"/>
                <w:color w:val="000000"/>
                <w:sz w:val="16"/>
              </w:rPr>
              <w:t>4.2</w:t>
            </w:r>
          </w:p>
        </w:tc>
        <w:tc>
          <w:tcPr>
            <w:tcW w:type="dxa" w:w="7710"/>
          </w:tcPr>
          <w:p>
            <w:pPr>
              <w:spacing w:before="0" w:after="10"/>
              <w:jc w:val="left"/>
            </w:pPr>
            <w:r/>
            <w:r>
              <w:rPr>
                <w:rFonts w:ascii="Times New Roman" w:hAnsi="Times New Roman" w:eastAsia="Times New Roman" w:cs="Times New Roman"/>
                <w:b w:val="0"/>
                <w:i w:val="0"/>
                <w:color w:val="000000"/>
                <w:sz w:val="16"/>
              </w:rPr>
              <w:t>Heuristic 2: Match Between System and Real World (Figure 2)</w:t>
            </w:r>
          </w:p>
        </w:tc>
        <w:tc>
          <w:tcPr>
            <w:tcW w:type="dxa" w:w="680"/>
          </w:tcPr>
          <w:p>
            <w:pPr>
              <w:spacing w:before="0" w:after="10"/>
              <w:jc w:val="right"/>
            </w:pPr>
            <w:r/>
            <w:r>
              <w:rPr>
                <w:rFonts w:ascii="Times New Roman" w:hAnsi="Times New Roman" w:eastAsia="Times New Roman" w:cs="Times New Roman"/>
                <w:b w:val="0"/>
                <w:i w:val="0"/>
                <w:color w:val="000000"/>
                <w:sz w:val="16"/>
              </w:rPr>
              <w:t>2</w:t>
            </w:r>
          </w:p>
        </w:tc>
      </w:tr>
      <w:tr>
        <w:tc>
          <w:tcPr>
            <w:tcW w:type="dxa" w:w="1020"/>
          </w:tcPr>
          <w:p>
            <w:pPr>
              <w:spacing w:before="0" w:after="10"/>
              <w:jc w:val="left"/>
            </w:pPr>
            <w:r/>
            <w:r>
              <w:rPr>
                <w:rFonts w:ascii="Times New Roman" w:hAnsi="Times New Roman" w:eastAsia="Times New Roman" w:cs="Times New Roman"/>
                <w:b w:val="0"/>
                <w:i w:val="0"/>
                <w:color w:val="000000"/>
                <w:sz w:val="16"/>
              </w:rPr>
              <w:t>4.3</w:t>
            </w:r>
          </w:p>
        </w:tc>
        <w:tc>
          <w:tcPr>
            <w:tcW w:type="dxa" w:w="7710"/>
          </w:tcPr>
          <w:p>
            <w:pPr>
              <w:spacing w:before="0" w:after="10"/>
              <w:jc w:val="left"/>
            </w:pPr>
            <w:r/>
            <w:r>
              <w:rPr>
                <w:rFonts w:ascii="Times New Roman" w:hAnsi="Times New Roman" w:eastAsia="Times New Roman" w:cs="Times New Roman"/>
                <w:b w:val="0"/>
                <w:i w:val="0"/>
                <w:color w:val="000000"/>
                <w:sz w:val="16"/>
              </w:rPr>
              <w:t>Heuristic 3: Consistency and Standards (Figure 3)</w:t>
            </w:r>
          </w:p>
        </w:tc>
        <w:tc>
          <w:tcPr>
            <w:tcW w:type="dxa" w:w="680"/>
          </w:tcPr>
          <w:p>
            <w:pPr>
              <w:spacing w:before="0" w:after="10"/>
              <w:jc w:val="right"/>
            </w:pPr>
            <w:r/>
            <w:r>
              <w:rPr>
                <w:rFonts w:ascii="Times New Roman" w:hAnsi="Times New Roman" w:eastAsia="Times New Roman" w:cs="Times New Roman"/>
                <w:b w:val="0"/>
                <w:i w:val="0"/>
                <w:color w:val="000000"/>
                <w:sz w:val="16"/>
              </w:rPr>
              <w:t>3</w:t>
            </w:r>
          </w:p>
        </w:tc>
      </w:tr>
      <w:tr>
        <w:tc>
          <w:tcPr>
            <w:tcW w:type="dxa" w:w="1020"/>
          </w:tcPr>
          <w:p>
            <w:pPr>
              <w:spacing w:before="0" w:after="10"/>
              <w:jc w:val="left"/>
            </w:pPr>
            <w:r/>
            <w:r>
              <w:rPr>
                <w:rFonts w:ascii="Times New Roman" w:hAnsi="Times New Roman" w:eastAsia="Times New Roman" w:cs="Times New Roman"/>
                <w:b w:val="0"/>
                <w:i w:val="0"/>
                <w:color w:val="000000"/>
                <w:sz w:val="16"/>
              </w:rPr>
              <w:t>4.4</w:t>
            </w:r>
          </w:p>
        </w:tc>
        <w:tc>
          <w:tcPr>
            <w:tcW w:type="dxa" w:w="7710"/>
          </w:tcPr>
          <w:p>
            <w:pPr>
              <w:spacing w:before="0" w:after="10"/>
              <w:jc w:val="left"/>
            </w:pPr>
            <w:r/>
            <w:r>
              <w:rPr>
                <w:rFonts w:ascii="Times New Roman" w:hAnsi="Times New Roman" w:eastAsia="Times New Roman" w:cs="Times New Roman"/>
                <w:b w:val="0"/>
                <w:i w:val="0"/>
                <w:color w:val="000000"/>
                <w:sz w:val="16"/>
              </w:rPr>
              <w:t>Heuristic 4: Error Prevention (Figure 4)</w:t>
            </w:r>
          </w:p>
        </w:tc>
        <w:tc>
          <w:tcPr>
            <w:tcW w:type="dxa" w:w="680"/>
          </w:tcPr>
          <w:p>
            <w:pPr>
              <w:spacing w:before="0" w:after="10"/>
              <w:jc w:val="right"/>
            </w:pPr>
            <w:r/>
            <w:r>
              <w:rPr>
                <w:rFonts w:ascii="Times New Roman" w:hAnsi="Times New Roman" w:eastAsia="Times New Roman" w:cs="Times New Roman"/>
                <w:b w:val="0"/>
                <w:i w:val="0"/>
                <w:color w:val="000000"/>
                <w:sz w:val="16"/>
              </w:rPr>
              <w:t>3</w:t>
            </w:r>
          </w:p>
        </w:tc>
      </w:tr>
      <w:tr>
        <w:tc>
          <w:tcPr>
            <w:tcW w:type="dxa" w:w="1020"/>
          </w:tcPr>
          <w:p>
            <w:pPr>
              <w:spacing w:before="0" w:after="10"/>
              <w:jc w:val="left"/>
            </w:pPr>
            <w:r/>
            <w:r>
              <w:rPr>
                <w:rFonts w:ascii="Times New Roman" w:hAnsi="Times New Roman" w:eastAsia="Times New Roman" w:cs="Times New Roman"/>
                <w:b w:val="0"/>
                <w:i w:val="0"/>
                <w:color w:val="000000"/>
                <w:sz w:val="16"/>
              </w:rPr>
              <w:t>4.5</w:t>
            </w:r>
          </w:p>
        </w:tc>
        <w:tc>
          <w:tcPr>
            <w:tcW w:type="dxa" w:w="7710"/>
          </w:tcPr>
          <w:p>
            <w:pPr>
              <w:spacing w:before="0" w:after="10"/>
              <w:jc w:val="left"/>
            </w:pPr>
            <w:r/>
            <w:r>
              <w:rPr>
                <w:rFonts w:ascii="Times New Roman" w:hAnsi="Times New Roman" w:eastAsia="Times New Roman" w:cs="Times New Roman"/>
                <w:b w:val="0"/>
                <w:i w:val="0"/>
                <w:color w:val="000000"/>
                <w:sz w:val="16"/>
              </w:rPr>
              <w:t>Heuristic 5: Recognition Rather Than Recall (Figure 5)</w:t>
            </w:r>
          </w:p>
        </w:tc>
        <w:tc>
          <w:tcPr>
            <w:tcW w:type="dxa" w:w="680"/>
          </w:tcPr>
          <w:p>
            <w:pPr>
              <w:spacing w:before="0" w:after="10"/>
              <w:jc w:val="right"/>
            </w:pPr>
            <w:r/>
            <w:r>
              <w:rPr>
                <w:rFonts w:ascii="Times New Roman" w:hAnsi="Times New Roman" w:eastAsia="Times New Roman" w:cs="Times New Roman"/>
                <w:b w:val="0"/>
                <w:i w:val="0"/>
                <w:color w:val="000000"/>
                <w:sz w:val="16"/>
              </w:rPr>
              <w:t>3</w:t>
            </w:r>
          </w:p>
        </w:tc>
      </w:tr>
      <w:tr>
        <w:tc>
          <w:tcPr>
            <w:tcW w:type="dxa" w:w="1020"/>
          </w:tcPr>
          <w:p>
            <w:pPr>
              <w:spacing w:before="0" w:after="10"/>
              <w:jc w:val="left"/>
            </w:pPr>
            <w:r/>
            <w:r>
              <w:rPr>
                <w:rFonts w:ascii="Times New Roman" w:hAnsi="Times New Roman" w:eastAsia="Times New Roman" w:cs="Times New Roman"/>
                <w:b/>
                <w:i w:val="0"/>
                <w:color w:val="000000"/>
                <w:sz w:val="16"/>
              </w:rPr>
              <w:t>5.</w:t>
            </w:r>
          </w:p>
        </w:tc>
        <w:tc>
          <w:tcPr>
            <w:tcW w:type="dxa" w:w="7710"/>
          </w:tcPr>
          <w:p>
            <w:pPr>
              <w:spacing w:before="0" w:after="10"/>
              <w:jc w:val="left"/>
            </w:pPr>
            <w:r/>
            <w:r>
              <w:rPr>
                <w:rFonts w:ascii="Times New Roman" w:hAnsi="Times New Roman" w:eastAsia="Times New Roman" w:cs="Times New Roman"/>
                <w:b/>
                <w:i w:val="0"/>
                <w:color w:val="000000"/>
                <w:sz w:val="16"/>
              </w:rPr>
              <w:t>Justification of Each Implemented Heuristic</w:t>
            </w:r>
          </w:p>
        </w:tc>
        <w:tc>
          <w:tcPr>
            <w:tcW w:type="dxa" w:w="680"/>
          </w:tcPr>
          <w:p>
            <w:pPr>
              <w:spacing w:before="0" w:after="10"/>
              <w:jc w:val="right"/>
            </w:pPr>
            <w:r/>
            <w:r>
              <w:rPr>
                <w:rFonts w:ascii="Times New Roman" w:hAnsi="Times New Roman" w:eastAsia="Times New Roman" w:cs="Times New Roman"/>
                <w:b/>
                <w:i w:val="0"/>
                <w:color w:val="000000"/>
                <w:sz w:val="16"/>
              </w:rPr>
              <w:t>4</w:t>
            </w:r>
          </w:p>
        </w:tc>
      </w:tr>
      <w:tr>
        <w:tc>
          <w:tcPr>
            <w:tcW w:type="dxa" w:w="1020"/>
          </w:tcPr>
          <w:p>
            <w:pPr>
              <w:spacing w:before="0" w:after="10"/>
              <w:jc w:val="left"/>
            </w:pPr>
            <w:r/>
            <w:r>
              <w:rPr>
                <w:rFonts w:ascii="Times New Roman" w:hAnsi="Times New Roman" w:eastAsia="Times New Roman" w:cs="Times New Roman"/>
                <w:b w:val="0"/>
                <w:i w:val="0"/>
                <w:color w:val="000000"/>
                <w:sz w:val="16"/>
              </w:rPr>
              <w:t>5.1</w:t>
            </w:r>
          </w:p>
        </w:tc>
        <w:tc>
          <w:tcPr>
            <w:tcW w:type="dxa" w:w="7710"/>
          </w:tcPr>
          <w:p>
            <w:pPr>
              <w:spacing w:before="0" w:after="10"/>
              <w:jc w:val="left"/>
            </w:pPr>
            <w:r/>
            <w:r>
              <w:rPr>
                <w:rFonts w:ascii="Times New Roman" w:hAnsi="Times New Roman" w:eastAsia="Times New Roman" w:cs="Times New Roman"/>
                <w:b w:val="0"/>
                <w:i w:val="0"/>
                <w:color w:val="000000"/>
                <w:sz w:val="16"/>
              </w:rPr>
              <w:t>Analytical Justification for Implemented Heuristics</w:t>
            </w:r>
          </w:p>
        </w:tc>
        <w:tc>
          <w:tcPr>
            <w:tcW w:type="dxa" w:w="680"/>
          </w:tcPr>
          <w:p>
            <w:pPr>
              <w:spacing w:before="0" w:after="10"/>
              <w:jc w:val="right"/>
            </w:pPr>
            <w:r/>
            <w:r>
              <w:rPr>
                <w:rFonts w:ascii="Times New Roman" w:hAnsi="Times New Roman" w:eastAsia="Times New Roman" w:cs="Times New Roman"/>
                <w:b w:val="0"/>
                <w:i w:val="0"/>
                <w:color w:val="000000"/>
                <w:sz w:val="16"/>
              </w:rPr>
              <w:t>4</w:t>
            </w:r>
          </w:p>
        </w:tc>
      </w:tr>
      <w:tr>
        <w:tc>
          <w:tcPr>
            <w:tcW w:type="dxa" w:w="1020"/>
          </w:tcPr>
          <w:p>
            <w:pPr>
              <w:spacing w:before="0" w:after="10"/>
              <w:jc w:val="left"/>
            </w:pPr>
            <w:r/>
            <w:r>
              <w:rPr>
                <w:rFonts w:ascii="Times New Roman" w:hAnsi="Times New Roman" w:eastAsia="Times New Roman" w:cs="Times New Roman"/>
                <w:b w:val="0"/>
                <w:i w:val="0"/>
                <w:color w:val="000000"/>
                <w:sz w:val="16"/>
              </w:rPr>
              <w:t>5.2</w:t>
            </w:r>
          </w:p>
        </w:tc>
        <w:tc>
          <w:tcPr>
            <w:tcW w:type="dxa" w:w="7710"/>
          </w:tcPr>
          <w:p>
            <w:pPr>
              <w:spacing w:before="0" w:after="10"/>
              <w:jc w:val="left"/>
            </w:pPr>
            <w:r/>
            <w:r>
              <w:rPr>
                <w:rFonts w:ascii="Times New Roman" w:hAnsi="Times New Roman" w:eastAsia="Times New Roman" w:cs="Times New Roman"/>
                <w:b w:val="0"/>
                <w:i w:val="0"/>
                <w:color w:val="000000"/>
                <w:sz w:val="16"/>
              </w:rPr>
              <w:t>Quantitative Usability Metric Improvements (Table 2)</w:t>
            </w:r>
          </w:p>
        </w:tc>
        <w:tc>
          <w:tcPr>
            <w:tcW w:type="dxa" w:w="680"/>
          </w:tcPr>
          <w:p>
            <w:pPr>
              <w:spacing w:before="0" w:after="10"/>
              <w:jc w:val="right"/>
            </w:pPr>
            <w:r/>
            <w:r>
              <w:rPr>
                <w:rFonts w:ascii="Times New Roman" w:hAnsi="Times New Roman" w:eastAsia="Times New Roman" w:cs="Times New Roman"/>
                <w:b w:val="0"/>
                <w:i w:val="0"/>
                <w:color w:val="000000"/>
                <w:sz w:val="16"/>
              </w:rPr>
              <w:t>4</w:t>
            </w:r>
          </w:p>
        </w:tc>
      </w:tr>
      <w:tr>
        <w:tc>
          <w:tcPr>
            <w:tcW w:type="dxa" w:w="1020"/>
          </w:tcPr>
          <w:p>
            <w:pPr>
              <w:spacing w:before="0" w:after="10"/>
              <w:jc w:val="left"/>
            </w:pPr>
            <w:r/>
            <w:r>
              <w:rPr>
                <w:rFonts w:ascii="Times New Roman" w:hAnsi="Times New Roman" w:eastAsia="Times New Roman" w:cs="Times New Roman"/>
                <w:b/>
                <w:i w:val="0"/>
                <w:color w:val="000000"/>
                <w:sz w:val="16"/>
              </w:rPr>
              <w:t>6.</w:t>
            </w:r>
          </w:p>
        </w:tc>
        <w:tc>
          <w:tcPr>
            <w:tcW w:type="dxa" w:w="7710"/>
          </w:tcPr>
          <w:p>
            <w:pPr>
              <w:spacing w:before="0" w:after="10"/>
              <w:jc w:val="left"/>
            </w:pPr>
            <w:r/>
            <w:r>
              <w:rPr>
                <w:rFonts w:ascii="Times New Roman" w:hAnsi="Times New Roman" w:eastAsia="Times New Roman" w:cs="Times New Roman"/>
                <w:b/>
                <w:i w:val="0"/>
                <w:color w:val="000000"/>
                <w:sz w:val="16"/>
              </w:rPr>
              <w:t>Conclusion</w:t>
            </w:r>
          </w:p>
        </w:tc>
        <w:tc>
          <w:tcPr>
            <w:tcW w:type="dxa" w:w="680"/>
          </w:tcPr>
          <w:p>
            <w:pPr>
              <w:spacing w:before="0" w:after="10"/>
              <w:jc w:val="right"/>
            </w:pPr>
            <w:r/>
            <w:r>
              <w:rPr>
                <w:rFonts w:ascii="Times New Roman" w:hAnsi="Times New Roman" w:eastAsia="Times New Roman" w:cs="Times New Roman"/>
                <w:b/>
                <w:i w:val="0"/>
                <w:color w:val="000000"/>
                <w:sz w:val="16"/>
              </w:rPr>
              <w:t>5</w:t>
            </w:r>
          </w:p>
        </w:tc>
      </w:tr>
      <w:tr>
        <w:tc>
          <w:tcPr>
            <w:tcW w:type="dxa" w:w="1020"/>
          </w:tcPr>
          <w:p>
            <w:pPr>
              <w:spacing w:before="0" w:after="10"/>
              <w:jc w:val="left"/>
            </w:pPr>
            <w:r/>
            <w:r>
              <w:rPr>
                <w:rFonts w:ascii="Times New Roman" w:hAnsi="Times New Roman" w:eastAsia="Times New Roman" w:cs="Times New Roman"/>
                <w:b/>
                <w:i w:val="0"/>
                <w:color w:val="000000"/>
                <w:sz w:val="16"/>
              </w:rPr>
              <w:t>7.</w:t>
            </w:r>
          </w:p>
        </w:tc>
        <w:tc>
          <w:tcPr>
            <w:tcW w:type="dxa" w:w="7710"/>
          </w:tcPr>
          <w:p>
            <w:pPr>
              <w:spacing w:before="0" w:after="10"/>
              <w:jc w:val="left"/>
            </w:pPr>
            <w:r/>
            <w:r>
              <w:rPr>
                <w:rFonts w:ascii="Times New Roman" w:hAnsi="Times New Roman" w:eastAsia="Times New Roman" w:cs="Times New Roman"/>
                <w:b/>
                <w:i w:val="0"/>
                <w:color w:val="000000"/>
                <w:sz w:val="16"/>
              </w:rPr>
              <w:t>References (IEEE Style)</w:t>
            </w:r>
          </w:p>
        </w:tc>
        <w:tc>
          <w:tcPr>
            <w:tcW w:type="dxa" w:w="680"/>
          </w:tcPr>
          <w:p>
            <w:pPr>
              <w:spacing w:before="0" w:after="10"/>
              <w:jc w:val="right"/>
            </w:pPr>
            <w:r/>
            <w:r>
              <w:rPr>
                <w:rFonts w:ascii="Times New Roman" w:hAnsi="Times New Roman" w:eastAsia="Times New Roman" w:cs="Times New Roman"/>
                <w:b/>
                <w:i w:val="0"/>
                <w:color w:val="000000"/>
                <w:sz w:val="16"/>
              </w:rPr>
              <w:t>5</w:t>
            </w:r>
          </w:p>
        </w:tc>
      </w:tr>
      <w:tr>
        <w:tc>
          <w:tcPr>
            <w:tcW w:type="dxa" w:w="1020"/>
          </w:tcPr>
          <w:p>
            <w:pPr>
              <w:spacing w:before="0" w:after="10"/>
              <w:jc w:val="left"/>
            </w:pPr>
            <w:r/>
            <w:r>
              <w:rPr>
                <w:rFonts w:ascii="Times New Roman" w:hAnsi="Times New Roman" w:eastAsia="Times New Roman" w:cs="Times New Roman"/>
                <w:b/>
                <w:i w:val="0"/>
                <w:color w:val="000000"/>
                <w:sz w:val="16"/>
              </w:rPr>
              <w:t>8.</w:t>
            </w:r>
          </w:p>
        </w:tc>
        <w:tc>
          <w:tcPr>
            <w:tcW w:type="dxa" w:w="7710"/>
          </w:tcPr>
          <w:p>
            <w:pPr>
              <w:spacing w:before="0" w:after="10"/>
              <w:jc w:val="left"/>
            </w:pPr>
            <w:r/>
            <w:r>
              <w:rPr>
                <w:rFonts w:ascii="Times New Roman" w:hAnsi="Times New Roman" w:eastAsia="Times New Roman" w:cs="Times New Roman"/>
                <w:b/>
                <w:i w:val="0"/>
                <w:color w:val="000000"/>
                <w:sz w:val="16"/>
              </w:rPr>
              <w:t>Open-Source Repository &amp; Deliverables (Figure 6)</w:t>
            </w:r>
          </w:p>
        </w:tc>
        <w:tc>
          <w:tcPr>
            <w:tcW w:type="dxa" w:w="680"/>
          </w:tcPr>
          <w:p>
            <w:pPr>
              <w:spacing w:before="0" w:after="10"/>
              <w:jc w:val="right"/>
            </w:pPr>
            <w:r/>
            <w:r>
              <w:rPr>
                <w:rFonts w:ascii="Times New Roman" w:hAnsi="Times New Roman" w:eastAsia="Times New Roman" w:cs="Times New Roman"/>
                <w:b/>
                <w:i w:val="0"/>
                <w:color w:val="000000"/>
                <w:sz w:val="16"/>
              </w:rPr>
              <w:t>5</w:t>
            </w:r>
          </w:p>
        </w:tc>
      </w:tr>
    </w:tbl>
    <w:p>
      <w:pPr>
        <w:keepNext/>
        <w:spacing w:before="120" w:after="40" w:line="259" w:lineRule="auto"/>
        <w:jc w:val="left"/>
      </w:pPr>
      <w:r>
        <w:rPr>
          <w:rFonts w:ascii="Times New Roman" w:hAnsi="Times New Roman" w:eastAsia="Times New Roman" w:cs="Times New Roman"/>
          <w:b/>
          <w:i w:val="0"/>
          <w:color w:val="000000"/>
          <w:sz w:val="25"/>
        </w:rPr>
        <w:t>1. Title of the Application</w:t>
      </w:r>
    </w:p>
    <w:p>
      <w:pPr>
        <w:keepNext w:val="0"/>
        <w:spacing w:before="20" w:after="40" w:line="269" w:lineRule="auto"/>
        <w:jc w:val="both"/>
      </w:pPr>
      <w:r>
        <w:rPr>
          <w:rFonts w:ascii="Times New Roman" w:hAnsi="Times New Roman" w:eastAsia="Times New Roman" w:cs="Times New Roman"/>
          <w:b w:val="0"/>
          <w:i w:val="0"/>
          <w:color w:val="000000"/>
          <w:sz w:val="18"/>
        </w:rPr>
        <w:t>Application Title: RailSafar – Online Railway Information and Booking Application. The application is an accessible, high-legibility digital ticketing and live train tracking interface engineered specifically for Indian railway commuters under Human-Computer Interaction (HCI) usability engineering principles. The interface was developed utilizing purely semantic HTML5 and CSS3 (zero JavaScript dependencies) with strict adherence to light theme signaling tokens.</w:t>
      </w:r>
    </w:p>
    <w:p>
      <w:pPr>
        <w:keepNext/>
        <w:spacing w:before="120" w:after="40" w:line="259" w:lineRule="auto"/>
        <w:jc w:val="left"/>
      </w:pPr>
      <w:r>
        <w:rPr>
          <w:rFonts w:ascii="Times New Roman" w:hAnsi="Times New Roman" w:eastAsia="Times New Roman" w:cs="Times New Roman"/>
          <w:b/>
          <w:i w:val="0"/>
          <w:color w:val="000000"/>
          <w:sz w:val="25"/>
        </w:rPr>
        <w:t>2. Objective of the Interface</w:t>
      </w:r>
    </w:p>
    <w:p>
      <w:pPr>
        <w:keepNext/>
        <w:spacing w:before="80" w:after="20" w:line="259" w:lineRule="auto"/>
        <w:jc w:val="left"/>
      </w:pPr>
      <w:r>
        <w:rPr>
          <w:rFonts w:ascii="Times New Roman" w:hAnsi="Times New Roman" w:eastAsia="Times New Roman" w:cs="Times New Roman"/>
          <w:b/>
          <w:i w:val="0"/>
          <w:color w:val="000000"/>
          <w:sz w:val="22"/>
        </w:rPr>
        <w:t>2.1 Domain Context &amp; Commuter Diversity</w:t>
      </w:r>
    </w:p>
    <w:p>
      <w:pPr>
        <w:keepNext w:val="0"/>
        <w:spacing w:before="0" w:after="40" w:line="269" w:lineRule="auto"/>
        <w:jc w:val="both"/>
      </w:pPr>
      <w:r>
        <w:rPr>
          <w:rFonts w:ascii="Times New Roman" w:hAnsi="Times New Roman" w:eastAsia="Times New Roman" w:cs="Times New Roman"/>
          <w:b w:val="0"/>
          <w:i w:val="0"/>
          <w:color w:val="000000"/>
          <w:sz w:val="18"/>
        </w:rPr>
        <w:t>Indian Railways transports over 24 million passengers daily across diverse socioeconomic demographics. Commuters include students, daily office workers, senior citizens, and first-time smartphone users frequently operating under bright outdoor station sunlight and fluctuating mobile connectivity. The primary objective of the RailSafar interface is to eliminate severe cognitive overload, ambiguous system feedback, input error vulnerabilities, and visual clutter common to legacy ticketing portals.</w:t>
      </w:r>
    </w:p>
    <w:p>
      <w:pPr>
        <w:keepNext/>
        <w:spacing w:before="80" w:after="20" w:line="259" w:lineRule="auto"/>
        <w:jc w:val="left"/>
      </w:pPr>
      <w:r>
        <w:rPr>
          <w:rFonts w:ascii="Times New Roman" w:hAnsi="Times New Roman" w:eastAsia="Times New Roman" w:cs="Times New Roman"/>
          <w:b/>
          <w:i w:val="0"/>
          <w:color w:val="000000"/>
          <w:sz w:val="22"/>
        </w:rPr>
        <w:t>2.2 Core Usability Objectives</w:t>
      </w:r>
    </w:p>
    <w:p>
      <w:pPr>
        <w:keepNext w:val="0"/>
        <w:spacing w:before="0" w:after="40" w:line="269" w:lineRule="auto"/>
        <w:jc w:val="both"/>
      </w:pPr>
      <w:r>
        <w:rPr>
          <w:rFonts w:ascii="Times New Roman" w:hAnsi="Times New Roman" w:eastAsia="Times New Roman" w:cs="Times New Roman"/>
          <w:b w:val="0"/>
          <w:i w:val="0"/>
          <w:color w:val="000000"/>
          <w:sz w:val="18"/>
        </w:rPr>
        <w:t>The interface satisfies four foundational human-centered design objectives:</w:t>
        <w:br/>
        <w:t>1. Status Transparency: Maintain real-time feedback across seat inventory, waitlist probabilities, and live GPS train running status.</w:t>
        <w:br/>
        <w:t>2. Real-World Metaphor Fidelity: Translate physical train compartments (Bays, Lower/Upper Berths) into intuitive 2D spatial selection grids.</w:t>
        <w:br/>
        <w:t>3. Proactive Error Elimination: Guard against reversed route inputs, past travel dates, and checkout race conditions via a 10-minute hold lock.</w:t>
        <w:br/>
        <w:t>4. Cultural &amp; Currency Standardization: Unify interaction flows around Indian Rupee (₹) pricing and ubiquitous Indian UPI/RuPay payment rails.</w:t>
      </w:r>
    </w:p>
    <w:p>
      <w:pPr>
        <w:keepNext/>
        <w:spacing w:before="120" w:after="40" w:line="259" w:lineRule="auto"/>
        <w:jc w:val="left"/>
      </w:pPr>
      <w:r>
        <w:rPr>
          <w:rFonts w:ascii="Times New Roman" w:hAnsi="Times New Roman" w:eastAsia="Times New Roman" w:cs="Times New Roman"/>
          <w:b/>
          <w:i w:val="0"/>
          <w:color w:val="000000"/>
          <w:sz w:val="25"/>
        </w:rPr>
        <w:t>3. Five Selected Nielsen's Usability Heuristics</w:t>
      </w:r>
    </w:p>
    <w:p>
      <w:pPr>
        <w:keepNext w:val="0"/>
        <w:spacing w:before="0" w:after="40" w:line="269" w:lineRule="auto"/>
        <w:jc w:val="both"/>
      </w:pPr>
      <w:r>
        <w:rPr>
          <w:rFonts w:ascii="Times New Roman" w:hAnsi="Times New Roman" w:eastAsia="Times New Roman" w:cs="Times New Roman"/>
          <w:b w:val="0"/>
          <w:i w:val="0"/>
          <w:color w:val="000000"/>
          <w:sz w:val="18"/>
        </w:rPr>
        <w:t>In strict accordance with the CIE-1 assignment guidelines for class TY-C, exactly five core heuristics from Jakob Nielsen's classic Ten Usability Heuristics were selected and deeply integrated into the RailSafar interface architecture, as summarized in Table 1:</w:t>
      </w:r>
    </w:p>
    <w:p>
      <w:pPr>
        <w:keepNext/>
        <w:spacing w:before="20" w:after="40" w:line="245" w:lineRule="auto"/>
        <w:jc w:val="center"/>
      </w:pPr>
      <w:r>
        <w:rPr>
          <w:rFonts w:ascii="Times New Roman" w:hAnsi="Times New Roman" w:eastAsia="Times New Roman" w:cs="Times New Roman"/>
          <w:b w:val="0"/>
          <w:i/>
          <w:color w:val="000000"/>
          <w:sz w:val="17"/>
        </w:rPr>
        <w:t>Table 1: Alignment of Nielsen's Usability Heuristics with RailSafar Functional Components</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B0B0B0"/>
          <w:insideV w:val="single" w:sz="4" w:space="0" w:color="B0B0B0"/>
        </w:tblBorders>
      </w:tblPr>
      <w:tblGrid>
        <w:gridCol w:w="3213"/>
        <w:gridCol w:w="3213"/>
        <w:gridCol w:w="3213"/>
      </w:tblGrid>
      <w:tr>
        <w:tc>
          <w:tcPr>
            <w:tcW w:type="dxa" w:w="2154"/>
            <w:shd w:val="clear" w:color="auto" w:fill="E2E8F0"/>
          </w:tcPr>
          <w:p>
            <w:pPr>
              <w:spacing w:before="20" w:after="20" w:line="245" w:lineRule="auto"/>
              <w:jc w:val="center"/>
            </w:pPr>
            <w:r/>
            <w:r>
              <w:rPr>
                <w:rFonts w:ascii="Times New Roman" w:hAnsi="Times New Roman" w:eastAsia="Times New Roman" w:cs="Times New Roman"/>
                <w:b/>
                <w:i w:val="0"/>
                <w:color w:val="000000"/>
                <w:sz w:val="17"/>
              </w:rPr>
              <w:t>Heuristic</w:t>
            </w:r>
          </w:p>
        </w:tc>
        <w:tc>
          <w:tcPr>
            <w:tcW w:type="dxa" w:w="3175"/>
            <w:shd w:val="clear" w:color="auto" w:fill="E2E8F0"/>
          </w:tcPr>
          <w:p>
            <w:pPr>
              <w:spacing w:before="20" w:after="20" w:line="245" w:lineRule="auto"/>
              <w:jc w:val="center"/>
            </w:pPr>
            <w:r/>
            <w:r>
              <w:rPr>
                <w:rFonts w:ascii="Times New Roman" w:hAnsi="Times New Roman" w:eastAsia="Times New Roman" w:cs="Times New Roman"/>
                <w:b/>
                <w:i w:val="0"/>
                <w:color w:val="000000"/>
                <w:sz w:val="17"/>
              </w:rPr>
              <w:t>Theoretical Rationale</w:t>
            </w:r>
          </w:p>
        </w:tc>
        <w:tc>
          <w:tcPr>
            <w:tcW w:type="dxa" w:w="4082"/>
            <w:shd w:val="clear" w:color="auto" w:fill="E2E8F0"/>
          </w:tcPr>
          <w:p>
            <w:pPr>
              <w:spacing w:before="20" w:after="20" w:line="245" w:lineRule="auto"/>
              <w:jc w:val="center"/>
            </w:pPr>
            <w:r/>
            <w:r>
              <w:rPr>
                <w:rFonts w:ascii="Times New Roman" w:hAnsi="Times New Roman" w:eastAsia="Times New Roman" w:cs="Times New Roman"/>
                <w:b/>
                <w:i w:val="0"/>
                <w:color w:val="000000"/>
                <w:sz w:val="17"/>
              </w:rPr>
              <w:t>Concrete RailSafar Mechanism</w:t>
            </w:r>
          </w:p>
        </w:tc>
      </w:tr>
      <w:tr>
        <w:tc>
          <w:tcPr>
            <w:tcW w:type="dxa" w:w="2154"/>
          </w:tcPr>
          <w:p>
            <w:pPr>
              <w:spacing w:before="20" w:after="20" w:line="245" w:lineRule="auto"/>
              <w:jc w:val="left"/>
            </w:pPr>
            <w:r/>
            <w:r>
              <w:rPr>
                <w:rFonts w:ascii="Times New Roman" w:hAnsi="Times New Roman" w:eastAsia="Times New Roman" w:cs="Times New Roman"/>
                <w:b w:val="0"/>
                <w:i w:val="0"/>
                <w:color w:val="000000"/>
                <w:sz w:val="16"/>
              </w:rPr>
              <w:t>H1: Visibility of Status</w:t>
            </w:r>
          </w:p>
        </w:tc>
        <w:tc>
          <w:tcPr>
            <w:tcW w:type="dxa" w:w="3175"/>
          </w:tcPr>
          <w:p>
            <w:pPr>
              <w:spacing w:before="20" w:after="20" w:line="245" w:lineRule="auto"/>
              <w:jc w:val="center"/>
            </w:pPr>
            <w:r/>
            <w:r>
              <w:rPr>
                <w:rFonts w:ascii="Times New Roman" w:hAnsi="Times New Roman" w:eastAsia="Times New Roman" w:cs="Times New Roman"/>
                <w:b w:val="0"/>
                <w:i w:val="0"/>
                <w:color w:val="000000"/>
                <w:sz w:val="16"/>
              </w:rPr>
              <w:t>Eliminates ambiguity regarding system execution states.</w:t>
            </w:r>
          </w:p>
        </w:tc>
        <w:tc>
          <w:tcPr>
            <w:tcW w:type="dxa" w:w="4082"/>
          </w:tcPr>
          <w:p>
            <w:pPr>
              <w:spacing w:before="20" w:after="20" w:line="245" w:lineRule="auto"/>
              <w:jc w:val="left"/>
            </w:pPr>
            <w:r/>
            <w:r>
              <w:rPr>
                <w:rFonts w:ascii="Times New Roman" w:hAnsi="Times New Roman" w:eastAsia="Times New Roman" w:cs="Times New Roman"/>
                <w:b w:val="0"/>
                <w:i w:val="0"/>
                <w:color w:val="000000"/>
                <w:sz w:val="16"/>
              </w:rPr>
              <w:t>4-step stepper, live availability pills, and GPS station tracker.</w:t>
            </w:r>
          </w:p>
        </w:tc>
      </w:tr>
      <w:tr>
        <w:tc>
          <w:tcPr>
            <w:tcW w:type="dxa" w:w="2154"/>
          </w:tcPr>
          <w:p>
            <w:pPr>
              <w:spacing w:before="20" w:after="20" w:line="245" w:lineRule="auto"/>
              <w:jc w:val="left"/>
            </w:pPr>
            <w:r/>
            <w:r>
              <w:rPr>
                <w:rFonts w:ascii="Times New Roman" w:hAnsi="Times New Roman" w:eastAsia="Times New Roman" w:cs="Times New Roman"/>
                <w:b w:val="0"/>
                <w:i w:val="0"/>
                <w:color w:val="000000"/>
                <w:sz w:val="16"/>
              </w:rPr>
              <w:t>H2: Real-World Match</w:t>
            </w:r>
          </w:p>
        </w:tc>
        <w:tc>
          <w:tcPr>
            <w:tcW w:type="dxa" w:w="3175"/>
          </w:tcPr>
          <w:p>
            <w:pPr>
              <w:spacing w:before="20" w:after="20" w:line="245" w:lineRule="auto"/>
              <w:jc w:val="center"/>
            </w:pPr>
            <w:r/>
            <w:r>
              <w:rPr>
                <w:rFonts w:ascii="Times New Roman" w:hAnsi="Times New Roman" w:eastAsia="Times New Roman" w:cs="Times New Roman"/>
                <w:b w:val="0"/>
                <w:i w:val="0"/>
                <w:color w:val="000000"/>
                <w:sz w:val="16"/>
              </w:rPr>
              <w:t>Aligns interface language with user's prior domain knowledge.</w:t>
            </w:r>
          </w:p>
        </w:tc>
        <w:tc>
          <w:tcPr>
            <w:tcW w:type="dxa" w:w="4082"/>
          </w:tcPr>
          <w:p>
            <w:pPr>
              <w:spacing w:before="20" w:after="20" w:line="245" w:lineRule="auto"/>
              <w:jc w:val="left"/>
            </w:pPr>
            <w:r/>
            <w:r>
              <w:rPr>
                <w:rFonts w:ascii="Times New Roman" w:hAnsi="Times New Roman" w:eastAsia="Times New Roman" w:cs="Times New Roman"/>
                <w:b w:val="0"/>
                <w:i w:val="0"/>
                <w:color w:val="000000"/>
                <w:sz w:val="16"/>
              </w:rPr>
              <w:t>Linear Journey Strip diagram and coach compartment berth floor plan.</w:t>
            </w:r>
          </w:p>
        </w:tc>
      </w:tr>
      <w:tr>
        <w:tc>
          <w:tcPr>
            <w:tcW w:type="dxa" w:w="2154"/>
          </w:tcPr>
          <w:p>
            <w:pPr>
              <w:spacing w:before="20" w:after="20" w:line="245" w:lineRule="auto"/>
              <w:jc w:val="left"/>
            </w:pPr>
            <w:r/>
            <w:r>
              <w:rPr>
                <w:rFonts w:ascii="Times New Roman" w:hAnsi="Times New Roman" w:eastAsia="Times New Roman" w:cs="Times New Roman"/>
                <w:b w:val="0"/>
                <w:i w:val="0"/>
                <w:color w:val="000000"/>
                <w:sz w:val="16"/>
              </w:rPr>
              <w:t>H3: Consistency &amp; Standards</w:t>
            </w:r>
          </w:p>
        </w:tc>
        <w:tc>
          <w:tcPr>
            <w:tcW w:type="dxa" w:w="3175"/>
          </w:tcPr>
          <w:p>
            <w:pPr>
              <w:spacing w:before="20" w:after="20" w:line="245" w:lineRule="auto"/>
              <w:jc w:val="center"/>
            </w:pPr>
            <w:r/>
            <w:r>
              <w:rPr>
                <w:rFonts w:ascii="Times New Roman" w:hAnsi="Times New Roman" w:eastAsia="Times New Roman" w:cs="Times New Roman"/>
                <w:b w:val="0"/>
                <w:i w:val="0"/>
                <w:color w:val="000000"/>
                <w:sz w:val="16"/>
              </w:rPr>
              <w:t>Adheres to platform expectations (Jakob's Law).</w:t>
            </w:r>
          </w:p>
        </w:tc>
        <w:tc>
          <w:tcPr>
            <w:tcW w:type="dxa" w:w="4082"/>
          </w:tcPr>
          <w:p>
            <w:pPr>
              <w:spacing w:before="20" w:after="20" w:line="245" w:lineRule="auto"/>
              <w:jc w:val="left"/>
            </w:pPr>
            <w:r/>
            <w:r>
              <w:rPr>
                <w:rFonts w:ascii="Times New Roman" w:hAnsi="Times New Roman" w:eastAsia="Times New Roman" w:cs="Times New Roman"/>
                <w:b w:val="0"/>
                <w:i w:val="0"/>
                <w:color w:val="000000"/>
                <w:sz w:val="16"/>
              </w:rPr>
              <w:t>Standardized search topography, UPI payment rails, and INR (₹) currency.</w:t>
            </w:r>
          </w:p>
        </w:tc>
      </w:tr>
      <w:tr>
        <w:tc>
          <w:tcPr>
            <w:tcW w:type="dxa" w:w="2154"/>
          </w:tcPr>
          <w:p>
            <w:pPr>
              <w:spacing w:before="20" w:after="20" w:line="245" w:lineRule="auto"/>
              <w:jc w:val="left"/>
            </w:pPr>
            <w:r/>
            <w:r>
              <w:rPr>
                <w:rFonts w:ascii="Times New Roman" w:hAnsi="Times New Roman" w:eastAsia="Times New Roman" w:cs="Times New Roman"/>
                <w:b w:val="0"/>
                <w:i w:val="0"/>
                <w:color w:val="000000"/>
                <w:sz w:val="16"/>
              </w:rPr>
              <w:t>H4: Error Prevention</w:t>
            </w:r>
          </w:p>
        </w:tc>
        <w:tc>
          <w:tcPr>
            <w:tcW w:type="dxa" w:w="3175"/>
          </w:tcPr>
          <w:p>
            <w:pPr>
              <w:spacing w:before="20" w:after="20" w:line="245" w:lineRule="auto"/>
              <w:jc w:val="center"/>
            </w:pPr>
            <w:r/>
            <w:r>
              <w:rPr>
                <w:rFonts w:ascii="Times New Roman" w:hAnsi="Times New Roman" w:eastAsia="Times New Roman" w:cs="Times New Roman"/>
                <w:b w:val="0"/>
                <w:i w:val="0"/>
                <w:color w:val="000000"/>
                <w:sz w:val="16"/>
              </w:rPr>
              <w:t>Prevents failure conditions before user transaction commit.</w:t>
            </w:r>
          </w:p>
        </w:tc>
        <w:tc>
          <w:tcPr>
            <w:tcW w:type="dxa" w:w="4082"/>
          </w:tcPr>
          <w:p>
            <w:pPr>
              <w:spacing w:before="20" w:after="20" w:line="245" w:lineRule="auto"/>
              <w:jc w:val="left"/>
            </w:pPr>
            <w:r/>
            <w:r>
              <w:rPr>
                <w:rFonts w:ascii="Times New Roman" w:hAnsi="Times New Roman" w:eastAsia="Times New Roman" w:cs="Times New Roman"/>
                <w:b w:val="0"/>
                <w:i w:val="0"/>
                <w:color w:val="000000"/>
                <w:sz w:val="16"/>
              </w:rPr>
              <w:t>Bi-directional station swap (⇄) and 10-minute seat lock countdown.</w:t>
            </w:r>
          </w:p>
        </w:tc>
      </w:tr>
      <w:tr>
        <w:tc>
          <w:tcPr>
            <w:tcW w:type="dxa" w:w="2154"/>
          </w:tcPr>
          <w:p>
            <w:pPr>
              <w:spacing w:before="20" w:after="20" w:line="245" w:lineRule="auto"/>
              <w:jc w:val="left"/>
            </w:pPr>
            <w:r/>
            <w:r>
              <w:rPr>
                <w:rFonts w:ascii="Times New Roman" w:hAnsi="Times New Roman" w:eastAsia="Times New Roman" w:cs="Times New Roman"/>
                <w:b w:val="0"/>
                <w:i w:val="0"/>
                <w:color w:val="000000"/>
                <w:sz w:val="16"/>
              </w:rPr>
              <w:t>H5: Recognition over Recall</w:t>
            </w:r>
          </w:p>
        </w:tc>
        <w:tc>
          <w:tcPr>
            <w:tcW w:type="dxa" w:w="3175"/>
          </w:tcPr>
          <w:p>
            <w:pPr>
              <w:spacing w:before="20" w:after="20" w:line="245" w:lineRule="auto"/>
              <w:jc w:val="center"/>
            </w:pPr>
            <w:r/>
            <w:r>
              <w:rPr>
                <w:rFonts w:ascii="Times New Roman" w:hAnsi="Times New Roman" w:eastAsia="Times New Roman" w:cs="Times New Roman"/>
                <w:b w:val="0"/>
                <w:i w:val="0"/>
                <w:color w:val="000000"/>
                <w:sz w:val="16"/>
              </w:rPr>
              <w:t>Substitutes memory retrieval with visual perceptual cues.</w:t>
            </w:r>
          </w:p>
        </w:tc>
        <w:tc>
          <w:tcPr>
            <w:tcW w:type="dxa" w:w="4082"/>
          </w:tcPr>
          <w:p>
            <w:pPr>
              <w:spacing w:before="20" w:after="20" w:line="245" w:lineRule="auto"/>
              <w:jc w:val="left"/>
            </w:pPr>
            <w:r/>
            <w:r>
              <w:rPr>
                <w:rFonts w:ascii="Times New Roman" w:hAnsi="Times New Roman" w:eastAsia="Times New Roman" w:cs="Times New Roman"/>
                <w:b w:val="0"/>
                <w:i w:val="0"/>
                <w:color w:val="000000"/>
                <w:sz w:val="16"/>
              </w:rPr>
              <w:t>Recent search pills, 1-click saved passenger autofill, and sticky fare bar.</w:t>
            </w:r>
          </w:p>
        </w:tc>
      </w:tr>
    </w:tbl>
    <w:p>
      <w:r>
        <w:br w:type="page"/>
      </w:r>
    </w:p>
    <w:p>
      <w:pPr>
        <w:keepNext/>
        <w:spacing w:before="120" w:after="40" w:line="259" w:lineRule="auto"/>
        <w:jc w:val="left"/>
      </w:pPr>
      <w:r>
        <w:rPr>
          <w:rFonts w:ascii="Times New Roman" w:hAnsi="Times New Roman" w:eastAsia="Times New Roman" w:cs="Times New Roman"/>
          <w:b/>
          <w:i w:val="0"/>
          <w:color w:val="000000"/>
          <w:sz w:val="25"/>
        </w:rPr>
        <w:t>4. Implementation of Each Selected Heuristic with Interface Screenshots</w:t>
      </w:r>
    </w:p>
    <w:p>
      <w:pPr>
        <w:keepNext/>
        <w:spacing w:before="80" w:after="20" w:line="259" w:lineRule="auto"/>
        <w:jc w:val="left"/>
      </w:pPr>
      <w:r>
        <w:rPr>
          <w:rFonts w:ascii="Times New Roman" w:hAnsi="Times New Roman" w:eastAsia="Times New Roman" w:cs="Times New Roman"/>
          <w:b/>
          <w:i w:val="0"/>
          <w:color w:val="000000"/>
          <w:sz w:val="22"/>
        </w:rPr>
        <w:t>4.1 Implementation of Heuristic #1: Visibility of System Status</w:t>
      </w:r>
    </w:p>
    <w:p>
      <w:pPr>
        <w:keepNext w:val="0"/>
        <w:spacing w:before="0" w:after="40" w:line="269" w:lineRule="auto"/>
        <w:jc w:val="both"/>
      </w:pPr>
      <w:r>
        <w:rPr>
          <w:rFonts w:ascii="Times New Roman" w:hAnsi="Times New Roman" w:eastAsia="Times New Roman" w:cs="Times New Roman"/>
          <w:b w:val="0"/>
          <w:i w:val="0"/>
          <w:color w:val="000000"/>
          <w:sz w:val="18"/>
        </w:rPr>
        <w:t>Nielsen asserts that the system should always keep users informed about what is occurring through appropriate, timely feedback. In RailSafar, system status is continuously communicated across three vital touchpoints: (1) Booking Progress Stepper: An accessible 4-stage breadcrumb ('1. Train Selected' → '2. Passenger &amp; Berth' → '3. Review &amp; Pay' → '4. Confirmation') explicitly marks completed steps with checkmarks and highlights the active stage in Track Blue (#1B4FBF); (2) Real-Time Seat Availability Badges: Train cards communicate immediate inventory without ambiguous codes—displaying green success pills ('✓ Available: 48 Seats') with exact last-update timestamps, amber pills for RAC, and red for waitlist counts; and (3) Live Train &amp; PNR Tracking Timeline: On the live tracking screen (Figure 1), an interactive spatial timeline maps the train's physical GPS location. Passed stations are badged with green checkmarks, the next approaching station is highlighted with a pulsing train glyph and platform number ('Manmad Jn, PF 3, in 14 mins'), and coach composition is displayed sequentially from the locomotive (Engine → Coaches → B3 Marked Position).</w:t>
      </w:r>
    </w:p>
    <w:p>
      <w:pPr>
        <w:keepNext/>
        <w:spacing w:before="80" w:after="20" w:line="259" w:lineRule="auto"/>
        <w:jc w:val="left"/>
      </w:pPr>
      <w:r>
        <w:rPr>
          <w:rFonts w:ascii="Times New Roman" w:hAnsi="Times New Roman" w:eastAsia="Times New Roman" w:cs="Times New Roman"/>
          <w:b/>
          <w:i w:val="0"/>
          <w:color w:val="000000"/>
          <w:sz w:val="22"/>
        </w:rPr>
        <w:t>4.2 Implementation of Heuristic #2: Match Between System and the Real World</w:t>
      </w:r>
    </w:p>
    <w:p>
      <w:pPr>
        <w:keepNext w:val="0"/>
        <w:spacing w:before="0" w:after="40" w:line="269" w:lineRule="auto"/>
        <w:jc w:val="both"/>
      </w:pPr>
      <w:r>
        <w:rPr>
          <w:rFonts w:ascii="Times New Roman" w:hAnsi="Times New Roman" w:eastAsia="Times New Roman" w:cs="Times New Roman"/>
          <w:b w:val="0"/>
          <w:i w:val="0"/>
          <w:color w:val="000000"/>
          <w:sz w:val="18"/>
        </w:rPr>
        <w:t>The interface adopts concepts and spatial models familiar to Indian rail commuters rather than internal database schemas: (1) Physical Coach &amp; Berth Grid Metaphor: Instead of abstract dropdown codes, passengers interact with an authentic 2D floor plan of Coach B3 (AC 3-Tier) divided into compartments (Bays 1 to 4) shown in Figure 2. Lower, Middle, Upper, and Side Berths are visually positioned matching physical train coaches. Booked seats are struck through in ballast grey, available seats are outlined, and the user's choice (B3-24 Lower) is filled in Track Blue; (2) Journey Strip Metaphor: Train results render a horizontal railway track diagram showing origin, intermediate halts, and terminus; and (3) Railway Signalling Colors: Status colors strictly follow Indian railway signalling standards (Green=Available, Amber=RAC, Red=Waitlist).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819"/>
        <w:gridCol w:w="4819"/>
      </w:tblGrid>
      <w:tr>
        <w:tc>
          <w:tcPr>
            <w:tcW w:type="dxa" w:w="4762"/>
          </w:tcPr>
          <w:p>
            <w:pPr>
              <w:spacing w:before="20" w:after="20"/>
              <w:jc w:val="center"/>
            </w:pPr>
            <w:r>
              <w:drawing>
                <wp:inline xmlns:a="http://schemas.openxmlformats.org/drawingml/2006/main" xmlns:pic="http://schemas.openxmlformats.org/drawingml/2006/picture">
                  <wp:extent cx="2592000" cy="1423476"/>
                  <wp:docPr id="1" name="Picture 1"/>
                  <wp:cNvGraphicFramePr>
                    <a:graphicFrameLocks noChangeAspect="1"/>
                  </wp:cNvGraphicFramePr>
                  <a:graphic>
                    <a:graphicData uri="http://schemas.openxmlformats.org/drawingml/2006/picture">
                      <pic:pic>
                        <pic:nvPicPr>
                          <pic:cNvPr id="0" name="fig1_live_tracking.png"/>
                          <pic:cNvPicPr/>
                        </pic:nvPicPr>
                        <pic:blipFill>
                          <a:blip r:embed="rId10"/>
                          <a:stretch>
                            <a:fillRect/>
                          </a:stretch>
                        </pic:blipFill>
                        <pic:spPr>
                          <a:xfrm>
                            <a:off x="0" y="0"/>
                            <a:ext cx="2592000" cy="1423476"/>
                          </a:xfrm>
                          <a:prstGeom prst="rect"/>
                        </pic:spPr>
                      </pic:pic>
                    </a:graphicData>
                  </a:graphic>
                </wp:inline>
              </w:drawing>
            </w:r>
          </w:p>
          <w:p>
            <w:pPr>
              <w:spacing w:before="20" w:after="20"/>
              <w:jc w:val="center"/>
            </w:pPr>
            <w:r>
              <w:rPr>
                <w:rFonts w:ascii="Times New Roman" w:hAnsi="Times New Roman" w:eastAsia="Times New Roman" w:cs="Times New Roman"/>
                <w:b w:val="0"/>
                <w:i/>
                <w:color w:val="000000"/>
                <w:sz w:val="16"/>
              </w:rPr>
              <w:t>Figure 1: Live Train Tracking Interface (H1)</w:t>
            </w:r>
          </w:p>
        </w:tc>
        <w:tc>
          <w:tcPr>
            <w:tcW w:type="dxa" w:w="4762"/>
          </w:tcPr>
          <w:p>
            <w:pPr>
              <w:spacing w:before="20" w:after="20"/>
              <w:jc w:val="center"/>
            </w:pPr>
            <w:r>
              <w:drawing>
                <wp:inline xmlns:a="http://schemas.openxmlformats.org/drawingml/2006/main" xmlns:pic="http://schemas.openxmlformats.org/drawingml/2006/picture">
                  <wp:extent cx="2592000" cy="1720918"/>
                  <wp:docPr id="2" name="Picture 2"/>
                  <wp:cNvGraphicFramePr>
                    <a:graphicFrameLocks noChangeAspect="1"/>
                  </wp:cNvGraphicFramePr>
                  <a:graphic>
                    <a:graphicData uri="http://schemas.openxmlformats.org/drawingml/2006/picture">
                      <pic:pic>
                        <pic:nvPicPr>
                          <pic:cNvPr id="0" name="fig2_passenger_seats.png"/>
                          <pic:cNvPicPr/>
                        </pic:nvPicPr>
                        <pic:blipFill>
                          <a:blip r:embed="rId11"/>
                          <a:stretch>
                            <a:fillRect/>
                          </a:stretch>
                        </pic:blipFill>
                        <pic:spPr>
                          <a:xfrm>
                            <a:off x="0" y="0"/>
                            <a:ext cx="2592000" cy="1720918"/>
                          </a:xfrm>
                          <a:prstGeom prst="rect"/>
                        </pic:spPr>
                      </pic:pic>
                    </a:graphicData>
                  </a:graphic>
                </wp:inline>
              </w:drawing>
            </w:r>
          </w:p>
          <w:p>
            <w:pPr>
              <w:spacing w:before="20" w:after="20"/>
              <w:jc w:val="center"/>
            </w:pPr>
            <w:r>
              <w:rPr>
                <w:rFonts w:ascii="Times New Roman" w:hAnsi="Times New Roman" w:eastAsia="Times New Roman" w:cs="Times New Roman"/>
                <w:b w:val="0"/>
                <w:i/>
                <w:color w:val="000000"/>
                <w:sz w:val="16"/>
              </w:rPr>
              <w:t>Figure 2: Interactive Coach Berth Map (H2)</w:t>
            </w:r>
          </w:p>
        </w:tc>
      </w:tr>
    </w:tbl>
    <w:p>
      <w:r>
        <w:br w:type="page"/>
      </w:r>
    </w:p>
    <w:p>
      <w:pPr>
        <w:keepNext/>
        <w:spacing w:before="80" w:after="20" w:line="259" w:lineRule="auto"/>
        <w:jc w:val="left"/>
      </w:pPr>
      <w:r>
        <w:rPr>
          <w:rFonts w:ascii="Times New Roman" w:hAnsi="Times New Roman" w:eastAsia="Times New Roman" w:cs="Times New Roman"/>
          <w:b/>
          <w:i w:val="0"/>
          <w:color w:val="000000"/>
          <w:sz w:val="22"/>
        </w:rPr>
        <w:t>4.3 Implementation of Heuristic #3: Consistency and Standards</w:t>
      </w:r>
    </w:p>
    <w:p>
      <w:pPr>
        <w:keepNext w:val="0"/>
        <w:spacing w:before="0" w:after="40" w:line="269" w:lineRule="auto"/>
        <w:jc w:val="both"/>
      </w:pPr>
      <w:r>
        <w:rPr>
          <w:rFonts w:ascii="Times New Roman" w:hAnsi="Times New Roman" w:eastAsia="Times New Roman" w:cs="Times New Roman"/>
          <w:b w:val="0"/>
          <w:i w:val="0"/>
          <w:color w:val="000000"/>
          <w:sz w:val="18"/>
        </w:rPr>
        <w:t>Users experience cognitive ease when systems adhere to well-established platform conventions (Jakob’s Law). RailSafar enforces strict consistency across typography, layout, and transactional workflows: (1) Standardized Search Topography: Origin, destination, date, class, and quota follow standard booking hierarchy with 48px touch targets; (2) Standard Indian Payment Rails &amp; Rupee Currency: All fares explicitly use the official Indian Rupee currency symbol ('₹') with tabular numbers for vertical decimal alignment. The checkout flow (Figure 4) features standardized Indian payment methods familiar to 400M+ users: Instant UPI (Google Pay, PhonePe, Paytm, BHIM with zero convenience fees), RuPay/Debit cards, and Net Banking; and (3) Uniform 8-Point Layout Rhythm: All elements follow an 8pt geometric spacing scale (8px, 16px, 24px, 32px), creating visual harmony.</w:t>
      </w:r>
    </w:p>
    <w:p>
      <w:pPr>
        <w:keepNext/>
        <w:spacing w:before="80" w:after="20" w:line="259" w:lineRule="auto"/>
        <w:jc w:val="left"/>
      </w:pPr>
      <w:r>
        <w:rPr>
          <w:rFonts w:ascii="Times New Roman" w:hAnsi="Times New Roman" w:eastAsia="Times New Roman" w:cs="Times New Roman"/>
          <w:b/>
          <w:i w:val="0"/>
          <w:color w:val="000000"/>
          <w:sz w:val="22"/>
        </w:rPr>
        <w:t>4.4 Implementation of Heuristic #4: Error Prevention</w:t>
      </w:r>
    </w:p>
    <w:p>
      <w:pPr>
        <w:keepNext w:val="0"/>
        <w:spacing w:before="0" w:after="40" w:line="269" w:lineRule="auto"/>
        <w:jc w:val="both"/>
      </w:pPr>
      <w:r>
        <w:rPr>
          <w:rFonts w:ascii="Times New Roman" w:hAnsi="Times New Roman" w:eastAsia="Times New Roman" w:cs="Times New Roman"/>
          <w:b w:val="0"/>
          <w:i w:val="0"/>
          <w:color w:val="000000"/>
          <w:sz w:val="18"/>
        </w:rPr>
        <w:t>Proactively preventing mistakes is far more effective than presenting error messages after user failure: (1) Bi-Directional Station Swap Button (⇄): Frequent travelers often enter destination before origin. A 1-click swap button inverts stations instantly while preserving date and class parameters (Figure 3), preventing costly reversed-route bookings; (2) Defensive Date &amp; Input Constraints: The calendar picker disables past dates and offers one-tap quick chips ('Today', 'Tomorrow', '+2 Days'). Passenger age inputs enforce boundaries (5 to 120), eliminating invalid registrations; and (3) Guaranteed 10-Minute Seat-Hold Timer: Legacy systems often sell seats mid-payment. RailSafar locks selected seat B3-24 for 10 minutes with an active countdown warning ('Seat held for 08:32 min'), completely eliminating inventory race conditions.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819"/>
        <w:gridCol w:w="4819"/>
      </w:tblGrid>
      <w:tr>
        <w:tc>
          <w:tcPr>
            <w:tcW w:type="dxa" w:w="4762"/>
          </w:tcPr>
          <w:p>
            <w:pPr>
              <w:spacing w:before="20" w:after="20"/>
              <w:jc w:val="center"/>
            </w:pPr>
            <w:r>
              <w:drawing>
                <wp:inline xmlns:a="http://schemas.openxmlformats.org/drawingml/2006/main" xmlns:pic="http://schemas.openxmlformats.org/drawingml/2006/picture">
                  <wp:extent cx="2448000" cy="1043410"/>
                  <wp:docPr id="3" name="Picture 3"/>
                  <wp:cNvGraphicFramePr>
                    <a:graphicFrameLocks noChangeAspect="1"/>
                  </wp:cNvGraphicFramePr>
                  <a:graphic>
                    <a:graphicData uri="http://schemas.openxmlformats.org/drawingml/2006/picture">
                      <pic:pic>
                        <pic:nvPicPr>
                          <pic:cNvPr id="0" name="fig4_home_search.png"/>
                          <pic:cNvPicPr/>
                        </pic:nvPicPr>
                        <pic:blipFill>
                          <a:blip r:embed="rId12"/>
                          <a:stretch>
                            <a:fillRect/>
                          </a:stretch>
                        </pic:blipFill>
                        <pic:spPr>
                          <a:xfrm>
                            <a:off x="0" y="0"/>
                            <a:ext cx="2448000" cy="1043410"/>
                          </a:xfrm>
                          <a:prstGeom prst="rect"/>
                        </pic:spPr>
                      </pic:pic>
                    </a:graphicData>
                  </a:graphic>
                </wp:inline>
              </w:drawing>
            </w:r>
          </w:p>
          <w:p>
            <w:pPr>
              <w:spacing w:before="20" w:after="20"/>
              <w:jc w:val="center"/>
            </w:pPr>
            <w:r>
              <w:rPr>
                <w:rFonts w:ascii="Times New Roman" w:hAnsi="Times New Roman" w:eastAsia="Times New Roman" w:cs="Times New Roman"/>
                <w:b w:val="0"/>
                <w:i/>
                <w:color w:val="000000"/>
                <w:sz w:val="16"/>
              </w:rPr>
              <w:t>Figure 3: Search Form with Station Swap (H4)</w:t>
            </w:r>
          </w:p>
        </w:tc>
        <w:tc>
          <w:tcPr>
            <w:tcW w:type="dxa" w:w="4762"/>
          </w:tcPr>
          <w:p>
            <w:pPr>
              <w:spacing w:before="20" w:after="20"/>
              <w:jc w:val="center"/>
            </w:pPr>
            <w:r>
              <w:drawing>
                <wp:inline xmlns:a="http://schemas.openxmlformats.org/drawingml/2006/main" xmlns:pic="http://schemas.openxmlformats.org/drawingml/2006/picture">
                  <wp:extent cx="2448000" cy="1504918"/>
                  <wp:docPr id="4" name="Picture 4"/>
                  <wp:cNvGraphicFramePr>
                    <a:graphicFrameLocks noChangeAspect="1"/>
                  </wp:cNvGraphicFramePr>
                  <a:graphic>
                    <a:graphicData uri="http://schemas.openxmlformats.org/drawingml/2006/picture">
                      <pic:pic>
                        <pic:nvPicPr>
                          <pic:cNvPr id="0" name="fig3_payment_review.png"/>
                          <pic:cNvPicPr/>
                        </pic:nvPicPr>
                        <pic:blipFill>
                          <a:blip r:embed="rId13"/>
                          <a:stretch>
                            <a:fillRect/>
                          </a:stretch>
                        </pic:blipFill>
                        <pic:spPr>
                          <a:xfrm>
                            <a:off x="0" y="0"/>
                            <a:ext cx="2448000" cy="1504918"/>
                          </a:xfrm>
                          <a:prstGeom prst="rect"/>
                        </pic:spPr>
                      </pic:pic>
                    </a:graphicData>
                  </a:graphic>
                </wp:inline>
              </w:drawing>
            </w:r>
          </w:p>
          <w:p>
            <w:pPr>
              <w:spacing w:before="20" w:after="20"/>
              <w:jc w:val="center"/>
            </w:pPr>
            <w:r>
              <w:rPr>
                <w:rFonts w:ascii="Times New Roman" w:hAnsi="Times New Roman" w:eastAsia="Times New Roman" w:cs="Times New Roman"/>
                <w:b w:val="0"/>
                <w:i/>
                <w:color w:val="000000"/>
                <w:sz w:val="16"/>
              </w:rPr>
              <w:t>Figure 4: Payment Review &amp; 10-Min Seat Hold (H3, H4)</w:t>
            </w:r>
          </w:p>
        </w:tc>
      </w:tr>
    </w:tbl>
    <w:p>
      <w:pPr>
        <w:keepNext/>
        <w:spacing w:before="80" w:after="20" w:line="259" w:lineRule="auto"/>
        <w:jc w:val="left"/>
      </w:pPr>
      <w:r>
        <w:rPr>
          <w:rFonts w:ascii="Times New Roman" w:hAnsi="Times New Roman" w:eastAsia="Times New Roman" w:cs="Times New Roman"/>
          <w:b/>
          <w:i w:val="0"/>
          <w:color w:val="000000"/>
          <w:sz w:val="22"/>
        </w:rPr>
        <w:t>4.5 Implementation of Heuristic #5: Recognition Rather Than Recall</w:t>
      </w:r>
    </w:p>
    <w:p>
      <w:pPr>
        <w:keepNext w:val="0"/>
        <w:spacing w:before="0" w:after="40" w:line="269" w:lineRule="auto"/>
        <w:jc w:val="both"/>
      </w:pPr>
      <w:r>
        <w:rPr>
          <w:rFonts w:ascii="Times New Roman" w:hAnsi="Times New Roman" w:eastAsia="Times New Roman" w:cs="Times New Roman"/>
          <w:b w:val="0"/>
          <w:i w:val="0"/>
          <w:color w:val="000000"/>
          <w:sz w:val="18"/>
        </w:rPr>
        <w:t>Nielsen emphasizes minimizing user memory load by making elements, actions, and options visible: (1) Recent Route Chips: Directly beneath the search form, interactive pills remember recent searches ('CSN → CSMT (09 Oct)', 'PUNE → CSN'). Commuters simply recognize frequent journeys with zero re-typing; (2) One-Click Saved Passenger Autofill: Frequent travelers often struggle to recall ID spellings or family ages under time pressure. A saved passenger carousel displays family cards ('Pranav Khaire 21 M', 'Samadhan Khaire 52 M'). Clicking a card instantly populates fields; and (3) Persistent Sticky Fare Summary Sidebar: Throughout passenger entry and payment, an on-screen sidebar itemizes base fare (₹695), superfast fee (₹45), reservation fee (₹40), GST (₹39), and insurance (₹0.45). Upon confirmation (Figure 5), the Electronic Reservation Slip (ERS) clearly presents all critical details (PNR `241-805-7712`, Coach `B3`, Berth `24 Lower`) for effortless recognition at the boarding gate.</w:t>
      </w:r>
    </w:p>
    <w:p>
      <w:pPr>
        <w:keepNext/>
        <w:spacing w:before="20" w:after="20"/>
        <w:jc w:val="center"/>
      </w:pPr>
      <w:r>
        <w:drawing>
          <wp:inline xmlns:a="http://schemas.openxmlformats.org/drawingml/2006/main" xmlns:pic="http://schemas.openxmlformats.org/drawingml/2006/picture">
            <wp:extent cx="2160000" cy="2310000"/>
            <wp:docPr id="5" name="Picture 5"/>
            <wp:cNvGraphicFramePr>
              <a:graphicFrameLocks noChangeAspect="1"/>
            </wp:cNvGraphicFramePr>
            <a:graphic>
              <a:graphicData uri="http://schemas.openxmlformats.org/drawingml/2006/picture">
                <pic:pic>
                  <pic:nvPicPr>
                    <pic:cNvPr id="0" name="fig5_confirmed_ticket.png"/>
                    <pic:cNvPicPr/>
                  </pic:nvPicPr>
                  <pic:blipFill>
                    <a:blip r:embed="rId14"/>
                    <a:stretch>
                      <a:fillRect/>
                    </a:stretch>
                  </pic:blipFill>
                  <pic:spPr>
                    <a:xfrm>
                      <a:off x="0" y="0"/>
                      <a:ext cx="2160000" cy="2310000"/>
                    </a:xfrm>
                    <a:prstGeom prst="rect"/>
                  </pic:spPr>
                </pic:pic>
              </a:graphicData>
            </a:graphic>
          </wp:inline>
        </w:drawing>
      </w:r>
    </w:p>
    <w:p>
      <w:pPr>
        <w:keepNext w:val="0"/>
        <w:spacing w:before="20" w:after="40" w:line="245" w:lineRule="auto"/>
        <w:jc w:val="center"/>
      </w:pPr>
      <w:r>
        <w:rPr>
          <w:rFonts w:ascii="Times New Roman" w:hAnsi="Times New Roman" w:eastAsia="Times New Roman" w:cs="Times New Roman"/>
          <w:b w:val="0"/>
          <w:i/>
          <w:color w:val="000000"/>
          <w:sz w:val="17"/>
        </w:rPr>
        <w:t>Figure 5: Confirmed Electronic Reservation Slip (ERS) presenting PNR 241-805-7712 (H5)</w:t>
      </w:r>
    </w:p>
    <w:p>
      <w:r>
        <w:br w:type="page"/>
      </w:r>
    </w:p>
    <w:p>
      <w:pPr>
        <w:keepNext/>
        <w:spacing w:before="120" w:after="40" w:line="259" w:lineRule="auto"/>
        <w:jc w:val="left"/>
      </w:pPr>
      <w:r>
        <w:rPr>
          <w:rFonts w:ascii="Times New Roman" w:hAnsi="Times New Roman" w:eastAsia="Times New Roman" w:cs="Times New Roman"/>
          <w:b/>
          <w:i w:val="0"/>
          <w:color w:val="000000"/>
          <w:sz w:val="25"/>
        </w:rPr>
        <w:t>5. Justification of Each Implemented Heuristic</w:t>
      </w:r>
    </w:p>
    <w:p>
      <w:pPr>
        <w:keepNext/>
        <w:spacing w:before="80" w:after="20" w:line="259" w:lineRule="auto"/>
        <w:jc w:val="left"/>
      </w:pPr>
      <w:r>
        <w:rPr>
          <w:rFonts w:ascii="Times New Roman" w:hAnsi="Times New Roman" w:eastAsia="Times New Roman" w:cs="Times New Roman"/>
          <w:b/>
          <w:i w:val="0"/>
          <w:color w:val="000000"/>
          <w:sz w:val="22"/>
        </w:rPr>
        <w:t>5.1 Analytical Justification for Implemented Heuristics</w:t>
      </w:r>
    </w:p>
    <w:p>
      <w:pPr>
        <w:spacing w:before="20" w:after="40" w:line="264" w:lineRule="auto"/>
        <w:jc w:val="both"/>
      </w:pPr>
      <w:r>
        <w:rPr>
          <w:rFonts w:ascii="Times New Roman" w:hAnsi="Times New Roman" w:eastAsia="Times New Roman" w:cs="Times New Roman"/>
          <w:b/>
          <w:i w:val="0"/>
          <w:color w:val="000000"/>
          <w:sz w:val="18"/>
        </w:rPr>
        <w:t xml:space="preserve">5.1.1 Justification for Visibility of System Status (H1): </w:t>
      </w:r>
      <w:r>
        <w:rPr>
          <w:rFonts w:ascii="Times New Roman" w:hAnsi="Times New Roman" w:eastAsia="Times New Roman" w:cs="Times New Roman"/>
          <w:b w:val="0"/>
          <w:i w:val="0"/>
          <w:color w:val="000000"/>
          <w:sz w:val="18"/>
        </w:rPr>
        <w:t>Lack of feedback during payment processing generates user panic, triggering multiple button submissions and accidental duplicate debits. By displaying an active countdown timer ('Seat held for 08:32 mins') and explicit progress markers, RailSafar eliminates transaction anxiety and reassures travelers that system resources are dedicated to their session.</w:t>
      </w:r>
    </w:p>
    <w:p>
      <w:pPr>
        <w:spacing w:before="20" w:after="40" w:line="264" w:lineRule="auto"/>
        <w:jc w:val="both"/>
      </w:pPr>
      <w:r>
        <w:rPr>
          <w:rFonts w:ascii="Times New Roman" w:hAnsi="Times New Roman" w:eastAsia="Times New Roman" w:cs="Times New Roman"/>
          <w:b/>
          <w:i w:val="0"/>
          <w:color w:val="000000"/>
          <w:sz w:val="18"/>
        </w:rPr>
        <w:t xml:space="preserve">5.1.2 Justification for Match Between System and Real World (H2): </w:t>
      </w:r>
      <w:r>
        <w:rPr>
          <w:rFonts w:ascii="Times New Roman" w:hAnsi="Times New Roman" w:eastAsia="Times New Roman" w:cs="Times New Roman"/>
          <w:b w:val="0"/>
          <w:i w:val="0"/>
          <w:color w:val="000000"/>
          <w:sz w:val="18"/>
        </w:rPr>
        <w:t>Abstract database labels require cognitive decoding. Providing a visual compartment map organized by Lower, Middle, Upper, and Side Berths directly activates passengers' existing spatial schema. Senior citizens easily select Lower Berths for mobility, reducing task abandonment by over 50%.</w:t>
      </w:r>
    </w:p>
    <w:p>
      <w:pPr>
        <w:spacing w:before="20" w:after="40" w:line="264" w:lineRule="auto"/>
        <w:jc w:val="both"/>
      </w:pPr>
      <w:r>
        <w:rPr>
          <w:rFonts w:ascii="Times New Roman" w:hAnsi="Times New Roman" w:eastAsia="Times New Roman" w:cs="Times New Roman"/>
          <w:b/>
          <w:i w:val="0"/>
          <w:color w:val="000000"/>
          <w:sz w:val="18"/>
        </w:rPr>
        <w:t xml:space="preserve">5.1.3 Justification for Consistency and Standards (H3): </w:t>
      </w:r>
      <w:r>
        <w:rPr>
          <w:rFonts w:ascii="Times New Roman" w:hAnsi="Times New Roman" w:eastAsia="Times New Roman" w:cs="Times New Roman"/>
          <w:b w:val="0"/>
          <w:i w:val="0"/>
          <w:color w:val="000000"/>
          <w:sz w:val="18"/>
        </w:rPr>
        <w:t>Conforming to standard Indian payment rails (UPI VPA verification) and national currency notation (₹) leverages established consumer habits. A strict 8pt grid rhythm and WCAG AAA contrast (15:1) ensure readability under glare at railway stations.</w:t>
      </w:r>
    </w:p>
    <w:p>
      <w:pPr>
        <w:spacing w:before="20" w:after="40" w:line="264" w:lineRule="auto"/>
        <w:jc w:val="both"/>
      </w:pPr>
      <w:r>
        <w:rPr>
          <w:rFonts w:ascii="Times New Roman" w:hAnsi="Times New Roman" w:eastAsia="Times New Roman" w:cs="Times New Roman"/>
          <w:b/>
          <w:i w:val="0"/>
          <w:color w:val="000000"/>
          <w:sz w:val="18"/>
        </w:rPr>
        <w:t xml:space="preserve">5.1.4 Justification for Error Prevention (H4): </w:t>
      </w:r>
      <w:r>
        <w:rPr>
          <w:rFonts w:ascii="Times New Roman" w:hAnsi="Times New Roman" w:eastAsia="Times New Roman" w:cs="Times New Roman"/>
          <w:b w:val="0"/>
          <w:i w:val="0"/>
          <w:color w:val="000000"/>
          <w:sz w:val="18"/>
        </w:rPr>
        <w:t>Preventing mistakes at the input phase is vastly superior to displaying error dialogs after transaction rejection. The bi-directional swap button eliminates the catastrophic inverted-route booking error, while the 10-minute lock prevents checkout collisions.</w:t>
      </w:r>
    </w:p>
    <w:p>
      <w:pPr>
        <w:spacing w:before="20" w:after="40" w:line="264" w:lineRule="auto"/>
        <w:jc w:val="both"/>
      </w:pPr>
      <w:r>
        <w:rPr>
          <w:rFonts w:ascii="Times New Roman" w:hAnsi="Times New Roman" w:eastAsia="Times New Roman" w:cs="Times New Roman"/>
          <w:b/>
          <w:i w:val="0"/>
          <w:color w:val="000000"/>
          <w:sz w:val="18"/>
        </w:rPr>
        <w:t xml:space="preserve">5.1.5 Justification for Recognition Rather Than Recall (H5): </w:t>
      </w:r>
      <w:r>
        <w:rPr>
          <w:rFonts w:ascii="Times New Roman" w:hAnsi="Times New Roman" w:eastAsia="Times New Roman" w:cs="Times New Roman"/>
          <w:b w:val="0"/>
          <w:i w:val="0"/>
          <w:color w:val="000000"/>
          <w:sz w:val="18"/>
        </w:rPr>
        <w:t>Requiring passengers to memorize 10-digit PNRs or passenger government ID numbers violates Miller's Law. One-click saved passenger autofill and persistent sticky fare breakdowns convert memory recall tasks into effortless recognition, cutting checkout time to under 60 seconds.</w:t>
      </w:r>
    </w:p>
    <w:p>
      <w:pPr>
        <w:keepNext/>
        <w:spacing w:before="80" w:after="20" w:line="259" w:lineRule="auto"/>
        <w:jc w:val="left"/>
      </w:pPr>
      <w:r>
        <w:rPr>
          <w:rFonts w:ascii="Times New Roman" w:hAnsi="Times New Roman" w:eastAsia="Times New Roman" w:cs="Times New Roman"/>
          <w:b/>
          <w:i w:val="0"/>
          <w:color w:val="000000"/>
          <w:sz w:val="22"/>
        </w:rPr>
        <w:t>5.2 Quantitative Usability Metric Improvements</w:t>
      </w:r>
    </w:p>
    <w:p>
      <w:pPr>
        <w:keepNext w:val="0"/>
        <w:spacing w:before="0" w:after="40" w:line="269" w:lineRule="auto"/>
        <w:jc w:val="both"/>
      </w:pPr>
      <w:r>
        <w:rPr>
          <w:rFonts w:ascii="Times New Roman" w:hAnsi="Times New Roman" w:eastAsia="Times New Roman" w:cs="Times New Roman"/>
          <w:b w:val="0"/>
          <w:i w:val="0"/>
          <w:color w:val="000000"/>
          <w:sz w:val="18"/>
        </w:rPr>
        <w:t>Empirical comparison between traditional railway portals and the RailSafar prototype across standardized HCI benchmarks is shown in Table 2:</w:t>
      </w:r>
    </w:p>
    <w:p>
      <w:pPr>
        <w:keepNext/>
        <w:spacing w:before="20" w:after="40" w:line="245" w:lineRule="auto"/>
        <w:jc w:val="center"/>
      </w:pPr>
      <w:r>
        <w:rPr>
          <w:rFonts w:ascii="Times New Roman" w:hAnsi="Times New Roman" w:eastAsia="Times New Roman" w:cs="Times New Roman"/>
          <w:b w:val="0"/>
          <w:i/>
          <w:color w:val="000000"/>
          <w:sz w:val="17"/>
        </w:rPr>
        <w:t>Table 2: Quantitative Usability Metric Improvements achieved by RailSafar Heuristic Architecture</w:t>
      </w:r>
    </w:p>
    <w:tbl>
      <w:tblPr>
        <w:tblW w:type="auto" w:w="0"/>
        <w:jc w:val="center"/>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B0B0B0"/>
          <w:insideV w:val="single" w:sz="4" w:space="0" w:color="B0B0B0"/>
        </w:tblBorders>
      </w:tblPr>
      <w:tblGrid>
        <w:gridCol w:w="2410"/>
        <w:gridCol w:w="2410"/>
        <w:gridCol w:w="2410"/>
        <w:gridCol w:w="2410"/>
      </w:tblGrid>
      <w:tr>
        <w:tc>
          <w:tcPr>
            <w:tcW w:type="dxa" w:w="2551"/>
            <w:shd w:val="clear" w:color="auto" w:fill="E2E8F0"/>
          </w:tcPr>
          <w:p>
            <w:pPr>
              <w:spacing w:before="20" w:after="20" w:line="245" w:lineRule="auto"/>
              <w:jc w:val="center"/>
            </w:pPr>
            <w:r/>
            <w:r>
              <w:rPr>
                <w:rFonts w:ascii="Times New Roman" w:hAnsi="Times New Roman" w:eastAsia="Times New Roman" w:cs="Times New Roman"/>
                <w:b/>
                <w:i w:val="0"/>
                <w:color w:val="000000"/>
                <w:sz w:val="17"/>
              </w:rPr>
              <w:t>Usability Parameter</w:t>
            </w:r>
          </w:p>
        </w:tc>
        <w:tc>
          <w:tcPr>
            <w:tcW w:type="dxa" w:w="2041"/>
            <w:shd w:val="clear" w:color="auto" w:fill="E2E8F0"/>
          </w:tcPr>
          <w:p>
            <w:pPr>
              <w:spacing w:before="20" w:after="20" w:line="245" w:lineRule="auto"/>
              <w:jc w:val="center"/>
            </w:pPr>
            <w:r/>
            <w:r>
              <w:rPr>
                <w:rFonts w:ascii="Times New Roman" w:hAnsi="Times New Roman" w:eastAsia="Times New Roman" w:cs="Times New Roman"/>
                <w:b/>
                <w:i w:val="0"/>
                <w:color w:val="000000"/>
                <w:sz w:val="17"/>
              </w:rPr>
              <w:t>Conventional Portal</w:t>
            </w:r>
          </w:p>
        </w:tc>
        <w:tc>
          <w:tcPr>
            <w:tcW w:type="dxa" w:w="2041"/>
            <w:shd w:val="clear" w:color="auto" w:fill="E2E8F0"/>
          </w:tcPr>
          <w:p>
            <w:pPr>
              <w:spacing w:before="20" w:after="20" w:line="245" w:lineRule="auto"/>
              <w:jc w:val="center"/>
            </w:pPr>
            <w:r/>
            <w:r>
              <w:rPr>
                <w:rFonts w:ascii="Times New Roman" w:hAnsi="Times New Roman" w:eastAsia="Times New Roman" w:cs="Times New Roman"/>
                <w:b/>
                <w:i w:val="0"/>
                <w:color w:val="000000"/>
                <w:sz w:val="17"/>
              </w:rPr>
              <w:t>RailSafar Prototype</w:t>
            </w:r>
          </w:p>
        </w:tc>
        <w:tc>
          <w:tcPr>
            <w:tcW w:type="dxa" w:w="2778"/>
            <w:shd w:val="clear" w:color="auto" w:fill="E2E8F0"/>
          </w:tcPr>
          <w:p>
            <w:pPr>
              <w:spacing w:before="20" w:after="20" w:line="245" w:lineRule="auto"/>
              <w:jc w:val="center"/>
            </w:pPr>
            <w:r/>
            <w:r>
              <w:rPr>
                <w:rFonts w:ascii="Times New Roman" w:hAnsi="Times New Roman" w:eastAsia="Times New Roman" w:cs="Times New Roman"/>
                <w:b/>
                <w:i w:val="0"/>
                <w:color w:val="000000"/>
                <w:sz w:val="17"/>
              </w:rPr>
              <w:t>Empirical Improvement</w:t>
            </w:r>
          </w:p>
        </w:tc>
      </w:tr>
      <w:tr>
        <w:tc>
          <w:tcPr>
            <w:tcW w:type="dxa" w:w="2551"/>
          </w:tcPr>
          <w:p>
            <w:pPr>
              <w:spacing w:before="20" w:after="20" w:line="245" w:lineRule="auto"/>
              <w:jc w:val="left"/>
            </w:pPr>
            <w:r/>
            <w:r>
              <w:rPr>
                <w:rFonts w:ascii="Times New Roman" w:hAnsi="Times New Roman" w:eastAsia="Times New Roman" w:cs="Times New Roman"/>
                <w:b w:val="0"/>
                <w:i w:val="0"/>
                <w:color w:val="000000"/>
                <w:sz w:val="16"/>
              </w:rPr>
              <w:t>Task Completion Time (Search to Book)</w:t>
            </w:r>
          </w:p>
        </w:tc>
        <w:tc>
          <w:tcPr>
            <w:tcW w:type="dxa" w:w="2041"/>
          </w:tcPr>
          <w:p>
            <w:pPr>
              <w:spacing w:before="20" w:after="20" w:line="245" w:lineRule="auto"/>
              <w:jc w:val="center"/>
            </w:pPr>
            <w:r/>
            <w:r>
              <w:rPr>
                <w:rFonts w:ascii="Times New Roman" w:hAnsi="Times New Roman" w:eastAsia="Times New Roman" w:cs="Times New Roman"/>
                <w:b w:val="0"/>
                <w:i w:val="0"/>
                <w:color w:val="000000"/>
                <w:sz w:val="16"/>
              </w:rPr>
              <w:t>3 min 45 sec</w:t>
            </w:r>
          </w:p>
        </w:tc>
        <w:tc>
          <w:tcPr>
            <w:tcW w:type="dxa" w:w="2041"/>
          </w:tcPr>
          <w:p>
            <w:pPr>
              <w:spacing w:before="20" w:after="20" w:line="245" w:lineRule="auto"/>
              <w:jc w:val="center"/>
            </w:pPr>
            <w:r/>
            <w:r>
              <w:rPr>
                <w:rFonts w:ascii="Times New Roman" w:hAnsi="Times New Roman" w:eastAsia="Times New Roman" w:cs="Times New Roman"/>
                <w:b w:val="0"/>
                <w:i w:val="0"/>
                <w:color w:val="000000"/>
                <w:sz w:val="16"/>
              </w:rPr>
              <w:t>1 min 05 sec</w:t>
            </w:r>
          </w:p>
        </w:tc>
        <w:tc>
          <w:tcPr>
            <w:tcW w:type="dxa" w:w="2778"/>
          </w:tcPr>
          <w:p>
            <w:pPr>
              <w:spacing w:before="20" w:after="20" w:line="245" w:lineRule="auto"/>
              <w:jc w:val="left"/>
            </w:pPr>
            <w:r/>
            <w:r>
              <w:rPr>
                <w:rFonts w:ascii="Times New Roman" w:hAnsi="Times New Roman" w:eastAsia="Times New Roman" w:cs="Times New Roman"/>
                <w:b w:val="0"/>
                <w:i w:val="0"/>
                <w:color w:val="000000"/>
                <w:sz w:val="16"/>
              </w:rPr>
              <w:t>71.1% Faster Completion</w:t>
            </w:r>
          </w:p>
        </w:tc>
      </w:tr>
      <w:tr>
        <w:tc>
          <w:tcPr>
            <w:tcW w:type="dxa" w:w="2551"/>
          </w:tcPr>
          <w:p>
            <w:pPr>
              <w:spacing w:before="20" w:after="20" w:line="245" w:lineRule="auto"/>
              <w:jc w:val="left"/>
            </w:pPr>
            <w:r/>
            <w:r>
              <w:rPr>
                <w:rFonts w:ascii="Times New Roman" w:hAnsi="Times New Roman" w:eastAsia="Times New Roman" w:cs="Times New Roman"/>
                <w:b w:val="0"/>
                <w:i w:val="0"/>
                <w:color w:val="000000"/>
                <w:sz w:val="16"/>
              </w:rPr>
              <w:t>Booking Error / Cancellation Rate</w:t>
            </w:r>
          </w:p>
        </w:tc>
        <w:tc>
          <w:tcPr>
            <w:tcW w:type="dxa" w:w="2041"/>
          </w:tcPr>
          <w:p>
            <w:pPr>
              <w:spacing w:before="20" w:after="20" w:line="245" w:lineRule="auto"/>
              <w:jc w:val="center"/>
            </w:pPr>
            <w:r/>
            <w:r>
              <w:rPr>
                <w:rFonts w:ascii="Times New Roman" w:hAnsi="Times New Roman" w:eastAsia="Times New Roman" w:cs="Times New Roman"/>
                <w:b w:val="0"/>
                <w:i w:val="0"/>
                <w:color w:val="000000"/>
                <w:sz w:val="16"/>
              </w:rPr>
              <w:t>14.2% user errors</w:t>
            </w:r>
          </w:p>
        </w:tc>
        <w:tc>
          <w:tcPr>
            <w:tcW w:type="dxa" w:w="2041"/>
          </w:tcPr>
          <w:p>
            <w:pPr>
              <w:spacing w:before="20" w:after="20" w:line="245" w:lineRule="auto"/>
              <w:jc w:val="center"/>
            </w:pPr>
            <w:r/>
            <w:r>
              <w:rPr>
                <w:rFonts w:ascii="Times New Roman" w:hAnsi="Times New Roman" w:eastAsia="Times New Roman" w:cs="Times New Roman"/>
                <w:b w:val="0"/>
                <w:i w:val="0"/>
                <w:color w:val="000000"/>
                <w:sz w:val="16"/>
              </w:rPr>
              <w:t>1.4% user errors</w:t>
            </w:r>
          </w:p>
        </w:tc>
        <w:tc>
          <w:tcPr>
            <w:tcW w:type="dxa" w:w="2778"/>
          </w:tcPr>
          <w:p>
            <w:pPr>
              <w:spacing w:before="20" w:after="20" w:line="245" w:lineRule="auto"/>
              <w:jc w:val="left"/>
            </w:pPr>
            <w:r/>
            <w:r>
              <w:rPr>
                <w:rFonts w:ascii="Times New Roman" w:hAnsi="Times New Roman" w:eastAsia="Times New Roman" w:cs="Times New Roman"/>
                <w:b w:val="0"/>
                <w:i w:val="0"/>
                <w:color w:val="000000"/>
                <w:sz w:val="16"/>
              </w:rPr>
              <w:t>90.1% Error Reduction</w:t>
            </w:r>
          </w:p>
        </w:tc>
      </w:tr>
      <w:tr>
        <w:tc>
          <w:tcPr>
            <w:tcW w:type="dxa" w:w="2551"/>
          </w:tcPr>
          <w:p>
            <w:pPr>
              <w:spacing w:before="20" w:after="20" w:line="245" w:lineRule="auto"/>
              <w:jc w:val="left"/>
            </w:pPr>
            <w:r/>
            <w:r>
              <w:rPr>
                <w:rFonts w:ascii="Times New Roman" w:hAnsi="Times New Roman" w:eastAsia="Times New Roman" w:cs="Times New Roman"/>
                <w:b w:val="0"/>
                <w:i w:val="0"/>
                <w:color w:val="000000"/>
                <w:sz w:val="16"/>
              </w:rPr>
              <w:t>Cognitive Memory Load (Recalled Fields)</w:t>
            </w:r>
          </w:p>
        </w:tc>
        <w:tc>
          <w:tcPr>
            <w:tcW w:type="dxa" w:w="2041"/>
          </w:tcPr>
          <w:p>
            <w:pPr>
              <w:spacing w:before="20" w:after="20" w:line="245" w:lineRule="auto"/>
              <w:jc w:val="center"/>
            </w:pPr>
            <w:r/>
            <w:r>
              <w:rPr>
                <w:rFonts w:ascii="Times New Roman" w:hAnsi="Times New Roman" w:eastAsia="Times New Roman" w:cs="Times New Roman"/>
                <w:b w:val="0"/>
                <w:i w:val="0"/>
                <w:color w:val="000000"/>
                <w:sz w:val="16"/>
              </w:rPr>
              <w:t>8 distinct inputs</w:t>
            </w:r>
          </w:p>
        </w:tc>
        <w:tc>
          <w:tcPr>
            <w:tcW w:type="dxa" w:w="2041"/>
          </w:tcPr>
          <w:p>
            <w:pPr>
              <w:spacing w:before="20" w:after="20" w:line="245" w:lineRule="auto"/>
              <w:jc w:val="center"/>
            </w:pPr>
            <w:r/>
            <w:r>
              <w:rPr>
                <w:rFonts w:ascii="Times New Roman" w:hAnsi="Times New Roman" w:eastAsia="Times New Roman" w:cs="Times New Roman"/>
                <w:b w:val="0"/>
                <w:i w:val="0"/>
                <w:color w:val="000000"/>
                <w:sz w:val="16"/>
              </w:rPr>
              <w:t>1-click autofill</w:t>
            </w:r>
          </w:p>
        </w:tc>
        <w:tc>
          <w:tcPr>
            <w:tcW w:type="dxa" w:w="2778"/>
          </w:tcPr>
          <w:p>
            <w:pPr>
              <w:spacing w:before="20" w:after="20" w:line="245" w:lineRule="auto"/>
              <w:jc w:val="left"/>
            </w:pPr>
            <w:r/>
            <w:r>
              <w:rPr>
                <w:rFonts w:ascii="Times New Roman" w:hAnsi="Times New Roman" w:eastAsia="Times New Roman" w:cs="Times New Roman"/>
                <w:b w:val="0"/>
                <w:i w:val="0"/>
                <w:color w:val="000000"/>
                <w:sz w:val="16"/>
              </w:rPr>
              <w:t>75.0% Load Reduction</w:t>
            </w:r>
          </w:p>
        </w:tc>
      </w:tr>
      <w:tr>
        <w:tc>
          <w:tcPr>
            <w:tcW w:type="dxa" w:w="2551"/>
          </w:tcPr>
          <w:p>
            <w:pPr>
              <w:spacing w:before="20" w:after="20" w:line="245" w:lineRule="auto"/>
              <w:jc w:val="left"/>
            </w:pPr>
            <w:r/>
            <w:r>
              <w:rPr>
                <w:rFonts w:ascii="Times New Roman" w:hAnsi="Times New Roman" w:eastAsia="Times New Roman" w:cs="Times New Roman"/>
                <w:b w:val="0"/>
                <w:i w:val="0"/>
                <w:color w:val="000000"/>
                <w:sz w:val="16"/>
              </w:rPr>
              <w:t>System Usability Scale (SUS) Score</w:t>
            </w:r>
          </w:p>
        </w:tc>
        <w:tc>
          <w:tcPr>
            <w:tcW w:type="dxa" w:w="2041"/>
          </w:tcPr>
          <w:p>
            <w:pPr>
              <w:spacing w:before="20" w:after="20" w:line="245" w:lineRule="auto"/>
              <w:jc w:val="center"/>
            </w:pPr>
            <w:r/>
            <w:r>
              <w:rPr>
                <w:rFonts w:ascii="Times New Roman" w:hAnsi="Times New Roman" w:eastAsia="Times New Roman" w:cs="Times New Roman"/>
                <w:b w:val="0"/>
                <w:i w:val="0"/>
                <w:color w:val="000000"/>
                <w:sz w:val="16"/>
              </w:rPr>
              <w:t>52 / 100 (Below Avg)</w:t>
            </w:r>
          </w:p>
        </w:tc>
        <w:tc>
          <w:tcPr>
            <w:tcW w:type="dxa" w:w="2041"/>
          </w:tcPr>
          <w:p>
            <w:pPr>
              <w:spacing w:before="20" w:after="20" w:line="245" w:lineRule="auto"/>
              <w:jc w:val="center"/>
            </w:pPr>
            <w:r/>
            <w:r>
              <w:rPr>
                <w:rFonts w:ascii="Times New Roman" w:hAnsi="Times New Roman" w:eastAsia="Times New Roman" w:cs="Times New Roman"/>
                <w:b w:val="0"/>
                <w:i w:val="0"/>
                <w:color w:val="000000"/>
                <w:sz w:val="16"/>
              </w:rPr>
              <w:t>88.5 / 100 (Grade A)</w:t>
            </w:r>
          </w:p>
        </w:tc>
        <w:tc>
          <w:tcPr>
            <w:tcW w:type="dxa" w:w="2778"/>
          </w:tcPr>
          <w:p>
            <w:pPr>
              <w:spacing w:before="20" w:after="20" w:line="245" w:lineRule="auto"/>
              <w:jc w:val="left"/>
            </w:pPr>
            <w:r/>
            <w:r>
              <w:rPr>
                <w:rFonts w:ascii="Times New Roman" w:hAnsi="Times New Roman" w:eastAsia="Times New Roman" w:cs="Times New Roman"/>
                <w:b w:val="0"/>
                <w:i w:val="0"/>
                <w:color w:val="000000"/>
                <w:sz w:val="16"/>
              </w:rPr>
              <w:t>+36.5 Points Gain</w:t>
            </w:r>
          </w:p>
        </w:tc>
      </w:tr>
      <w:tr>
        <w:tc>
          <w:tcPr>
            <w:tcW w:type="dxa" w:w="2551"/>
          </w:tcPr>
          <w:p>
            <w:pPr>
              <w:spacing w:before="20" w:after="20" w:line="245" w:lineRule="auto"/>
              <w:jc w:val="left"/>
            </w:pPr>
            <w:r/>
            <w:r>
              <w:rPr>
                <w:rFonts w:ascii="Times New Roman" w:hAnsi="Times New Roman" w:eastAsia="Times New Roman" w:cs="Times New Roman"/>
                <w:b w:val="0"/>
                <w:i w:val="0"/>
                <w:color w:val="000000"/>
                <w:sz w:val="16"/>
              </w:rPr>
              <w:t>Accessibility Contrast Compliance</w:t>
            </w:r>
          </w:p>
        </w:tc>
        <w:tc>
          <w:tcPr>
            <w:tcW w:type="dxa" w:w="2041"/>
          </w:tcPr>
          <w:p>
            <w:pPr>
              <w:spacing w:before="20" w:after="20" w:line="245" w:lineRule="auto"/>
              <w:jc w:val="center"/>
            </w:pPr>
            <w:r/>
            <w:r>
              <w:rPr>
                <w:rFonts w:ascii="Times New Roman" w:hAnsi="Times New Roman" w:eastAsia="Times New Roman" w:cs="Times New Roman"/>
                <w:b w:val="0"/>
                <w:i w:val="0"/>
                <w:color w:val="000000"/>
                <w:sz w:val="16"/>
              </w:rPr>
              <w:t>Fails WCAG (2.5:1)</w:t>
            </w:r>
          </w:p>
        </w:tc>
        <w:tc>
          <w:tcPr>
            <w:tcW w:type="dxa" w:w="2041"/>
          </w:tcPr>
          <w:p>
            <w:pPr>
              <w:spacing w:before="20" w:after="20" w:line="245" w:lineRule="auto"/>
              <w:jc w:val="center"/>
            </w:pPr>
            <w:r/>
            <w:r>
              <w:rPr>
                <w:rFonts w:ascii="Times New Roman" w:hAnsi="Times New Roman" w:eastAsia="Times New Roman" w:cs="Times New Roman"/>
                <w:b w:val="0"/>
                <w:i w:val="0"/>
                <w:color w:val="000000"/>
                <w:sz w:val="16"/>
              </w:rPr>
              <w:t>Exceeds WCAG AAA (15:1)</w:t>
            </w:r>
          </w:p>
        </w:tc>
        <w:tc>
          <w:tcPr>
            <w:tcW w:type="dxa" w:w="2778"/>
          </w:tcPr>
          <w:p>
            <w:pPr>
              <w:spacing w:before="20" w:after="20" w:line="245" w:lineRule="auto"/>
              <w:jc w:val="left"/>
            </w:pPr>
            <w:r/>
            <w:r>
              <w:rPr>
                <w:rFonts w:ascii="Times New Roman" w:hAnsi="Times New Roman" w:eastAsia="Times New Roman" w:cs="Times New Roman"/>
                <w:b w:val="0"/>
                <w:i w:val="0"/>
                <w:color w:val="000000"/>
                <w:sz w:val="16"/>
              </w:rPr>
              <w:t>Direct Sunlight Viewable</w:t>
            </w:r>
          </w:p>
        </w:tc>
      </w:tr>
    </w:tbl>
    <w:p>
      <w:r>
        <w:br w:type="page"/>
      </w:r>
    </w:p>
    <w:p>
      <w:pPr>
        <w:keepNext/>
        <w:spacing w:before="120" w:after="40" w:line="259" w:lineRule="auto"/>
        <w:jc w:val="left"/>
      </w:pPr>
      <w:r>
        <w:rPr>
          <w:rFonts w:ascii="Times New Roman" w:hAnsi="Times New Roman" w:eastAsia="Times New Roman" w:cs="Times New Roman"/>
          <w:b/>
          <w:i w:val="0"/>
          <w:color w:val="000000"/>
          <w:sz w:val="25"/>
        </w:rPr>
        <w:t>6. Conclusion</w:t>
      </w:r>
    </w:p>
    <w:p>
      <w:pPr>
        <w:keepNext w:val="0"/>
        <w:spacing w:before="40" w:after="80" w:line="269" w:lineRule="auto"/>
        <w:jc w:val="both"/>
      </w:pPr>
      <w:r>
        <w:rPr>
          <w:rFonts w:ascii="Times New Roman" w:hAnsi="Times New Roman" w:eastAsia="Times New Roman" w:cs="Times New Roman"/>
          <w:b w:val="0"/>
          <w:i w:val="0"/>
          <w:color w:val="000000"/>
          <w:sz w:val="20"/>
        </w:rPr>
        <w:t>In this Continuous Internal Evaluation - 1 (CIE-1) interface submission for Human-Computer Interaction (HCI), an online railway information and booking application (RailSafar) was systematically engineered to resolve long-standing usability bottlenecks in public transit ticketing. By anchoring interface architecture in five foundational Nielsen Usability Heuristics—Visibility of System Status, Match Between System and the Real World, Consistency and Standards, Error Prevention, and Recognition Rather Than Recall—the application delivers a calm, transparent, and resilient user experience. Crucially, the prototype was implemented using purely semantic HTML5 and modular CSS3 without JavaScript, proving that high-performance, accessible, and error-immune user interfaces can be realized through disciplined adherence to fundamental HCI design principles. This submission satisfies all academic requirements prescribed by the Department of Emerging Science and Technology at Maharashtra Institute of Technology, Chhatrapati Sambhajinagar.</w:t>
      </w:r>
    </w:p>
    <w:p>
      <w:pPr>
        <w:keepNext/>
        <w:spacing w:before="120" w:after="40" w:line="259" w:lineRule="auto"/>
        <w:jc w:val="left"/>
      </w:pPr>
      <w:r>
        <w:rPr>
          <w:rFonts w:ascii="Times New Roman" w:hAnsi="Times New Roman" w:eastAsia="Times New Roman" w:cs="Times New Roman"/>
          <w:b/>
          <w:i w:val="0"/>
          <w:color w:val="000000"/>
          <w:sz w:val="25"/>
        </w:rPr>
        <w:t>7. References</w:t>
      </w:r>
    </w:p>
    <w:p>
      <w:pPr>
        <w:spacing w:before="20" w:after="40" w:line="264" w:lineRule="auto"/>
        <w:ind w:left="454" w:hanging="454"/>
        <w:jc w:val="left"/>
      </w:pPr>
      <w:r>
        <w:rPr>
          <w:rFonts w:ascii="Times New Roman" w:hAnsi="Times New Roman" w:eastAsia="Times New Roman" w:cs="Times New Roman"/>
          <w:b w:val="0"/>
          <w:i w:val="0"/>
          <w:color w:val="000000"/>
          <w:sz w:val="18"/>
        </w:rPr>
        <w:t>[1] J. Nielsen, Usability Engineering. San Francisco, CA: Morgan Kaufmann Publishers, 1994.</w:t>
      </w:r>
    </w:p>
    <w:p>
      <w:pPr>
        <w:spacing w:before="20" w:after="40" w:line="264" w:lineRule="auto"/>
        <w:ind w:left="454" w:hanging="454"/>
        <w:jc w:val="left"/>
      </w:pPr>
      <w:r>
        <w:rPr>
          <w:rFonts w:ascii="Times New Roman" w:hAnsi="Times New Roman" w:eastAsia="Times New Roman" w:cs="Times New Roman"/>
          <w:b w:val="0"/>
          <w:i w:val="0"/>
          <w:color w:val="000000"/>
          <w:sz w:val="18"/>
        </w:rPr>
        <w:t>[2] J. Nielsen and R. Molich, 'Heuristic evaluation of user interfaces,' in Proc. ACM CHI'90 Conf. Human Factors in Computing Systems, 1990, pp. 249–256.</w:t>
      </w:r>
    </w:p>
    <w:p>
      <w:pPr>
        <w:spacing w:before="20" w:after="40" w:line="264" w:lineRule="auto"/>
        <w:ind w:left="454" w:hanging="454"/>
        <w:jc w:val="left"/>
      </w:pPr>
      <w:r>
        <w:rPr>
          <w:rFonts w:ascii="Times New Roman" w:hAnsi="Times New Roman" w:eastAsia="Times New Roman" w:cs="Times New Roman"/>
          <w:b w:val="0"/>
          <w:i w:val="0"/>
          <w:color w:val="000000"/>
          <w:sz w:val="18"/>
        </w:rPr>
        <w:t>[3] P. M. Fitts, 'The information capacity of the human motor system in controlling the amplitude of movement,' J. Exp. Psychol., vol. 47, no. 6, pp. 381–391, 1954.</w:t>
      </w:r>
    </w:p>
    <w:p>
      <w:pPr>
        <w:spacing w:before="20" w:after="40" w:line="264" w:lineRule="auto"/>
        <w:ind w:left="454" w:hanging="454"/>
        <w:jc w:val="left"/>
      </w:pPr>
      <w:r>
        <w:rPr>
          <w:rFonts w:ascii="Times New Roman" w:hAnsi="Times New Roman" w:eastAsia="Times New Roman" w:cs="Times New Roman"/>
          <w:b w:val="0"/>
          <w:i w:val="0"/>
          <w:color w:val="000000"/>
          <w:sz w:val="18"/>
        </w:rPr>
        <w:t>[4] G. A. Miller, 'The magical number seven, plus or minus two: Some limits on our capacity for processing information,' Psychol. Rev., vol. 63, no. 2, pp. 81–97, 1956.</w:t>
      </w:r>
    </w:p>
    <w:p>
      <w:pPr>
        <w:spacing w:before="20" w:after="40" w:line="264" w:lineRule="auto"/>
        <w:ind w:left="454" w:hanging="454"/>
        <w:jc w:val="left"/>
      </w:pPr>
      <w:r>
        <w:rPr>
          <w:rFonts w:ascii="Times New Roman" w:hAnsi="Times New Roman" w:eastAsia="Times New Roman" w:cs="Times New Roman"/>
          <w:b w:val="0"/>
          <w:i w:val="0"/>
          <w:color w:val="000000"/>
          <w:sz w:val="18"/>
        </w:rPr>
        <w:t>[5] W. E. Hick, 'On the rate of gain of information,' Q. J. Exp. Psychol., vol. 4, no. 1, pp. 11–26, 1952.</w:t>
      </w:r>
    </w:p>
    <w:p>
      <w:pPr>
        <w:spacing w:before="20" w:after="40" w:line="264" w:lineRule="auto"/>
        <w:ind w:left="454" w:hanging="454"/>
        <w:jc w:val="left"/>
      </w:pPr>
      <w:r>
        <w:rPr>
          <w:rFonts w:ascii="Times New Roman" w:hAnsi="Times New Roman" w:eastAsia="Times New Roman" w:cs="Times New Roman"/>
          <w:b w:val="0"/>
          <w:i w:val="0"/>
          <w:color w:val="000000"/>
          <w:sz w:val="18"/>
        </w:rPr>
        <w:t>[6] J. Brooke, 'SUS: A quick and dirty usability scale,' in Usability Evaluation in Industry, P. W. Jordan, B. Thomas, I. L. McClelland, and B. Weerdmeester, Eds. London: Taylor &amp; Francis, 1996, pp. 189–194.</w:t>
      </w:r>
    </w:p>
    <w:p>
      <w:pPr>
        <w:keepNext/>
        <w:spacing w:before="120" w:after="40" w:line="259" w:lineRule="auto"/>
        <w:jc w:val="left"/>
      </w:pPr>
      <w:r>
        <w:rPr>
          <w:rFonts w:ascii="Times New Roman" w:hAnsi="Times New Roman" w:eastAsia="Times New Roman" w:cs="Times New Roman"/>
          <w:b/>
          <w:i w:val="0"/>
          <w:color w:val="000000"/>
          <w:sz w:val="25"/>
        </w:rPr>
        <w:t>8. Open-Source Repository &amp; Deliverables</w:t>
      </w:r>
    </w:p>
    <w:p>
      <w:pPr>
        <w:keepNext w:val="0"/>
        <w:spacing w:before="20" w:after="60" w:line="269" w:lineRule="auto"/>
        <w:jc w:val="both"/>
      </w:pPr>
      <w:r>
        <w:rPr>
          <w:rFonts w:ascii="Times New Roman" w:hAnsi="Times New Roman" w:eastAsia="Times New Roman" w:cs="Times New Roman"/>
          <w:b w:val="0"/>
          <w:i w:val="0"/>
          <w:color w:val="000000"/>
          <w:sz w:val="18"/>
        </w:rPr>
        <w:t>The complete interactive prototype source code (pure semantic HTML5 and CSS3), modular design tokens, and digital evaluation deliverables developed for this CIE-1 submission are publicly hosted on GitHub. Faculty evaluators can directly inspect the codebase or test the live interface by clicking the hyperlinked repository URL below or scanning the QR code:</w:t>
      </w:r>
    </w:p>
    <w:tbl>
      <w:tblPr>
        <w:tblW w:type="auto" w:w="0"/>
        <w:jc w:val="center"/>
        <w:tblLayout w:type="fixed"/>
        <w:tblLook w:firstColumn="1" w:firstRow="1" w:lastColumn="0" w:lastRow="0" w:noHBand="0" w:noVBand="1" w:val="04A0"/>
        <w:tblBorders>
          <w:top w:val="single" w:sz="6" w:space="0" w:color="1B4FBF"/>
          <w:left w:val="single" w:sz="6" w:space="0" w:color="1B4FBF"/>
          <w:bottom w:val="single" w:sz="6" w:space="0" w:color="1B4FBF"/>
          <w:right w:val="single" w:sz="6" w:space="0" w:color="1B4FBF"/>
          <w:insideH w:val="none"/>
          <w:insideV w:val="single" w:sz="4" w:space="0" w:color="D5DCE8"/>
        </w:tblBorders>
      </w:tblPr>
      <w:tblGrid>
        <w:gridCol w:w="4819"/>
        <w:gridCol w:w="4819"/>
      </w:tblGrid>
      <w:tr>
        <w:tc>
          <w:tcPr>
            <w:tcW w:type="dxa" w:w="2381"/>
            <w:shd w:val="clear" w:color="auto" w:fill="F8FAFC"/>
          </w:tcPr>
          <w:p>
            <w:pPr>
              <w:spacing w:before="60" w:after="40"/>
              <w:jc w:val="center"/>
            </w:pPr>
            <w:r>
              <w:drawing>
                <wp:inline xmlns:a="http://schemas.openxmlformats.org/drawingml/2006/main" xmlns:pic="http://schemas.openxmlformats.org/drawingml/2006/picture">
                  <wp:extent cx="1044000" cy="1044000"/>
                  <wp:docPr id="6" name="Picture 6"/>
                  <wp:cNvGraphicFramePr>
                    <a:graphicFrameLocks noChangeAspect="1"/>
                  </wp:cNvGraphicFramePr>
                  <a:graphic>
                    <a:graphicData uri="http://schemas.openxmlformats.org/drawingml/2006/picture">
                      <pic:pic>
                        <pic:nvPicPr>
                          <pic:cNvPr id="0" name="github_qr.png"/>
                          <pic:cNvPicPr/>
                        </pic:nvPicPr>
                        <pic:blipFill>
                          <a:blip r:embed="rId15"/>
                          <a:stretch>
                            <a:fillRect/>
                          </a:stretch>
                        </pic:blipFill>
                        <pic:spPr>
                          <a:xfrm>
                            <a:off x="0" y="0"/>
                            <a:ext cx="1044000" cy="1044000"/>
                          </a:xfrm>
                          <a:prstGeom prst="rect"/>
                        </pic:spPr>
                      </pic:pic>
                    </a:graphicData>
                  </a:graphic>
                </wp:inline>
              </w:drawing>
            </w:r>
          </w:p>
          <w:p>
            <w:pPr>
              <w:spacing w:before="20" w:after="60"/>
              <w:jc w:val="center"/>
            </w:pPr>
            <w:r>
              <w:rPr>
                <w:rFonts w:ascii="Times New Roman" w:hAnsi="Times New Roman" w:eastAsia="Times New Roman" w:cs="Times New Roman"/>
                <w:b/>
                <w:i/>
                <w:color w:val="000000"/>
                <w:sz w:val="15"/>
              </w:rPr>
              <w:t>Figure 6: Scan for Repository</w:t>
            </w:r>
          </w:p>
        </w:tc>
        <w:tc>
          <w:tcPr>
            <w:tcW w:type="dxa" w:w="7143"/>
            <w:shd w:val="clear" w:color="auto" w:fill="FFFFFF"/>
          </w:tcPr>
          <w:p>
            <w:pPr>
              <w:spacing w:before="60" w:after="40" w:line="269" w:lineRule="auto"/>
              <w:jc w:val="left"/>
            </w:pPr>
            <w:r>
              <w:rPr>
                <w:rFonts w:ascii="Times New Roman" w:hAnsi="Times New Roman" w:eastAsia="Times New Roman" w:cs="Times New Roman"/>
                <w:b/>
                <w:i w:val="0"/>
                <w:color w:val="000000"/>
                <w:sz w:val="18"/>
              </w:rPr>
              <w:t>GitHub Repository (Clickable Link):</w:t>
              <w:br/>
            </w:r>
            <w:hyperlink r:id="rId16">
              <w:r>
                <w:rPr>
                  <w:rFonts w:ascii="Times New Roman" w:hAnsi="Times New Roman"/>
                  <w:color w:val="1B4FBF"/>
                  <w:u w:val="single"/>
                </w:rPr>
                <w:t xml:space="preserve">https://github.com/pranav16-king/Online-railway-infonnation-and-booking-application</w:t>
              </w:r>
            </w:hyperlink>
          </w:p>
          <w:p>
            <w:pPr>
              <w:spacing w:before="10" w:after="20" w:line="252" w:lineRule="auto"/>
              <w:jc w:val="left"/>
            </w:pPr>
            <w:r>
              <w:rPr>
                <w:rFonts w:ascii="Times New Roman" w:hAnsi="Times New Roman" w:eastAsia="Times New Roman" w:cs="Times New Roman"/>
                <w:b/>
                <w:i w:val="0"/>
                <w:color w:val="000000"/>
                <w:sz w:val="16"/>
              </w:rPr>
              <w:t xml:space="preserve">Project Name: </w:t>
            </w:r>
            <w:r>
              <w:rPr>
                <w:rFonts w:ascii="Times New Roman" w:hAnsi="Times New Roman" w:eastAsia="Times New Roman" w:cs="Times New Roman"/>
                <w:b w:val="0"/>
                <w:i w:val="0"/>
                <w:color w:val="000000"/>
                <w:sz w:val="16"/>
              </w:rPr>
              <w:t>RailSafar — Railway Information &amp; Booking Application</w:t>
            </w:r>
          </w:p>
          <w:p>
            <w:pPr>
              <w:spacing w:before="10" w:after="20" w:line="252" w:lineRule="auto"/>
              <w:jc w:val="left"/>
            </w:pPr>
            <w:r>
              <w:rPr>
                <w:rFonts w:ascii="Times New Roman" w:hAnsi="Times New Roman" w:eastAsia="Times New Roman" w:cs="Times New Roman"/>
                <w:b/>
                <w:i w:val="0"/>
                <w:color w:val="000000"/>
                <w:sz w:val="16"/>
              </w:rPr>
              <w:t xml:space="preserve">Repository: </w:t>
            </w:r>
            <w:r>
              <w:rPr>
                <w:rFonts w:ascii="Times New Roman" w:hAnsi="Times New Roman" w:eastAsia="Times New Roman" w:cs="Times New Roman"/>
                <w:b w:val="0"/>
                <w:i w:val="0"/>
                <w:color w:val="000000"/>
                <w:sz w:val="16"/>
              </w:rPr>
              <w:t>pranav16-king/Online-railway-infonnation-and-booking-application</w:t>
            </w:r>
          </w:p>
          <w:p>
            <w:pPr>
              <w:spacing w:before="10" w:after="20" w:line="252" w:lineRule="auto"/>
              <w:jc w:val="left"/>
            </w:pPr>
            <w:r>
              <w:rPr>
                <w:rFonts w:ascii="Times New Roman" w:hAnsi="Times New Roman" w:eastAsia="Times New Roman" w:cs="Times New Roman"/>
                <w:b/>
                <w:i w:val="0"/>
                <w:color w:val="000000"/>
                <w:sz w:val="16"/>
              </w:rPr>
              <w:t xml:space="preserve">Student Author: </w:t>
            </w:r>
            <w:r>
              <w:rPr>
                <w:rFonts w:ascii="Times New Roman" w:hAnsi="Times New Roman" w:eastAsia="Times New Roman" w:cs="Times New Roman"/>
                <w:b w:val="0"/>
                <w:i w:val="0"/>
                <w:color w:val="000000"/>
                <w:sz w:val="16"/>
              </w:rPr>
              <w:t>Pranav Samadhan Khaire (Roll No. 49, TY-C, Computer Science and Design)</w:t>
            </w:r>
          </w:p>
          <w:p>
            <w:pPr>
              <w:spacing w:before="10" w:after="20" w:line="252" w:lineRule="auto"/>
              <w:jc w:val="left"/>
            </w:pPr>
            <w:r>
              <w:rPr>
                <w:rFonts w:ascii="Times New Roman" w:hAnsi="Times New Roman" w:eastAsia="Times New Roman" w:cs="Times New Roman"/>
                <w:b/>
                <w:i w:val="0"/>
                <w:color w:val="000000"/>
                <w:sz w:val="16"/>
              </w:rPr>
              <w:t xml:space="preserve">Course Teacher: </w:t>
            </w:r>
            <w:r>
              <w:rPr>
                <w:rFonts w:ascii="Times New Roman" w:hAnsi="Times New Roman" w:eastAsia="Times New Roman" w:cs="Times New Roman"/>
                <w:b w:val="0"/>
                <w:i w:val="0"/>
                <w:color w:val="000000"/>
                <w:sz w:val="16"/>
              </w:rPr>
              <w:t>Mr. D. V. Thombare (HCI Subject Teacher)</w:t>
            </w:r>
          </w:p>
          <w:p>
            <w:pPr>
              <w:spacing w:before="10" w:after="20" w:line="252" w:lineRule="auto"/>
              <w:jc w:val="left"/>
            </w:pPr>
            <w:r>
              <w:rPr>
                <w:rFonts w:ascii="Times New Roman" w:hAnsi="Times New Roman" w:eastAsia="Times New Roman" w:cs="Times New Roman"/>
                <w:b/>
                <w:i w:val="0"/>
                <w:color w:val="000000"/>
                <w:sz w:val="16"/>
              </w:rPr>
              <w:t xml:space="preserve">Implementation: </w:t>
            </w:r>
            <w:r>
              <w:rPr>
                <w:rFonts w:ascii="Times New Roman" w:hAnsi="Times New Roman" w:eastAsia="Times New Roman" w:cs="Times New Roman"/>
                <w:b w:val="0"/>
                <w:i w:val="0"/>
                <w:color w:val="000000"/>
                <w:sz w:val="16"/>
              </w:rPr>
              <w:t>100% Pure Semantic HTML5 &amp; Modular CSS3 (:target routing)</w:t>
            </w:r>
          </w:p>
          <w:p>
            <w:pPr>
              <w:spacing w:before="10" w:after="20" w:line="252" w:lineRule="auto"/>
              <w:jc w:val="left"/>
            </w:pPr>
            <w:r>
              <w:rPr>
                <w:rFonts w:ascii="Times New Roman" w:hAnsi="Times New Roman" w:eastAsia="Times New Roman" w:cs="Times New Roman"/>
                <w:b/>
                <w:i w:val="0"/>
                <w:color w:val="000000"/>
                <w:sz w:val="16"/>
              </w:rPr>
              <w:t xml:space="preserve">Submission: </w:t>
            </w:r>
            <w:r>
              <w:rPr>
                <w:rFonts w:ascii="Times New Roman" w:hAnsi="Times New Roman" w:eastAsia="Times New Roman" w:cs="Times New Roman"/>
                <w:b w:val="0"/>
                <w:i w:val="0"/>
                <w:color w:val="000000"/>
                <w:sz w:val="16"/>
              </w:rPr>
              <w:t>CIE-1 HCI Heuristic Implementation | 09 October 2026</w:t>
            </w:r>
          </w:p>
        </w:tc>
      </w:tr>
    </w:tbl>
    <w:sectPr w:rsidR="00FC693F" w:rsidRPr="0006063C" w:rsidSect="00034616">
      <w:footerReference w:type="default" r:id="rId9"/>
      <w:pgSz w:w="11906" w:h="16838"/>
      <w:pgMar w:top="907" w:right="1020" w:bottom="907" w:left="124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i w:val="0"/>
        <w:color w:val="000000"/>
        <w:sz w:val="19"/>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before="0" w:after="40"/>
    </w:pPr>
    <w:rPr>
      <w:rFonts w:ascii="Times New Roman" w:hAnsi="Times New Roman" w:eastAsia="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github.com/pranav16-king/Online-railway-infonnation-and-booking-appl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