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4DC5" w:rsidRPr="00C46F29" w:rsidRDefault="00EA0315">
      <w:pPr>
        <w:keepNext/>
        <w:keepLines/>
        <w:pBdr>
          <w:top w:val="nil"/>
          <w:left w:val="nil"/>
          <w:bottom w:val="nil"/>
          <w:right w:val="nil"/>
          <w:between w:val="nil"/>
        </w:pBdr>
        <w:spacing w:after="480"/>
        <w:ind w:firstLine="0"/>
        <w:jc w:val="center"/>
        <w:rPr>
          <w:b/>
          <w:color w:val="000000"/>
          <w:sz w:val="24"/>
          <w:szCs w:val="24"/>
        </w:rPr>
      </w:pPr>
      <w:bookmarkStart w:id="0" w:name="_heading=h.4c3d658dgnav" w:colFirst="0" w:colLast="0"/>
      <w:bookmarkEnd w:id="0"/>
      <w:r w:rsidRPr="00C46F29">
        <w:rPr>
          <w:b/>
          <w:color w:val="000000"/>
          <w:sz w:val="24"/>
          <w:szCs w:val="24"/>
        </w:rPr>
        <w:t>C</w:t>
      </w:r>
      <w:r w:rsidRPr="00C46F29">
        <w:rPr>
          <w:b/>
          <w:sz w:val="24"/>
          <w:szCs w:val="24"/>
        </w:rPr>
        <w:t xml:space="preserve">ausal Machine Learning Model for the Assessment of COVID-19 Risk </w:t>
      </w:r>
      <w:proofErr w:type="gramStart"/>
      <w:r w:rsidRPr="00C46F29">
        <w:rPr>
          <w:b/>
          <w:sz w:val="24"/>
          <w:szCs w:val="24"/>
        </w:rPr>
        <w:t>Among</w:t>
      </w:r>
      <w:proofErr w:type="gramEnd"/>
      <w:r w:rsidRPr="00C46F29">
        <w:rPr>
          <w:b/>
          <w:sz w:val="24"/>
          <w:szCs w:val="24"/>
        </w:rPr>
        <w:t xml:space="preserve"> Rural Communities</w:t>
      </w:r>
    </w:p>
    <w:p w:rsidR="00EA4DC5" w:rsidRPr="00C46F29" w:rsidRDefault="00EA0315">
      <w:pPr>
        <w:pBdr>
          <w:top w:val="nil"/>
          <w:left w:val="nil"/>
          <w:bottom w:val="nil"/>
          <w:right w:val="nil"/>
          <w:between w:val="nil"/>
        </w:pBdr>
        <w:spacing w:after="200"/>
        <w:ind w:firstLine="0"/>
        <w:jc w:val="center"/>
        <w:rPr>
          <w:color w:val="000000"/>
          <w:sz w:val="24"/>
          <w:szCs w:val="24"/>
          <w:vertAlign w:val="superscript"/>
        </w:rPr>
      </w:pPr>
      <w:proofErr w:type="spellStart"/>
      <w:r w:rsidRPr="00C46F29">
        <w:rPr>
          <w:color w:val="000000"/>
          <w:sz w:val="24"/>
          <w:szCs w:val="24"/>
        </w:rPr>
        <w:t>Richa</w:t>
      </w:r>
      <w:proofErr w:type="spellEnd"/>
      <w:r w:rsidRPr="00C46F29">
        <w:rPr>
          <w:color w:val="000000"/>
          <w:sz w:val="24"/>
          <w:szCs w:val="24"/>
        </w:rPr>
        <w:t xml:space="preserve"> </w:t>
      </w:r>
      <w:proofErr w:type="gramStart"/>
      <w:r w:rsidRPr="00C46F29">
        <w:rPr>
          <w:color w:val="000000"/>
          <w:sz w:val="24"/>
          <w:szCs w:val="24"/>
        </w:rPr>
        <w:t>Panchgaur</w:t>
      </w:r>
      <w:r w:rsidRPr="00C46F29">
        <w:rPr>
          <w:color w:val="000000"/>
          <w:sz w:val="24"/>
          <w:szCs w:val="24"/>
          <w:vertAlign w:val="superscript"/>
        </w:rPr>
        <w:t>1[</w:t>
      </w:r>
      <w:proofErr w:type="gramEnd"/>
      <w:r w:rsidRPr="00C46F29">
        <w:rPr>
          <w:color w:val="000000"/>
          <w:sz w:val="24"/>
          <w:szCs w:val="24"/>
          <w:vertAlign w:val="superscript"/>
        </w:rPr>
        <w:t>0000-</w:t>
      </w:r>
      <w:r w:rsidRPr="00C46F29">
        <w:rPr>
          <w:sz w:val="24"/>
          <w:szCs w:val="24"/>
          <w:vertAlign w:val="superscript"/>
        </w:rPr>
        <w:t>0003-1033</w:t>
      </w:r>
      <w:r w:rsidRPr="00C46F29">
        <w:rPr>
          <w:color w:val="000000"/>
          <w:sz w:val="24"/>
          <w:szCs w:val="24"/>
          <w:vertAlign w:val="superscript"/>
        </w:rPr>
        <w:t>-</w:t>
      </w:r>
      <w:r w:rsidRPr="00C46F29">
        <w:rPr>
          <w:sz w:val="24"/>
          <w:szCs w:val="24"/>
          <w:vertAlign w:val="superscript"/>
        </w:rPr>
        <w:t>5421</w:t>
      </w:r>
      <w:r w:rsidRPr="00C46F29">
        <w:rPr>
          <w:color w:val="000000"/>
          <w:sz w:val="24"/>
          <w:szCs w:val="24"/>
          <w:vertAlign w:val="superscript"/>
        </w:rPr>
        <w:t>]</w:t>
      </w:r>
      <w:r w:rsidRPr="00C46F29">
        <w:rPr>
          <w:color w:val="000000"/>
          <w:sz w:val="24"/>
          <w:szCs w:val="24"/>
        </w:rPr>
        <w:t xml:space="preserve">, </w:t>
      </w:r>
      <w:proofErr w:type="spellStart"/>
      <w:r w:rsidRPr="00C46F29">
        <w:rPr>
          <w:color w:val="000000"/>
          <w:sz w:val="24"/>
          <w:szCs w:val="24"/>
        </w:rPr>
        <w:t>Ketan</w:t>
      </w:r>
      <w:proofErr w:type="spellEnd"/>
      <w:r w:rsidRPr="00C46F29">
        <w:rPr>
          <w:color w:val="000000"/>
          <w:sz w:val="24"/>
          <w:szCs w:val="24"/>
        </w:rPr>
        <w:t xml:space="preserve"> </w:t>
      </w:r>
      <w:proofErr w:type="spellStart"/>
      <w:r w:rsidRPr="00C46F29">
        <w:rPr>
          <w:color w:val="000000"/>
          <w:sz w:val="24"/>
          <w:szCs w:val="24"/>
        </w:rPr>
        <w:t>Gaikwad</w:t>
      </w:r>
      <w:proofErr w:type="spellEnd"/>
      <w:r w:rsidRPr="00C46F29">
        <w:rPr>
          <w:color w:val="000000"/>
          <w:sz w:val="24"/>
          <w:szCs w:val="24"/>
        </w:rPr>
        <w:t xml:space="preserve"> </w:t>
      </w:r>
      <w:r w:rsidRPr="00C46F29">
        <w:rPr>
          <w:color w:val="000000"/>
          <w:sz w:val="24"/>
          <w:szCs w:val="24"/>
          <w:vertAlign w:val="superscript"/>
        </w:rPr>
        <w:t>4[0009-0000-2037-7233]</w:t>
      </w:r>
    </w:p>
    <w:p w:rsidR="00EA4DC5" w:rsidRPr="00C46F29" w:rsidRDefault="00EA0315">
      <w:pPr>
        <w:pBdr>
          <w:top w:val="nil"/>
          <w:left w:val="nil"/>
          <w:bottom w:val="nil"/>
          <w:right w:val="nil"/>
          <w:between w:val="nil"/>
        </w:pBdr>
        <w:spacing w:after="200"/>
        <w:ind w:firstLine="720"/>
        <w:rPr>
          <w:sz w:val="24"/>
          <w:szCs w:val="24"/>
        </w:rPr>
      </w:pPr>
      <w:r w:rsidRPr="00C46F29">
        <w:rPr>
          <w:sz w:val="24"/>
          <w:szCs w:val="24"/>
        </w:rPr>
        <w:t xml:space="preserve"> </w:t>
      </w:r>
      <w:r w:rsidRPr="00C46F29">
        <w:rPr>
          <w:sz w:val="24"/>
          <w:szCs w:val="24"/>
        </w:rPr>
        <w:tab/>
      </w:r>
      <w:proofErr w:type="spellStart"/>
      <w:r w:rsidRPr="00C46F29">
        <w:rPr>
          <w:color w:val="000000"/>
          <w:sz w:val="24"/>
          <w:szCs w:val="24"/>
        </w:rPr>
        <w:t>Deepesh</w:t>
      </w:r>
      <w:proofErr w:type="spellEnd"/>
      <w:r w:rsidRPr="00C46F29">
        <w:rPr>
          <w:color w:val="000000"/>
          <w:sz w:val="24"/>
          <w:szCs w:val="24"/>
        </w:rPr>
        <w:t xml:space="preserve"> Lama </w:t>
      </w:r>
      <w:r w:rsidRPr="00C46F29">
        <w:rPr>
          <w:color w:val="000000"/>
          <w:sz w:val="24"/>
          <w:szCs w:val="24"/>
          <w:vertAlign w:val="superscript"/>
        </w:rPr>
        <w:t>2[0009-0006-3043-6544]</w:t>
      </w:r>
      <w:r w:rsidRPr="00C46F29">
        <w:rPr>
          <w:sz w:val="24"/>
          <w:szCs w:val="24"/>
        </w:rPr>
        <w:t xml:space="preserve">, </w:t>
      </w:r>
      <w:proofErr w:type="spellStart"/>
      <w:r w:rsidRPr="00C46F29">
        <w:rPr>
          <w:sz w:val="24"/>
          <w:szCs w:val="24"/>
        </w:rPr>
        <w:t>Pranav</w:t>
      </w:r>
      <w:proofErr w:type="spellEnd"/>
      <w:r w:rsidRPr="00C46F29">
        <w:rPr>
          <w:sz w:val="24"/>
          <w:szCs w:val="24"/>
        </w:rPr>
        <w:t xml:space="preserve"> </w:t>
      </w:r>
      <w:proofErr w:type="gramStart"/>
      <w:r w:rsidRPr="00C46F29">
        <w:rPr>
          <w:sz w:val="24"/>
          <w:szCs w:val="24"/>
        </w:rPr>
        <w:t>Hinge</w:t>
      </w:r>
      <w:r w:rsidRPr="00C46F29">
        <w:rPr>
          <w:color w:val="000000"/>
          <w:sz w:val="24"/>
          <w:szCs w:val="24"/>
          <w:vertAlign w:val="superscript"/>
        </w:rPr>
        <w:t>3[</w:t>
      </w:r>
      <w:proofErr w:type="gramEnd"/>
      <w:r w:rsidRPr="00C46F29">
        <w:rPr>
          <w:color w:val="000000"/>
          <w:sz w:val="24"/>
          <w:szCs w:val="24"/>
          <w:vertAlign w:val="superscript"/>
        </w:rPr>
        <w:t xml:space="preserve">0009-0008-3671-8109] </w:t>
      </w:r>
    </w:p>
    <w:p w:rsidR="00EA4DC5" w:rsidRPr="00C46F29" w:rsidRDefault="00EA0315">
      <w:pPr>
        <w:pBdr>
          <w:top w:val="nil"/>
          <w:left w:val="nil"/>
          <w:bottom w:val="nil"/>
          <w:right w:val="nil"/>
          <w:between w:val="nil"/>
        </w:pBdr>
        <w:spacing w:after="200"/>
        <w:ind w:firstLine="0"/>
        <w:jc w:val="center"/>
        <w:rPr>
          <w:color w:val="000000"/>
          <w:sz w:val="24"/>
          <w:szCs w:val="24"/>
        </w:rPr>
      </w:pPr>
      <w:bookmarkStart w:id="1" w:name="_GoBack"/>
      <w:r w:rsidRPr="00C46F29">
        <w:rPr>
          <w:color w:val="000000"/>
          <w:sz w:val="24"/>
          <w:szCs w:val="24"/>
        </w:rPr>
        <w:t xml:space="preserve"> </w:t>
      </w:r>
      <w:r w:rsidRPr="00C46F29">
        <w:rPr>
          <w:sz w:val="24"/>
          <w:szCs w:val="24"/>
        </w:rPr>
        <w:t xml:space="preserve">Maya </w:t>
      </w:r>
      <w:proofErr w:type="spellStart"/>
      <w:r w:rsidRPr="00C46F29">
        <w:rPr>
          <w:sz w:val="24"/>
          <w:szCs w:val="24"/>
        </w:rPr>
        <w:t>Kurulerkar</w:t>
      </w:r>
      <w:proofErr w:type="spellEnd"/>
      <w:r w:rsidRPr="00C46F29">
        <w:rPr>
          <w:sz w:val="24"/>
          <w:szCs w:val="24"/>
        </w:rPr>
        <w:t xml:space="preserve"> </w:t>
      </w:r>
    </w:p>
    <w:bookmarkEnd w:id="1"/>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vertAlign w:val="superscript"/>
        </w:rPr>
        <w:t>1</w:t>
      </w:r>
      <w:r w:rsidRPr="00C46F29">
        <w:rPr>
          <w:color w:val="000000"/>
          <w:sz w:val="24"/>
          <w:szCs w:val="24"/>
        </w:rPr>
        <w:t xml:space="preserve"> </w:t>
      </w:r>
      <w:proofErr w:type="spellStart"/>
      <w:r w:rsidRPr="00C46F29">
        <w:rPr>
          <w:color w:val="000000"/>
          <w:sz w:val="24"/>
          <w:szCs w:val="24"/>
        </w:rPr>
        <w:t>Vishwakarma</w:t>
      </w:r>
      <w:proofErr w:type="spellEnd"/>
      <w:r w:rsidRPr="00C46F29">
        <w:rPr>
          <w:color w:val="000000"/>
          <w:sz w:val="24"/>
          <w:szCs w:val="24"/>
        </w:rPr>
        <w:t xml:space="preserve"> University, Pune, Maharashtra, India </w:t>
      </w:r>
    </w:p>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vertAlign w:val="superscript"/>
        </w:rPr>
        <w:t>2</w:t>
      </w:r>
      <w:r w:rsidRPr="00C46F29">
        <w:rPr>
          <w:color w:val="000000"/>
          <w:sz w:val="24"/>
          <w:szCs w:val="24"/>
        </w:rPr>
        <w:t xml:space="preserve"> </w:t>
      </w:r>
      <w:proofErr w:type="spellStart"/>
      <w:r w:rsidRPr="00C46F29">
        <w:rPr>
          <w:color w:val="000000"/>
          <w:sz w:val="24"/>
          <w:szCs w:val="24"/>
        </w:rPr>
        <w:t>Vishwakarma</w:t>
      </w:r>
      <w:proofErr w:type="spellEnd"/>
      <w:r w:rsidRPr="00C46F29">
        <w:rPr>
          <w:color w:val="000000"/>
          <w:sz w:val="24"/>
          <w:szCs w:val="24"/>
        </w:rPr>
        <w:t xml:space="preserve"> </w:t>
      </w:r>
      <w:proofErr w:type="gramStart"/>
      <w:r w:rsidRPr="00C46F29">
        <w:rPr>
          <w:color w:val="000000"/>
          <w:sz w:val="24"/>
          <w:szCs w:val="24"/>
        </w:rPr>
        <w:t>University</w:t>
      </w:r>
      <w:proofErr w:type="gramEnd"/>
      <w:r w:rsidRPr="00C46F29">
        <w:rPr>
          <w:color w:val="000000"/>
          <w:sz w:val="24"/>
          <w:szCs w:val="24"/>
        </w:rPr>
        <w:t>, Pune, Maharashtra, India</w:t>
      </w:r>
    </w:p>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vertAlign w:val="superscript"/>
        </w:rPr>
        <w:t>3</w:t>
      </w:r>
      <w:r w:rsidRPr="00C46F29">
        <w:rPr>
          <w:color w:val="000000"/>
          <w:sz w:val="24"/>
          <w:szCs w:val="24"/>
        </w:rPr>
        <w:t xml:space="preserve"> </w:t>
      </w:r>
      <w:proofErr w:type="spellStart"/>
      <w:r w:rsidRPr="00C46F29">
        <w:rPr>
          <w:color w:val="000000"/>
          <w:sz w:val="24"/>
          <w:szCs w:val="24"/>
        </w:rPr>
        <w:t>Vishwakarma</w:t>
      </w:r>
      <w:proofErr w:type="spellEnd"/>
      <w:r w:rsidRPr="00C46F29">
        <w:rPr>
          <w:color w:val="000000"/>
          <w:sz w:val="24"/>
          <w:szCs w:val="24"/>
        </w:rPr>
        <w:t xml:space="preserve"> </w:t>
      </w:r>
      <w:proofErr w:type="gramStart"/>
      <w:r w:rsidRPr="00C46F29">
        <w:rPr>
          <w:color w:val="000000"/>
          <w:sz w:val="24"/>
          <w:szCs w:val="24"/>
        </w:rPr>
        <w:t>University</w:t>
      </w:r>
      <w:proofErr w:type="gramEnd"/>
      <w:r w:rsidRPr="00C46F29">
        <w:rPr>
          <w:color w:val="000000"/>
          <w:sz w:val="24"/>
          <w:szCs w:val="24"/>
        </w:rPr>
        <w:t>, Pune, Maharashtra, India</w:t>
      </w:r>
    </w:p>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vertAlign w:val="superscript"/>
        </w:rPr>
        <w:t>4</w:t>
      </w:r>
      <w:r w:rsidRPr="00C46F29">
        <w:rPr>
          <w:color w:val="000000"/>
          <w:sz w:val="24"/>
          <w:szCs w:val="24"/>
        </w:rPr>
        <w:t xml:space="preserve"> </w:t>
      </w:r>
      <w:proofErr w:type="spellStart"/>
      <w:r w:rsidRPr="00C46F29">
        <w:rPr>
          <w:color w:val="000000"/>
          <w:sz w:val="24"/>
          <w:szCs w:val="24"/>
        </w:rPr>
        <w:t>Vishwakarma</w:t>
      </w:r>
      <w:proofErr w:type="spellEnd"/>
      <w:r w:rsidRPr="00C46F29">
        <w:rPr>
          <w:color w:val="000000"/>
          <w:sz w:val="24"/>
          <w:szCs w:val="24"/>
        </w:rPr>
        <w:t xml:space="preserve"> </w:t>
      </w:r>
      <w:proofErr w:type="gramStart"/>
      <w:r w:rsidRPr="00C46F29">
        <w:rPr>
          <w:color w:val="000000"/>
          <w:sz w:val="24"/>
          <w:szCs w:val="24"/>
        </w:rPr>
        <w:t>University</w:t>
      </w:r>
      <w:proofErr w:type="gramEnd"/>
      <w:r w:rsidRPr="00C46F29">
        <w:rPr>
          <w:color w:val="000000"/>
          <w:sz w:val="24"/>
          <w:szCs w:val="24"/>
        </w:rPr>
        <w:t>, Pune, Maharashtra, India</w:t>
      </w:r>
    </w:p>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vertAlign w:val="superscript"/>
        </w:rPr>
        <w:t>5</w:t>
      </w:r>
      <w:r w:rsidRPr="00C46F29">
        <w:rPr>
          <w:color w:val="000000"/>
          <w:sz w:val="24"/>
          <w:szCs w:val="24"/>
        </w:rPr>
        <w:t xml:space="preserve"> </w:t>
      </w:r>
      <w:proofErr w:type="spellStart"/>
      <w:r w:rsidRPr="00C46F29">
        <w:rPr>
          <w:color w:val="000000"/>
          <w:sz w:val="24"/>
          <w:szCs w:val="24"/>
        </w:rPr>
        <w:t>Vishwakarma</w:t>
      </w:r>
      <w:proofErr w:type="spellEnd"/>
      <w:r w:rsidRPr="00C46F29">
        <w:rPr>
          <w:color w:val="000000"/>
          <w:sz w:val="24"/>
          <w:szCs w:val="24"/>
        </w:rPr>
        <w:t xml:space="preserve"> University, Pune, Maharashtra, India</w:t>
      </w:r>
      <w:r w:rsidRPr="00C46F29">
        <w:rPr>
          <w:color w:val="000000"/>
          <w:sz w:val="24"/>
          <w:szCs w:val="24"/>
        </w:rPr>
        <w:br/>
      </w:r>
      <w:r w:rsidRPr="00C46F29">
        <w:rPr>
          <w:rFonts w:eastAsia="Courier"/>
          <w:color w:val="000000"/>
          <w:sz w:val="24"/>
          <w:szCs w:val="24"/>
        </w:rPr>
        <w:t>lncs@springer.com</w:t>
      </w:r>
    </w:p>
    <w:p w:rsidR="00EA4DC5" w:rsidRPr="00C46F29" w:rsidRDefault="00EA0315">
      <w:pPr>
        <w:pBdr>
          <w:top w:val="nil"/>
          <w:left w:val="nil"/>
          <w:bottom w:val="nil"/>
          <w:right w:val="nil"/>
          <w:between w:val="nil"/>
        </w:pBdr>
        <w:ind w:left="567" w:right="567"/>
        <w:rPr>
          <w:sz w:val="24"/>
          <w:szCs w:val="24"/>
        </w:rPr>
      </w:pPr>
      <w:r w:rsidRPr="00C46F29">
        <w:rPr>
          <w:b/>
          <w:color w:val="000000"/>
          <w:sz w:val="24"/>
          <w:szCs w:val="24"/>
        </w:rPr>
        <w:t>Abstract</w:t>
      </w:r>
      <w:r w:rsidRPr="00C46F29">
        <w:rPr>
          <w:color w:val="000000"/>
          <w:sz w:val="24"/>
          <w:szCs w:val="24"/>
        </w:rPr>
        <w:t>.</w:t>
      </w:r>
      <w:r w:rsidRPr="00C46F29">
        <w:rPr>
          <w:sz w:val="24"/>
          <w:szCs w:val="24"/>
        </w:rPr>
        <w:t xml:space="preserve"> The COVID-19 pandemic disproportionately affected vulnerable populations, with migrant communities facing heightened risks due to socioeconomic and structural inequalities. This </w:t>
      </w:r>
      <w:r w:rsidRPr="00C46F29">
        <w:rPr>
          <w:sz w:val="24"/>
          <w:szCs w:val="24"/>
        </w:rPr>
        <w:t xml:space="preserve">study investigates the causal relationship between migration status and suspected COVID-19 cases in rural households by integrating survey data with advanced causal machine learning (CML) methods. Standard statistical analyses were first applied to assess </w:t>
      </w:r>
      <w:r w:rsidRPr="00C46F29">
        <w:rPr>
          <w:sz w:val="24"/>
          <w:szCs w:val="24"/>
        </w:rPr>
        <w:t xml:space="preserve">raw associations, followed by causal inference techniques including Inverse Probability Weighting (IPW), Augmented IPW (AIPW), and Causal Forests. These approaches allowed us to isolate the causal impact of migration while controlling for confounders such </w:t>
      </w:r>
      <w:r w:rsidRPr="00C46F29">
        <w:rPr>
          <w:sz w:val="24"/>
          <w:szCs w:val="24"/>
        </w:rPr>
        <w:t>as caste, household income, occupation, and access to healthcare. Findings reveal that migration status significantly increased the probability of suspected COVID-19 cases, with effects most pronounced among low-income and lower-caste households. Diagnosti</w:t>
      </w:r>
      <w:r w:rsidRPr="00C46F29">
        <w:rPr>
          <w:sz w:val="24"/>
          <w:szCs w:val="24"/>
        </w:rPr>
        <w:t>cs confirmed covariate balance and robustness, while placebo tests validated model reliability. The study contributes both methodologically—by demonstrating the use of CML in public health data—and practically, by providing evidence that migration causally</w:t>
      </w:r>
      <w:r w:rsidRPr="00C46F29">
        <w:rPr>
          <w:sz w:val="24"/>
          <w:szCs w:val="24"/>
        </w:rPr>
        <w:t xml:space="preserve"> elevates COVID-19 risk. These results highlight the need for targeted interventions such as improved housing, workplace safety, and equitable healthcare access for migrant communities.</w:t>
      </w:r>
    </w:p>
    <w:p w:rsidR="00EA4DC5" w:rsidRPr="00C46F29" w:rsidRDefault="00EA0315" w:rsidP="00C46F29">
      <w:pPr>
        <w:pBdr>
          <w:top w:val="nil"/>
          <w:left w:val="nil"/>
          <w:bottom w:val="nil"/>
          <w:right w:val="nil"/>
          <w:between w:val="nil"/>
        </w:pBdr>
        <w:ind w:right="567" w:firstLine="567"/>
        <w:jc w:val="center"/>
        <w:rPr>
          <w:sz w:val="24"/>
          <w:szCs w:val="24"/>
        </w:rPr>
      </w:pPr>
      <w:r w:rsidRPr="00C46F29">
        <w:rPr>
          <w:b/>
          <w:color w:val="000000"/>
          <w:sz w:val="24"/>
          <w:szCs w:val="24"/>
        </w:rPr>
        <w:t>Keywords:</w:t>
      </w:r>
      <w:r w:rsidRPr="00C46F29">
        <w:rPr>
          <w:color w:val="000000"/>
          <w:sz w:val="24"/>
          <w:szCs w:val="24"/>
        </w:rPr>
        <w:t xml:space="preserve">  Causal Inference, COVID-19, Migration, Machine Learning,</w:t>
      </w:r>
      <w:r w:rsidRPr="00C46F29">
        <w:rPr>
          <w:sz w:val="24"/>
          <w:szCs w:val="24"/>
        </w:rPr>
        <w:t xml:space="preserve"> </w:t>
      </w:r>
      <w:r w:rsidRPr="00C46F29">
        <w:rPr>
          <w:sz w:val="24"/>
          <w:szCs w:val="24"/>
        </w:rPr>
        <w:t>Rural</w:t>
      </w:r>
      <w:r w:rsidRPr="00C46F29">
        <w:rPr>
          <w:sz w:val="24"/>
          <w:szCs w:val="24"/>
        </w:rPr>
        <w:t xml:space="preserve"> </w:t>
      </w:r>
      <w:r w:rsidRPr="00C46F29">
        <w:rPr>
          <w:sz w:val="24"/>
          <w:szCs w:val="24"/>
        </w:rPr>
        <w:t>Health</w:t>
      </w:r>
      <w:r w:rsidRPr="00C46F29">
        <w:rPr>
          <w:color w:val="000000"/>
          <w:sz w:val="24"/>
          <w:szCs w:val="24"/>
        </w:rPr>
        <w:t>.</w:t>
      </w:r>
    </w:p>
    <w:p w:rsidR="00EA4DC5" w:rsidRPr="00C46F29" w:rsidRDefault="00EA4DC5">
      <w:pPr>
        <w:pBdr>
          <w:top w:val="nil"/>
          <w:left w:val="nil"/>
          <w:bottom w:val="nil"/>
          <w:right w:val="nil"/>
          <w:between w:val="nil"/>
        </w:pBdr>
        <w:ind w:right="567" w:firstLine="567"/>
        <w:rPr>
          <w:sz w:val="24"/>
          <w:szCs w:val="24"/>
        </w:rPr>
      </w:pPr>
    </w:p>
    <w:p w:rsidR="00EA4DC5" w:rsidRPr="00C46F29" w:rsidRDefault="00EA0315">
      <w:pPr>
        <w:pBdr>
          <w:top w:val="nil"/>
          <w:left w:val="nil"/>
          <w:bottom w:val="nil"/>
          <w:right w:val="nil"/>
          <w:between w:val="nil"/>
        </w:pBdr>
        <w:ind w:right="567" w:firstLine="567"/>
        <w:rPr>
          <w:sz w:val="24"/>
          <w:szCs w:val="24"/>
        </w:rPr>
      </w:pPr>
      <w:r w:rsidRPr="00C46F29">
        <w:rPr>
          <w:b/>
          <w:color w:val="000000"/>
          <w:sz w:val="24"/>
          <w:szCs w:val="24"/>
        </w:rPr>
        <w:t>Introduction</w:t>
      </w:r>
    </w:p>
    <w:p w:rsidR="00EA4DC5" w:rsidRPr="00C46F29" w:rsidRDefault="00EA0315">
      <w:pPr>
        <w:pBdr>
          <w:top w:val="nil"/>
          <w:left w:val="nil"/>
          <w:bottom w:val="nil"/>
          <w:right w:val="nil"/>
          <w:between w:val="nil"/>
        </w:pBdr>
        <w:ind w:left="567" w:firstLine="0"/>
        <w:rPr>
          <w:color w:val="000000"/>
          <w:sz w:val="24"/>
          <w:szCs w:val="24"/>
        </w:rPr>
      </w:pPr>
      <w:r w:rsidRPr="00C46F29">
        <w:rPr>
          <w:color w:val="000000"/>
          <w:sz w:val="24"/>
          <w:szCs w:val="24"/>
        </w:rPr>
        <w:t>The COVID-19 pandemic highlighted significant health inequalities, particularly among migrants and rural populations. Traditional epidemiological approaches have largely focused on correlations, identifying associations between factors like age or occupati</w:t>
      </w:r>
      <w:r w:rsidRPr="00C46F29">
        <w:rPr>
          <w:color w:val="000000"/>
          <w:sz w:val="24"/>
          <w:szCs w:val="24"/>
        </w:rPr>
        <w:t>on and infection risk. However, such models often fail to capture the true cause-and-effect relationships necessary for designing effective public health interventions (</w:t>
      </w:r>
      <w:proofErr w:type="spellStart"/>
      <w:r w:rsidRPr="00C46F29">
        <w:rPr>
          <w:color w:val="000000"/>
          <w:sz w:val="24"/>
          <w:szCs w:val="24"/>
        </w:rPr>
        <w:t>Sujath</w:t>
      </w:r>
      <w:proofErr w:type="spellEnd"/>
      <w:r w:rsidRPr="00C46F29">
        <w:rPr>
          <w:color w:val="000000"/>
          <w:sz w:val="24"/>
          <w:szCs w:val="24"/>
        </w:rPr>
        <w:t xml:space="preserve"> et al., 2020; Ibrahim &amp; El-</w:t>
      </w:r>
      <w:proofErr w:type="spellStart"/>
      <w:r w:rsidRPr="00C46F29">
        <w:rPr>
          <w:color w:val="000000"/>
          <w:sz w:val="24"/>
          <w:szCs w:val="24"/>
        </w:rPr>
        <w:t>Kafrawy</w:t>
      </w:r>
      <w:proofErr w:type="spellEnd"/>
      <w:r w:rsidRPr="00C46F29">
        <w:rPr>
          <w:color w:val="000000"/>
          <w:sz w:val="24"/>
          <w:szCs w:val="24"/>
        </w:rPr>
        <w:t>, 2021).</w:t>
      </w:r>
    </w:p>
    <w:p w:rsidR="00EA4DC5" w:rsidRPr="00C46F29" w:rsidRDefault="00EA0315">
      <w:pPr>
        <w:pBdr>
          <w:top w:val="nil"/>
          <w:left w:val="nil"/>
          <w:bottom w:val="nil"/>
          <w:right w:val="nil"/>
          <w:between w:val="nil"/>
        </w:pBdr>
        <w:ind w:left="567" w:firstLine="0"/>
        <w:rPr>
          <w:color w:val="000000"/>
          <w:sz w:val="24"/>
          <w:szCs w:val="24"/>
        </w:rPr>
      </w:pPr>
      <w:r w:rsidRPr="00C46F29">
        <w:rPr>
          <w:color w:val="000000"/>
          <w:sz w:val="24"/>
          <w:szCs w:val="24"/>
        </w:rPr>
        <w:t xml:space="preserve">Causal Machine Learning (CML) offers </w:t>
      </w:r>
      <w:r w:rsidRPr="00C46F29">
        <w:rPr>
          <w:color w:val="000000"/>
          <w:sz w:val="24"/>
          <w:szCs w:val="24"/>
        </w:rPr>
        <w:t>a way forward by combining statistical inference with advanced algorithms to isolate causal effects rather than simple correlations. Techniques such as Directed Acyclic Graphs (DAGs), Bayesian Networks, and doubly robust estimators can identify not only wh</w:t>
      </w:r>
      <w:r w:rsidRPr="00C46F29">
        <w:rPr>
          <w:color w:val="000000"/>
          <w:sz w:val="24"/>
          <w:szCs w:val="24"/>
        </w:rPr>
        <w:t>o is at risk but why they are at risk, providing actionable insights for policy and healthcare planning (</w:t>
      </w:r>
      <w:proofErr w:type="spellStart"/>
      <w:r w:rsidRPr="00C46F29">
        <w:rPr>
          <w:color w:val="000000"/>
          <w:sz w:val="24"/>
          <w:szCs w:val="24"/>
        </w:rPr>
        <w:t>Spirtes</w:t>
      </w:r>
      <w:proofErr w:type="spellEnd"/>
      <w:r w:rsidRPr="00C46F29">
        <w:rPr>
          <w:color w:val="000000"/>
          <w:sz w:val="24"/>
          <w:szCs w:val="24"/>
        </w:rPr>
        <w:t xml:space="preserve"> et al., 1993; Scutari, 2021; </w:t>
      </w:r>
      <w:proofErr w:type="spellStart"/>
      <w:r w:rsidRPr="00C46F29">
        <w:rPr>
          <w:color w:val="000000"/>
          <w:sz w:val="24"/>
          <w:szCs w:val="24"/>
        </w:rPr>
        <w:t>Festa</w:t>
      </w:r>
      <w:proofErr w:type="spellEnd"/>
      <w:r w:rsidRPr="00C46F29">
        <w:rPr>
          <w:color w:val="000000"/>
          <w:sz w:val="24"/>
          <w:szCs w:val="24"/>
        </w:rPr>
        <w:t xml:space="preserve"> et al., 2022).</w:t>
      </w:r>
    </w:p>
    <w:p w:rsidR="00EA4DC5" w:rsidRPr="00C46F29" w:rsidRDefault="00EA0315">
      <w:pPr>
        <w:pBdr>
          <w:top w:val="nil"/>
          <w:left w:val="nil"/>
          <w:bottom w:val="nil"/>
          <w:right w:val="nil"/>
          <w:between w:val="nil"/>
        </w:pBdr>
        <w:ind w:left="567" w:firstLine="0"/>
        <w:rPr>
          <w:color w:val="000000"/>
          <w:sz w:val="24"/>
          <w:szCs w:val="24"/>
        </w:rPr>
      </w:pPr>
      <w:r w:rsidRPr="00C46F29">
        <w:rPr>
          <w:color w:val="000000"/>
          <w:sz w:val="24"/>
          <w:szCs w:val="24"/>
        </w:rPr>
        <w:lastRenderedPageBreak/>
        <w:t>Migrants faced disproportionate COVID-19 risks due to overcrowded housing, high-exposure occu</w:t>
      </w:r>
      <w:r w:rsidRPr="00C46F29">
        <w:rPr>
          <w:color w:val="000000"/>
          <w:sz w:val="24"/>
          <w:szCs w:val="24"/>
        </w:rPr>
        <w:t xml:space="preserve">pations, and barriers to healthcare, all of which intensified the impact of the pandemic (Del </w:t>
      </w:r>
      <w:proofErr w:type="spellStart"/>
      <w:r w:rsidRPr="00C46F29">
        <w:rPr>
          <w:color w:val="000000"/>
          <w:sz w:val="24"/>
          <w:szCs w:val="24"/>
        </w:rPr>
        <w:t>Sole</w:t>
      </w:r>
      <w:proofErr w:type="spellEnd"/>
      <w:r w:rsidRPr="00C46F29">
        <w:rPr>
          <w:color w:val="000000"/>
          <w:sz w:val="24"/>
          <w:szCs w:val="24"/>
        </w:rPr>
        <w:t xml:space="preserve"> et al., 2020; </w:t>
      </w:r>
      <w:proofErr w:type="spellStart"/>
      <w:r w:rsidRPr="00C46F29">
        <w:rPr>
          <w:color w:val="000000"/>
          <w:sz w:val="24"/>
          <w:szCs w:val="24"/>
        </w:rPr>
        <w:t>Rechel</w:t>
      </w:r>
      <w:proofErr w:type="spellEnd"/>
      <w:r w:rsidRPr="00C46F29">
        <w:rPr>
          <w:color w:val="000000"/>
          <w:sz w:val="24"/>
          <w:szCs w:val="24"/>
        </w:rPr>
        <w:t xml:space="preserve"> et al., 2013; </w:t>
      </w:r>
      <w:proofErr w:type="spellStart"/>
      <w:r w:rsidRPr="00C46F29">
        <w:rPr>
          <w:color w:val="000000"/>
          <w:sz w:val="24"/>
          <w:szCs w:val="24"/>
        </w:rPr>
        <w:t>Gushulak</w:t>
      </w:r>
      <w:proofErr w:type="spellEnd"/>
      <w:r w:rsidRPr="00C46F29">
        <w:rPr>
          <w:color w:val="000000"/>
          <w:sz w:val="24"/>
          <w:szCs w:val="24"/>
        </w:rPr>
        <w:t xml:space="preserve"> &amp; MacPherson, 2011). Despite evidence on both migrant health and causal inference, limited research integrates th</w:t>
      </w:r>
      <w:r w:rsidRPr="00C46F29">
        <w:rPr>
          <w:color w:val="000000"/>
          <w:sz w:val="24"/>
          <w:szCs w:val="24"/>
        </w:rPr>
        <w:t>ese perspectives. Embedding migrant-specific variables such as caste, income, and occupation into causal models enables policymakers to move from predictive associations to causal explanations, supporting more equitable interventions (Kirby, 2020; WHO, 201</w:t>
      </w:r>
      <w:r w:rsidRPr="00C46F29">
        <w:rPr>
          <w:color w:val="000000"/>
          <w:sz w:val="24"/>
          <w:szCs w:val="24"/>
        </w:rPr>
        <w:t>9).This study addresses this gap by applying causal machine learning methods—including Inverse Probability Weighting (IPW), Augmented IPW, and Causal Forests—to rural survey data. The goal is to measure the causal impact of migration status on suspected CO</w:t>
      </w:r>
      <w:r w:rsidRPr="00C46F29">
        <w:rPr>
          <w:color w:val="000000"/>
          <w:sz w:val="24"/>
          <w:szCs w:val="24"/>
        </w:rPr>
        <w:t>VID-19 cases while adjusting for socioeconomic and demographic confounders, thus providing robust, policy-relevant evidence for addressing structural health inequalities.</w:t>
      </w:r>
    </w:p>
    <w:p w:rsidR="00EA4DC5" w:rsidRPr="00C46F29" w:rsidRDefault="00EA4DC5">
      <w:pPr>
        <w:pBdr>
          <w:top w:val="nil"/>
          <w:left w:val="nil"/>
          <w:bottom w:val="nil"/>
          <w:right w:val="nil"/>
          <w:between w:val="nil"/>
        </w:pBdr>
        <w:ind w:left="567" w:firstLine="0"/>
        <w:rPr>
          <w:sz w:val="24"/>
          <w:szCs w:val="24"/>
        </w:rPr>
      </w:pPr>
    </w:p>
    <w:p w:rsidR="00EA4DC5" w:rsidRPr="00C46F29" w:rsidRDefault="00EA0315">
      <w:pPr>
        <w:keepNext/>
        <w:keepLines/>
        <w:numPr>
          <w:ilvl w:val="0"/>
          <w:numId w:val="1"/>
        </w:numPr>
        <w:pBdr>
          <w:top w:val="nil"/>
          <w:left w:val="nil"/>
          <w:bottom w:val="nil"/>
          <w:right w:val="nil"/>
          <w:between w:val="nil"/>
        </w:pBdr>
        <w:spacing w:before="360" w:after="240"/>
        <w:jc w:val="left"/>
        <w:rPr>
          <w:sz w:val="24"/>
          <w:szCs w:val="24"/>
        </w:rPr>
      </w:pPr>
      <w:r w:rsidRPr="00C46F29">
        <w:rPr>
          <w:b/>
          <w:color w:val="000000"/>
          <w:sz w:val="24"/>
          <w:szCs w:val="24"/>
        </w:rPr>
        <w:t>Literature Review</w:t>
      </w:r>
    </w:p>
    <w:p w:rsidR="00EA4DC5" w:rsidRPr="00C46F29" w:rsidRDefault="00EA0315">
      <w:pPr>
        <w:pBdr>
          <w:top w:val="nil"/>
          <w:left w:val="nil"/>
          <w:bottom w:val="nil"/>
          <w:right w:val="nil"/>
          <w:between w:val="nil"/>
        </w:pBdr>
        <w:spacing w:before="280"/>
        <w:ind w:left="567" w:firstLine="0"/>
        <w:rPr>
          <w:b/>
          <w:color w:val="1B1C1D"/>
          <w:sz w:val="24"/>
          <w:szCs w:val="24"/>
        </w:rPr>
      </w:pPr>
      <w:r w:rsidRPr="00C46F29">
        <w:rPr>
          <w:b/>
          <w:color w:val="1B1C1D"/>
          <w:sz w:val="24"/>
          <w:szCs w:val="24"/>
        </w:rPr>
        <w:t>Causal Machine Learning for COVID-19 Prediction</w:t>
      </w:r>
    </w:p>
    <w:p w:rsidR="00EA4DC5" w:rsidRPr="00C46F29" w:rsidRDefault="00EA0315">
      <w:pPr>
        <w:pBdr>
          <w:top w:val="nil"/>
          <w:left w:val="nil"/>
          <w:bottom w:val="nil"/>
          <w:right w:val="nil"/>
          <w:between w:val="nil"/>
        </w:pBdr>
        <w:ind w:left="567" w:firstLine="0"/>
        <w:rPr>
          <w:color w:val="1B1C1D"/>
          <w:sz w:val="24"/>
          <w:szCs w:val="24"/>
        </w:rPr>
      </w:pPr>
      <w:r w:rsidRPr="00C46F29">
        <w:rPr>
          <w:color w:val="1B1C1D"/>
          <w:sz w:val="24"/>
          <w:szCs w:val="24"/>
        </w:rPr>
        <w:t>Early in the pande</w:t>
      </w:r>
      <w:r w:rsidRPr="00C46F29">
        <w:rPr>
          <w:color w:val="1B1C1D"/>
          <w:sz w:val="24"/>
          <w:szCs w:val="24"/>
        </w:rPr>
        <w:t xml:space="preserve">mic, researchers used traditional machine learning models, like </w:t>
      </w:r>
      <w:r w:rsidRPr="00C46F29">
        <w:rPr>
          <w:b/>
          <w:color w:val="1B1C1D"/>
          <w:sz w:val="24"/>
          <w:szCs w:val="24"/>
        </w:rPr>
        <w:t>Random Forest</w:t>
      </w:r>
      <w:r w:rsidRPr="00C46F29">
        <w:rPr>
          <w:color w:val="1B1C1D"/>
          <w:sz w:val="24"/>
          <w:szCs w:val="24"/>
        </w:rPr>
        <w:t xml:space="preserve"> and </w:t>
      </w:r>
      <w:r w:rsidRPr="00C46F29">
        <w:rPr>
          <w:b/>
          <w:color w:val="1B1C1D"/>
          <w:sz w:val="24"/>
          <w:szCs w:val="24"/>
        </w:rPr>
        <w:t>Support Vector Machines (SVM)</w:t>
      </w:r>
      <w:r w:rsidRPr="00C46F29">
        <w:rPr>
          <w:color w:val="1B1C1D"/>
          <w:sz w:val="24"/>
          <w:szCs w:val="24"/>
        </w:rPr>
        <w:t xml:space="preserve">, to predict patient outcomes such as disease severity and mortality [1, 2]. While these models were accurate, they are primarily </w:t>
      </w:r>
      <w:r w:rsidRPr="00C46F29">
        <w:rPr>
          <w:b/>
          <w:color w:val="1B1C1D"/>
          <w:sz w:val="24"/>
          <w:szCs w:val="24"/>
        </w:rPr>
        <w:t>correlational</w:t>
      </w:r>
      <w:r w:rsidRPr="00C46F29">
        <w:rPr>
          <w:color w:val="1B1C1D"/>
          <w:sz w:val="24"/>
          <w:szCs w:val="24"/>
        </w:rPr>
        <w:t>, meaning they can identify associations but can't explain the cause. For example, a model might predict that older patients are at higher risk, but it doesn't explain the causal biological or clinical reasons.</w:t>
      </w:r>
    </w:p>
    <w:p w:rsidR="00EA4DC5" w:rsidRPr="00C46F29" w:rsidRDefault="00EA0315">
      <w:pPr>
        <w:pBdr>
          <w:top w:val="nil"/>
          <w:left w:val="nil"/>
          <w:bottom w:val="nil"/>
          <w:right w:val="nil"/>
          <w:between w:val="nil"/>
        </w:pBdr>
        <w:ind w:left="567" w:firstLine="0"/>
        <w:rPr>
          <w:color w:val="1B1C1D"/>
          <w:sz w:val="24"/>
          <w:szCs w:val="24"/>
        </w:rPr>
      </w:pPr>
      <w:r w:rsidRPr="00C46F29">
        <w:rPr>
          <w:color w:val="1B1C1D"/>
          <w:sz w:val="24"/>
          <w:szCs w:val="24"/>
        </w:rPr>
        <w:t>To overcome this limitation, researchers turn</w:t>
      </w:r>
      <w:r w:rsidRPr="00C46F29">
        <w:rPr>
          <w:color w:val="1B1C1D"/>
          <w:sz w:val="24"/>
          <w:szCs w:val="24"/>
        </w:rPr>
        <w:t xml:space="preserve">ed to </w:t>
      </w:r>
      <w:r w:rsidRPr="00C46F29">
        <w:rPr>
          <w:b/>
          <w:color w:val="1B1C1D"/>
          <w:sz w:val="24"/>
          <w:szCs w:val="24"/>
        </w:rPr>
        <w:t>Causal Machine Learning (CML)</w:t>
      </w:r>
      <w:r w:rsidRPr="00C46F29">
        <w:rPr>
          <w:color w:val="1B1C1D"/>
          <w:sz w:val="24"/>
          <w:szCs w:val="24"/>
        </w:rPr>
        <w:t xml:space="preserve">. Methods like </w:t>
      </w:r>
      <w:r w:rsidRPr="00C46F29">
        <w:rPr>
          <w:b/>
          <w:color w:val="1B1C1D"/>
          <w:sz w:val="24"/>
          <w:szCs w:val="24"/>
        </w:rPr>
        <w:t>Directed Acyclic Graphs (DAGs)</w:t>
      </w:r>
      <w:r w:rsidRPr="00C46F29">
        <w:rPr>
          <w:color w:val="1B1C1D"/>
          <w:sz w:val="24"/>
          <w:szCs w:val="24"/>
        </w:rPr>
        <w:t xml:space="preserve"> and </w:t>
      </w:r>
      <w:r w:rsidRPr="00C46F29">
        <w:rPr>
          <w:b/>
          <w:color w:val="1B1C1D"/>
          <w:sz w:val="24"/>
          <w:szCs w:val="24"/>
        </w:rPr>
        <w:t>Bayesian Networks</w:t>
      </w:r>
      <w:r w:rsidRPr="00C46F29">
        <w:rPr>
          <w:color w:val="1B1C1D"/>
          <w:sz w:val="24"/>
          <w:szCs w:val="24"/>
        </w:rPr>
        <w:t xml:space="preserve"> move beyond correlation to infer </w:t>
      </w:r>
      <w:r w:rsidRPr="00C46F29">
        <w:rPr>
          <w:b/>
          <w:color w:val="1B1C1D"/>
          <w:sz w:val="24"/>
          <w:szCs w:val="24"/>
        </w:rPr>
        <w:t>cause-and-effect relationships</w:t>
      </w:r>
      <w:r w:rsidRPr="00C46F29">
        <w:rPr>
          <w:color w:val="1B1C1D"/>
          <w:sz w:val="24"/>
          <w:szCs w:val="24"/>
        </w:rPr>
        <w:t xml:space="preserve"> [3, 4]. A CML model could not only predict a patient's risk but also identify the specifi</w:t>
      </w:r>
      <w:r w:rsidRPr="00C46F29">
        <w:rPr>
          <w:color w:val="1B1C1D"/>
          <w:sz w:val="24"/>
          <w:szCs w:val="24"/>
        </w:rPr>
        <w:t xml:space="preserve">c pre-existing conditions that directly cause a severe outcome [5]. This shift from "what will happen" to "why it will happen" provides </w:t>
      </w:r>
      <w:r w:rsidRPr="00C46F29">
        <w:rPr>
          <w:b/>
          <w:color w:val="1B1C1D"/>
          <w:sz w:val="24"/>
          <w:szCs w:val="24"/>
        </w:rPr>
        <w:t>interpretable and actionable insights</w:t>
      </w:r>
      <w:r w:rsidRPr="00C46F29">
        <w:rPr>
          <w:color w:val="1B1C1D"/>
          <w:sz w:val="24"/>
          <w:szCs w:val="24"/>
        </w:rPr>
        <w:t xml:space="preserve"> for clinicians and policymakers.</w:t>
      </w:r>
    </w:p>
    <w:p w:rsidR="00EA4DC5" w:rsidRPr="00C46F29" w:rsidRDefault="00EA4DC5">
      <w:pPr>
        <w:pBdr>
          <w:top w:val="nil"/>
          <w:left w:val="nil"/>
          <w:bottom w:val="nil"/>
          <w:right w:val="nil"/>
          <w:between w:val="nil"/>
        </w:pBdr>
        <w:ind w:left="567" w:firstLine="0"/>
        <w:rPr>
          <w:color w:val="1B1C1D"/>
          <w:sz w:val="24"/>
          <w:szCs w:val="24"/>
        </w:rPr>
      </w:pPr>
    </w:p>
    <w:p w:rsidR="00EA4DC5" w:rsidRPr="00C46F29" w:rsidRDefault="00EA0315">
      <w:pPr>
        <w:ind w:firstLine="0"/>
        <w:rPr>
          <w:b/>
          <w:color w:val="1B1C1D"/>
          <w:sz w:val="24"/>
          <w:szCs w:val="24"/>
        </w:rPr>
      </w:pPr>
      <w:r w:rsidRPr="00C46F29">
        <w:rPr>
          <w:b/>
          <w:color w:val="1B1C1D"/>
          <w:sz w:val="24"/>
          <w:szCs w:val="24"/>
        </w:rPr>
        <w:t xml:space="preserve">          Susceptibility of Migrants to COVID-19</w:t>
      </w:r>
    </w:p>
    <w:p w:rsidR="00EA4DC5" w:rsidRPr="00C46F29" w:rsidRDefault="00EA4DC5">
      <w:pPr>
        <w:ind w:firstLine="0"/>
        <w:rPr>
          <w:b/>
          <w:color w:val="1B1C1D"/>
          <w:sz w:val="24"/>
          <w:szCs w:val="24"/>
        </w:rPr>
      </w:pPr>
    </w:p>
    <w:p w:rsidR="00EA4DC5" w:rsidRPr="00C46F29" w:rsidRDefault="00EA0315">
      <w:pPr>
        <w:ind w:left="567" w:firstLine="0"/>
        <w:rPr>
          <w:color w:val="1B1C1D"/>
          <w:sz w:val="24"/>
          <w:szCs w:val="24"/>
        </w:rPr>
      </w:pPr>
      <w:r w:rsidRPr="00C46F29">
        <w:rPr>
          <w:color w:val="1B1C1D"/>
          <w:sz w:val="24"/>
          <w:szCs w:val="24"/>
        </w:rPr>
        <w:t>Studies have consistently shown that migrant populations faced a higher risk of infection and severe COVID-19 outcomes [6]. This increased vulnerability isn't   genetic but is a result of socio-economic and structural factors.</w:t>
      </w:r>
    </w:p>
    <w:p w:rsidR="00EA4DC5" w:rsidRPr="00C46F29" w:rsidRDefault="00EA4DC5">
      <w:pPr>
        <w:ind w:left="567" w:firstLine="0"/>
        <w:rPr>
          <w:color w:val="1B1C1D"/>
          <w:sz w:val="24"/>
          <w:szCs w:val="24"/>
        </w:rPr>
      </w:pPr>
    </w:p>
    <w:p w:rsidR="00EA4DC5" w:rsidRPr="00C46F29" w:rsidRDefault="00EA4DC5">
      <w:pPr>
        <w:ind w:left="567" w:firstLine="0"/>
        <w:rPr>
          <w:color w:val="1B1C1D"/>
          <w:sz w:val="24"/>
          <w:szCs w:val="24"/>
        </w:rPr>
      </w:pPr>
    </w:p>
    <w:p w:rsidR="00EA4DC5" w:rsidRPr="00C46F29" w:rsidRDefault="00EA0315">
      <w:pPr>
        <w:ind w:left="567" w:firstLine="0"/>
        <w:rPr>
          <w:color w:val="1B1C1D"/>
          <w:sz w:val="24"/>
          <w:szCs w:val="24"/>
        </w:rPr>
      </w:pPr>
      <w:r w:rsidRPr="00C46F29">
        <w:rPr>
          <w:color w:val="1B1C1D"/>
          <w:sz w:val="24"/>
          <w:szCs w:val="24"/>
        </w:rPr>
        <w:t xml:space="preserve">   Key factors from the l</w:t>
      </w:r>
      <w:r w:rsidRPr="00C46F29">
        <w:rPr>
          <w:color w:val="1B1C1D"/>
          <w:sz w:val="24"/>
          <w:szCs w:val="24"/>
        </w:rPr>
        <w:t>iterature include:</w:t>
      </w:r>
    </w:p>
    <w:p w:rsidR="00EA4DC5" w:rsidRPr="00C46F29" w:rsidRDefault="00EA0315">
      <w:pPr>
        <w:numPr>
          <w:ilvl w:val="0"/>
          <w:numId w:val="16"/>
        </w:numPr>
        <w:rPr>
          <w:color w:val="1B1C1D"/>
          <w:sz w:val="24"/>
          <w:szCs w:val="24"/>
        </w:rPr>
      </w:pPr>
      <w:r w:rsidRPr="00C46F29">
        <w:rPr>
          <w:b/>
          <w:color w:val="1B1C1D"/>
          <w:sz w:val="24"/>
          <w:szCs w:val="24"/>
        </w:rPr>
        <w:t>Precarious Living Conditions:</w:t>
      </w:r>
      <w:r w:rsidRPr="00C46F29">
        <w:rPr>
          <w:color w:val="1B1C1D"/>
          <w:sz w:val="24"/>
          <w:szCs w:val="24"/>
        </w:rPr>
        <w:t xml:space="preserve"> Overcrowded housing and multi-generational households made physical distancing difficult [7].</w:t>
      </w:r>
    </w:p>
    <w:p w:rsidR="00EA4DC5" w:rsidRPr="00C46F29" w:rsidRDefault="00EA0315">
      <w:pPr>
        <w:numPr>
          <w:ilvl w:val="0"/>
          <w:numId w:val="16"/>
        </w:numPr>
        <w:rPr>
          <w:color w:val="1B1C1D"/>
          <w:sz w:val="24"/>
          <w:szCs w:val="24"/>
        </w:rPr>
      </w:pPr>
      <w:r w:rsidRPr="00C46F29">
        <w:rPr>
          <w:b/>
          <w:color w:val="1B1C1D"/>
          <w:sz w:val="24"/>
          <w:szCs w:val="24"/>
        </w:rPr>
        <w:t>High-Risk Occupations:</w:t>
      </w:r>
      <w:r w:rsidRPr="00C46F29">
        <w:rPr>
          <w:color w:val="1B1C1D"/>
          <w:sz w:val="24"/>
          <w:szCs w:val="24"/>
        </w:rPr>
        <w:t xml:space="preserve"> Many migrants worked in essential, high-exposure jobs (e.g., agriculture, food processing)</w:t>
      </w:r>
      <w:r w:rsidRPr="00C46F29">
        <w:rPr>
          <w:color w:val="1B1C1D"/>
          <w:sz w:val="24"/>
          <w:szCs w:val="24"/>
        </w:rPr>
        <w:t xml:space="preserve"> with limited access to sick leave or protective gear [7, 8].</w:t>
      </w:r>
    </w:p>
    <w:p w:rsidR="00EA4DC5" w:rsidRPr="00C46F29" w:rsidRDefault="00EA0315">
      <w:pPr>
        <w:numPr>
          <w:ilvl w:val="0"/>
          <w:numId w:val="16"/>
        </w:numPr>
        <w:rPr>
          <w:color w:val="1B1C1D"/>
          <w:sz w:val="24"/>
          <w:szCs w:val="24"/>
        </w:rPr>
      </w:pPr>
      <w:r w:rsidRPr="00C46F29">
        <w:rPr>
          <w:b/>
          <w:color w:val="1B1C1D"/>
          <w:sz w:val="24"/>
          <w:szCs w:val="24"/>
        </w:rPr>
        <w:t>Healthcare Barriers:</w:t>
      </w:r>
      <w:r w:rsidRPr="00C46F29">
        <w:rPr>
          <w:color w:val="1B1C1D"/>
          <w:sz w:val="24"/>
          <w:szCs w:val="24"/>
        </w:rPr>
        <w:t xml:space="preserve"> Issues like language barriers, lack of insurance, and fear of deportation delayed access to testing and medical care [6, 9].</w:t>
      </w:r>
    </w:p>
    <w:p w:rsidR="00EA4DC5" w:rsidRPr="00C46F29" w:rsidRDefault="00EA0315">
      <w:pPr>
        <w:numPr>
          <w:ilvl w:val="0"/>
          <w:numId w:val="16"/>
        </w:numPr>
        <w:rPr>
          <w:color w:val="1B1C1D"/>
          <w:sz w:val="24"/>
          <w:szCs w:val="24"/>
        </w:rPr>
      </w:pPr>
      <w:r w:rsidRPr="00C46F29">
        <w:rPr>
          <w:b/>
          <w:color w:val="1B1C1D"/>
          <w:sz w:val="24"/>
          <w:szCs w:val="24"/>
        </w:rPr>
        <w:t>Economic Vulnerability:</w:t>
      </w:r>
      <w:r w:rsidRPr="00C46F29">
        <w:rPr>
          <w:color w:val="1B1C1D"/>
          <w:sz w:val="24"/>
          <w:szCs w:val="24"/>
        </w:rPr>
        <w:t xml:space="preserve"> Lower income and food in</w:t>
      </w:r>
      <w:r w:rsidRPr="00C46F29">
        <w:rPr>
          <w:color w:val="1B1C1D"/>
          <w:sz w:val="24"/>
          <w:szCs w:val="24"/>
        </w:rPr>
        <w:t>security worsened health outcomes [7, 8].</w:t>
      </w:r>
    </w:p>
    <w:p w:rsidR="00EA4DC5" w:rsidRPr="00C46F29" w:rsidRDefault="00EA4DC5">
      <w:pPr>
        <w:ind w:left="720" w:firstLine="0"/>
        <w:rPr>
          <w:b/>
          <w:color w:val="1B1C1D"/>
          <w:sz w:val="24"/>
          <w:szCs w:val="24"/>
        </w:rPr>
      </w:pPr>
    </w:p>
    <w:p w:rsidR="00EA4DC5" w:rsidRPr="00C46F29" w:rsidRDefault="00EA4DC5">
      <w:pPr>
        <w:ind w:left="720" w:firstLine="0"/>
        <w:rPr>
          <w:b/>
          <w:color w:val="1B1C1D"/>
          <w:sz w:val="24"/>
          <w:szCs w:val="24"/>
        </w:rPr>
      </w:pPr>
    </w:p>
    <w:p w:rsidR="00EA4DC5" w:rsidRPr="00C46F29" w:rsidRDefault="00EA0315">
      <w:pPr>
        <w:ind w:left="720" w:firstLine="0"/>
        <w:rPr>
          <w:b/>
          <w:color w:val="1B1C1D"/>
          <w:sz w:val="24"/>
          <w:szCs w:val="24"/>
        </w:rPr>
      </w:pPr>
      <w:r w:rsidRPr="00C46F29">
        <w:rPr>
          <w:b/>
          <w:color w:val="1B1C1D"/>
          <w:sz w:val="24"/>
          <w:szCs w:val="24"/>
        </w:rPr>
        <w:t>Integrating Causal ML and Migrant Health</w:t>
      </w:r>
    </w:p>
    <w:p w:rsidR="00EA4DC5" w:rsidRPr="00C46F29" w:rsidRDefault="00EA4DC5">
      <w:pPr>
        <w:ind w:left="720" w:firstLine="0"/>
        <w:rPr>
          <w:b/>
          <w:color w:val="1B1C1D"/>
          <w:sz w:val="24"/>
          <w:szCs w:val="24"/>
        </w:rPr>
      </w:pPr>
    </w:p>
    <w:p w:rsidR="00EA4DC5" w:rsidRPr="00C46F29" w:rsidRDefault="00EA0315">
      <w:pPr>
        <w:ind w:left="720" w:firstLine="0"/>
        <w:rPr>
          <w:color w:val="1B1C1D"/>
          <w:sz w:val="24"/>
          <w:szCs w:val="24"/>
        </w:rPr>
      </w:pPr>
      <w:r w:rsidRPr="00C46F29">
        <w:rPr>
          <w:color w:val="1B1C1D"/>
          <w:sz w:val="24"/>
          <w:szCs w:val="24"/>
        </w:rPr>
        <w:t>While research in both CML and migrant health is well-established, there is a clear gap in studies that integrate them. By applying a causal framework to data that includ</w:t>
      </w:r>
      <w:r w:rsidRPr="00C46F29">
        <w:rPr>
          <w:color w:val="1B1C1D"/>
          <w:sz w:val="24"/>
          <w:szCs w:val="24"/>
        </w:rPr>
        <w:t>es social and economic variables specific to migrant communities, we can create models that not only predict an individual’s risk but also quantify the causal contribution of structural factors like housing or occupation [10].</w:t>
      </w:r>
    </w:p>
    <w:p w:rsidR="00EA4DC5" w:rsidRPr="00C46F29" w:rsidRDefault="00EA0315">
      <w:pPr>
        <w:ind w:left="720" w:firstLine="0"/>
        <w:rPr>
          <w:color w:val="1B1C1D"/>
          <w:sz w:val="24"/>
          <w:szCs w:val="24"/>
        </w:rPr>
      </w:pPr>
      <w:r w:rsidRPr="00C46F29">
        <w:rPr>
          <w:color w:val="1B1C1D"/>
          <w:sz w:val="24"/>
          <w:szCs w:val="24"/>
        </w:rPr>
        <w:t>This integration would be a p</w:t>
      </w:r>
      <w:r w:rsidRPr="00C46F29">
        <w:rPr>
          <w:color w:val="1B1C1D"/>
          <w:sz w:val="24"/>
          <w:szCs w:val="24"/>
        </w:rPr>
        <w:t xml:space="preserve">owerful tool for public health policy. Instead of simply knowing migrants are at higher risk, policymakers could use the causal insights to justify targeted interventions, such as providing better housing, safe working conditions, and culturally competent </w:t>
      </w:r>
      <w:r w:rsidRPr="00C46F29">
        <w:rPr>
          <w:color w:val="1B1C1D"/>
          <w:sz w:val="24"/>
          <w:szCs w:val="24"/>
        </w:rPr>
        <w:t>healthcare services. This approach moves beyond simple prediction to causal understanding, enabling more equitable and effective health strategies [11].</w:t>
      </w:r>
    </w:p>
    <w:p w:rsidR="00EA4DC5" w:rsidRPr="00C46F29" w:rsidRDefault="00EA4DC5">
      <w:pPr>
        <w:ind w:left="720" w:firstLine="0"/>
        <w:rPr>
          <w:color w:val="1B1C1D"/>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3. Methodology / System Design</w:t>
      </w:r>
    </w:p>
    <w:p w:rsidR="00EA4DC5" w:rsidRPr="00C46F29" w:rsidRDefault="00EA4DC5">
      <w:pPr>
        <w:pBdr>
          <w:top w:val="nil"/>
          <w:left w:val="nil"/>
          <w:bottom w:val="nil"/>
          <w:right w:val="nil"/>
          <w:between w:val="nil"/>
        </w:pBdr>
        <w:ind w:firstLine="0"/>
        <w:rPr>
          <w:b/>
          <w:color w:val="000000"/>
          <w:sz w:val="24"/>
          <w:szCs w:val="24"/>
        </w:rPr>
      </w:pP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The methodological framework for this study was designed to ensure both statistical rigor and interpretability. We followed a causal inference workflow that combines traditional econometric approaches with modern machine learning algorithms. This integrati</w:t>
      </w:r>
      <w:r w:rsidRPr="00C46F29">
        <w:rPr>
          <w:color w:val="000000"/>
          <w:sz w:val="24"/>
          <w:szCs w:val="24"/>
        </w:rPr>
        <w:t>on allows us to estimate not just predictive associations but the true causal effect of migration on suspected COVID-19 risk.</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3.1 Data Source and Description</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The dataset used in this study originated from a structured rural household survey conducted during the COVID-19 pandemic. The survey captured demographic, socio-economic, and health-related information from both migrant and non-migrant households.</w:t>
      </w:r>
    </w:p>
    <w:p w:rsidR="00EA4DC5" w:rsidRPr="00C46F29" w:rsidRDefault="00EA0315">
      <w:pPr>
        <w:numPr>
          <w:ilvl w:val="0"/>
          <w:numId w:val="17"/>
        </w:numPr>
        <w:pBdr>
          <w:top w:val="nil"/>
          <w:left w:val="nil"/>
          <w:bottom w:val="nil"/>
          <w:right w:val="nil"/>
          <w:between w:val="nil"/>
        </w:pBdr>
        <w:rPr>
          <w:color w:val="000000"/>
          <w:sz w:val="24"/>
          <w:szCs w:val="24"/>
        </w:rPr>
      </w:pPr>
      <w:r w:rsidRPr="00C46F29">
        <w:rPr>
          <w:b/>
          <w:color w:val="000000"/>
          <w:sz w:val="24"/>
          <w:szCs w:val="24"/>
        </w:rPr>
        <w:t>Treatme</w:t>
      </w:r>
      <w:r w:rsidRPr="00C46F29">
        <w:rPr>
          <w:b/>
          <w:color w:val="000000"/>
          <w:sz w:val="24"/>
          <w:szCs w:val="24"/>
        </w:rPr>
        <w:t>nt Variable (T):</w:t>
      </w:r>
      <w:r w:rsidRPr="00C46F29">
        <w:rPr>
          <w:color w:val="000000"/>
          <w:sz w:val="24"/>
          <w:szCs w:val="24"/>
        </w:rPr>
        <w:t xml:space="preserve"> Migration status (binary; 1 = Migrant household, 0 = Non-Migrant household).</w:t>
      </w:r>
    </w:p>
    <w:p w:rsidR="00EA4DC5" w:rsidRPr="00C46F29" w:rsidRDefault="00EA0315">
      <w:pPr>
        <w:numPr>
          <w:ilvl w:val="0"/>
          <w:numId w:val="17"/>
        </w:numPr>
        <w:pBdr>
          <w:top w:val="nil"/>
          <w:left w:val="nil"/>
          <w:bottom w:val="nil"/>
          <w:right w:val="nil"/>
          <w:between w:val="nil"/>
        </w:pBdr>
        <w:rPr>
          <w:color w:val="000000"/>
          <w:sz w:val="24"/>
          <w:szCs w:val="24"/>
        </w:rPr>
      </w:pPr>
      <w:r w:rsidRPr="00C46F29">
        <w:rPr>
          <w:b/>
          <w:color w:val="000000"/>
          <w:sz w:val="24"/>
          <w:szCs w:val="24"/>
        </w:rPr>
        <w:t>Outcome Variable (Y):</w:t>
      </w:r>
      <w:r w:rsidRPr="00C46F29">
        <w:rPr>
          <w:color w:val="000000"/>
          <w:sz w:val="24"/>
          <w:szCs w:val="24"/>
        </w:rPr>
        <w:t xml:space="preserve"> Suspected COVID-19 case within the household (binary; 1 = suspected, 0 = not suspected).</w:t>
      </w:r>
    </w:p>
    <w:p w:rsidR="00EA4DC5" w:rsidRPr="00C46F29" w:rsidRDefault="00EA0315">
      <w:pPr>
        <w:numPr>
          <w:ilvl w:val="0"/>
          <w:numId w:val="17"/>
        </w:numPr>
        <w:pBdr>
          <w:top w:val="nil"/>
          <w:left w:val="nil"/>
          <w:bottom w:val="nil"/>
          <w:right w:val="nil"/>
          <w:between w:val="nil"/>
        </w:pBdr>
        <w:rPr>
          <w:color w:val="000000"/>
          <w:sz w:val="24"/>
          <w:szCs w:val="24"/>
        </w:rPr>
      </w:pPr>
      <w:r w:rsidRPr="00C46F29">
        <w:rPr>
          <w:b/>
          <w:color w:val="000000"/>
          <w:sz w:val="24"/>
          <w:szCs w:val="24"/>
        </w:rPr>
        <w:t>Covariates (X):</w:t>
      </w:r>
    </w:p>
    <w:p w:rsidR="00EA4DC5" w:rsidRPr="00C46F29" w:rsidRDefault="00EA0315">
      <w:pPr>
        <w:numPr>
          <w:ilvl w:val="1"/>
          <w:numId w:val="17"/>
        </w:numPr>
        <w:pBdr>
          <w:top w:val="nil"/>
          <w:left w:val="nil"/>
          <w:bottom w:val="nil"/>
          <w:right w:val="nil"/>
          <w:between w:val="nil"/>
        </w:pBdr>
        <w:rPr>
          <w:color w:val="000000"/>
          <w:sz w:val="24"/>
          <w:szCs w:val="24"/>
        </w:rPr>
      </w:pPr>
      <w:r w:rsidRPr="00C46F29">
        <w:rPr>
          <w:b/>
          <w:color w:val="000000"/>
          <w:sz w:val="24"/>
          <w:szCs w:val="24"/>
        </w:rPr>
        <w:t>Demographic:</w:t>
      </w:r>
      <w:r w:rsidRPr="00C46F29">
        <w:rPr>
          <w:color w:val="000000"/>
          <w:sz w:val="24"/>
          <w:szCs w:val="24"/>
        </w:rPr>
        <w:t xml:space="preserve"> Age, Gender, Household</w:t>
      </w:r>
      <w:r w:rsidRPr="00C46F29">
        <w:rPr>
          <w:color w:val="000000"/>
          <w:sz w:val="24"/>
          <w:szCs w:val="24"/>
        </w:rPr>
        <w:t xml:space="preserve"> size.</w:t>
      </w:r>
    </w:p>
    <w:p w:rsidR="00EA4DC5" w:rsidRPr="00C46F29" w:rsidRDefault="00EA0315">
      <w:pPr>
        <w:numPr>
          <w:ilvl w:val="1"/>
          <w:numId w:val="17"/>
        </w:numPr>
        <w:pBdr>
          <w:top w:val="nil"/>
          <w:left w:val="nil"/>
          <w:bottom w:val="nil"/>
          <w:right w:val="nil"/>
          <w:between w:val="nil"/>
        </w:pBdr>
        <w:rPr>
          <w:color w:val="000000"/>
          <w:sz w:val="24"/>
          <w:szCs w:val="24"/>
        </w:rPr>
      </w:pPr>
      <w:r w:rsidRPr="00C46F29">
        <w:rPr>
          <w:b/>
          <w:color w:val="000000"/>
          <w:sz w:val="24"/>
          <w:szCs w:val="24"/>
        </w:rPr>
        <w:t>Socio-economic:</w:t>
      </w:r>
      <w:r w:rsidRPr="00C46F29">
        <w:rPr>
          <w:color w:val="000000"/>
          <w:sz w:val="24"/>
          <w:szCs w:val="24"/>
        </w:rPr>
        <w:t xml:space="preserve"> Caste, Education, Monthly income.</w:t>
      </w:r>
    </w:p>
    <w:p w:rsidR="00EA4DC5" w:rsidRPr="00C46F29" w:rsidRDefault="00EA0315">
      <w:pPr>
        <w:numPr>
          <w:ilvl w:val="1"/>
          <w:numId w:val="17"/>
        </w:numPr>
        <w:pBdr>
          <w:top w:val="nil"/>
          <w:left w:val="nil"/>
          <w:bottom w:val="nil"/>
          <w:right w:val="nil"/>
          <w:between w:val="nil"/>
        </w:pBdr>
        <w:rPr>
          <w:color w:val="000000"/>
          <w:sz w:val="24"/>
          <w:szCs w:val="24"/>
        </w:rPr>
      </w:pPr>
      <w:r w:rsidRPr="00C46F29">
        <w:rPr>
          <w:b/>
          <w:color w:val="000000"/>
          <w:sz w:val="24"/>
          <w:szCs w:val="24"/>
        </w:rPr>
        <w:t xml:space="preserve">Health </w:t>
      </w:r>
      <w:proofErr w:type="spellStart"/>
      <w:r w:rsidRPr="00C46F29">
        <w:rPr>
          <w:b/>
          <w:color w:val="000000"/>
          <w:sz w:val="24"/>
          <w:szCs w:val="24"/>
        </w:rPr>
        <w:t>behaviors</w:t>
      </w:r>
      <w:proofErr w:type="spellEnd"/>
      <w:r w:rsidRPr="00C46F29">
        <w:rPr>
          <w:b/>
          <w:color w:val="000000"/>
          <w:sz w:val="24"/>
          <w:szCs w:val="24"/>
        </w:rPr>
        <w:t>:</w:t>
      </w:r>
      <w:r w:rsidRPr="00C46F29">
        <w:rPr>
          <w:color w:val="000000"/>
          <w:sz w:val="24"/>
          <w:szCs w:val="24"/>
        </w:rPr>
        <w:t xml:space="preserve"> Medicine intake, Access to healthcare facilities.</w:t>
      </w:r>
    </w:p>
    <w:p w:rsidR="00EA4DC5" w:rsidRPr="00C46F29" w:rsidRDefault="00EA0315">
      <w:pPr>
        <w:numPr>
          <w:ilvl w:val="1"/>
          <w:numId w:val="17"/>
        </w:numPr>
        <w:pBdr>
          <w:top w:val="nil"/>
          <w:left w:val="nil"/>
          <w:bottom w:val="nil"/>
          <w:right w:val="nil"/>
          <w:between w:val="nil"/>
        </w:pBdr>
        <w:rPr>
          <w:color w:val="000000"/>
          <w:sz w:val="24"/>
          <w:szCs w:val="24"/>
        </w:rPr>
      </w:pPr>
      <w:r w:rsidRPr="00C46F29">
        <w:rPr>
          <w:b/>
          <w:color w:val="000000"/>
          <w:sz w:val="24"/>
          <w:szCs w:val="24"/>
        </w:rPr>
        <w:t>Occupational factors:</w:t>
      </w:r>
      <w:r w:rsidRPr="00C46F29">
        <w:rPr>
          <w:color w:val="000000"/>
          <w:sz w:val="24"/>
          <w:szCs w:val="24"/>
        </w:rPr>
        <w:t xml:space="preserve"> Type of employment, Exposure risk.</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These covariates were chosen because they are potential confounders—factor</w:t>
      </w:r>
      <w:r w:rsidRPr="00C46F29">
        <w:rPr>
          <w:color w:val="000000"/>
          <w:sz w:val="24"/>
          <w:szCs w:val="24"/>
        </w:rPr>
        <w:t>s that simultaneously influence both migration status and the likelihood of being a suspected COVID case.</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 xml:space="preserve">3.2 Data </w:t>
      </w:r>
      <w:proofErr w:type="spellStart"/>
      <w:r w:rsidRPr="00C46F29">
        <w:rPr>
          <w:b/>
          <w:color w:val="000000"/>
          <w:sz w:val="24"/>
          <w:szCs w:val="24"/>
        </w:rPr>
        <w:t>Preprocessing</w:t>
      </w:r>
      <w:proofErr w:type="spellEnd"/>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 xml:space="preserve">Prior to analysis, the dataset underwent a rigorous </w:t>
      </w:r>
      <w:proofErr w:type="spellStart"/>
      <w:r w:rsidRPr="00C46F29">
        <w:rPr>
          <w:color w:val="000000"/>
          <w:sz w:val="24"/>
          <w:szCs w:val="24"/>
        </w:rPr>
        <w:t>preprocessing</w:t>
      </w:r>
      <w:proofErr w:type="spellEnd"/>
      <w:r w:rsidRPr="00C46F29">
        <w:rPr>
          <w:color w:val="000000"/>
          <w:sz w:val="24"/>
          <w:szCs w:val="24"/>
        </w:rPr>
        <w:t xml:space="preserve"> pipeline:</w:t>
      </w:r>
    </w:p>
    <w:p w:rsidR="00EA4DC5" w:rsidRPr="00C46F29" w:rsidRDefault="00EA0315">
      <w:pPr>
        <w:numPr>
          <w:ilvl w:val="0"/>
          <w:numId w:val="18"/>
        </w:numPr>
        <w:pBdr>
          <w:top w:val="nil"/>
          <w:left w:val="nil"/>
          <w:bottom w:val="nil"/>
          <w:right w:val="nil"/>
          <w:between w:val="nil"/>
        </w:pBdr>
        <w:rPr>
          <w:color w:val="000000"/>
          <w:sz w:val="24"/>
          <w:szCs w:val="24"/>
        </w:rPr>
      </w:pPr>
      <w:r w:rsidRPr="00C46F29">
        <w:rPr>
          <w:b/>
          <w:color w:val="000000"/>
          <w:sz w:val="24"/>
          <w:szCs w:val="24"/>
        </w:rPr>
        <w:t>Data Cleaning:</w:t>
      </w:r>
      <w:r w:rsidRPr="00C46F29">
        <w:rPr>
          <w:color w:val="000000"/>
          <w:sz w:val="24"/>
          <w:szCs w:val="24"/>
        </w:rPr>
        <w:t xml:space="preserve"> Missing values were handled using multiple imputation methods (median imputation for continuous variables, mode for categorical variables).</w:t>
      </w:r>
    </w:p>
    <w:p w:rsidR="00EA4DC5" w:rsidRPr="00C46F29" w:rsidRDefault="00EA0315">
      <w:pPr>
        <w:numPr>
          <w:ilvl w:val="0"/>
          <w:numId w:val="18"/>
        </w:numPr>
        <w:pBdr>
          <w:top w:val="nil"/>
          <w:left w:val="nil"/>
          <w:bottom w:val="nil"/>
          <w:right w:val="nil"/>
          <w:between w:val="nil"/>
        </w:pBdr>
        <w:rPr>
          <w:color w:val="000000"/>
          <w:sz w:val="24"/>
          <w:szCs w:val="24"/>
        </w:rPr>
      </w:pPr>
      <w:r w:rsidRPr="00C46F29">
        <w:rPr>
          <w:b/>
          <w:color w:val="000000"/>
          <w:sz w:val="24"/>
          <w:szCs w:val="24"/>
        </w:rPr>
        <w:t>Outlier Treatment:</w:t>
      </w:r>
      <w:r w:rsidRPr="00C46F29">
        <w:rPr>
          <w:color w:val="000000"/>
          <w:sz w:val="24"/>
          <w:szCs w:val="24"/>
        </w:rPr>
        <w:t xml:space="preserve"> Extreme values in income and household size were </w:t>
      </w:r>
      <w:proofErr w:type="spellStart"/>
      <w:r w:rsidRPr="00C46F29">
        <w:rPr>
          <w:color w:val="000000"/>
          <w:sz w:val="24"/>
          <w:szCs w:val="24"/>
        </w:rPr>
        <w:t>winsorized</w:t>
      </w:r>
      <w:proofErr w:type="spellEnd"/>
      <w:r w:rsidRPr="00C46F29">
        <w:rPr>
          <w:color w:val="000000"/>
          <w:sz w:val="24"/>
          <w:szCs w:val="24"/>
        </w:rPr>
        <w:t xml:space="preserve"> at the 1st and 99th percentiles.</w:t>
      </w:r>
    </w:p>
    <w:p w:rsidR="00EA4DC5" w:rsidRPr="00C46F29" w:rsidRDefault="00EA0315">
      <w:pPr>
        <w:numPr>
          <w:ilvl w:val="0"/>
          <w:numId w:val="18"/>
        </w:numPr>
        <w:pBdr>
          <w:top w:val="nil"/>
          <w:left w:val="nil"/>
          <w:bottom w:val="nil"/>
          <w:right w:val="nil"/>
          <w:between w:val="nil"/>
        </w:pBdr>
        <w:rPr>
          <w:color w:val="000000"/>
          <w:sz w:val="24"/>
          <w:szCs w:val="24"/>
        </w:rPr>
      </w:pPr>
      <w:r w:rsidRPr="00C46F29">
        <w:rPr>
          <w:b/>
          <w:color w:val="000000"/>
          <w:sz w:val="24"/>
          <w:szCs w:val="24"/>
        </w:rPr>
        <w:t>Enc</w:t>
      </w:r>
      <w:r w:rsidRPr="00C46F29">
        <w:rPr>
          <w:b/>
          <w:color w:val="000000"/>
          <w:sz w:val="24"/>
          <w:szCs w:val="24"/>
        </w:rPr>
        <w:t>oding of Categorical Variables:</w:t>
      </w:r>
      <w:r w:rsidRPr="00C46F29">
        <w:rPr>
          <w:color w:val="000000"/>
          <w:sz w:val="24"/>
          <w:szCs w:val="24"/>
        </w:rPr>
        <w:t xml:space="preserve"> One-hot encoding was applied to caste, occupation, and gender variables for use in machine learning models.</w:t>
      </w:r>
    </w:p>
    <w:p w:rsidR="00EA4DC5" w:rsidRPr="00C46F29" w:rsidRDefault="00EA0315">
      <w:pPr>
        <w:numPr>
          <w:ilvl w:val="0"/>
          <w:numId w:val="18"/>
        </w:numPr>
        <w:pBdr>
          <w:top w:val="nil"/>
          <w:left w:val="nil"/>
          <w:bottom w:val="nil"/>
          <w:right w:val="nil"/>
          <w:between w:val="nil"/>
        </w:pBdr>
        <w:rPr>
          <w:color w:val="000000"/>
          <w:sz w:val="24"/>
          <w:szCs w:val="24"/>
        </w:rPr>
      </w:pPr>
      <w:r w:rsidRPr="00C46F29">
        <w:rPr>
          <w:b/>
          <w:color w:val="000000"/>
          <w:sz w:val="24"/>
          <w:szCs w:val="24"/>
        </w:rPr>
        <w:t>Normalization:</w:t>
      </w:r>
      <w:r w:rsidRPr="00C46F29">
        <w:rPr>
          <w:color w:val="000000"/>
          <w:sz w:val="24"/>
          <w:szCs w:val="24"/>
        </w:rPr>
        <w:t xml:space="preserve"> Continuous covariates (age, income, household size) were normalized (z-score standardization) to impr</w:t>
      </w:r>
      <w:r w:rsidRPr="00C46F29">
        <w:rPr>
          <w:color w:val="000000"/>
          <w:sz w:val="24"/>
          <w:szCs w:val="24"/>
        </w:rPr>
        <w:t>ove model stability.</w:t>
      </w:r>
    </w:p>
    <w:p w:rsidR="00EA4DC5" w:rsidRPr="00C46F29" w:rsidRDefault="00EA0315">
      <w:pPr>
        <w:numPr>
          <w:ilvl w:val="0"/>
          <w:numId w:val="18"/>
        </w:numPr>
        <w:pBdr>
          <w:top w:val="nil"/>
          <w:left w:val="nil"/>
          <w:bottom w:val="nil"/>
          <w:right w:val="nil"/>
          <w:between w:val="nil"/>
        </w:pBdr>
        <w:rPr>
          <w:color w:val="000000"/>
          <w:sz w:val="24"/>
          <w:szCs w:val="24"/>
        </w:rPr>
      </w:pPr>
      <w:r w:rsidRPr="00C46F29">
        <w:rPr>
          <w:b/>
          <w:color w:val="000000"/>
          <w:sz w:val="24"/>
          <w:szCs w:val="24"/>
        </w:rPr>
        <w:t>Train/Test Split:</w:t>
      </w:r>
      <w:r w:rsidRPr="00C46F29">
        <w:rPr>
          <w:color w:val="000000"/>
          <w:sz w:val="24"/>
          <w:szCs w:val="24"/>
        </w:rPr>
        <w:t xml:space="preserve"> The dataset was split into 70% training and 30% testing sets to validate causal estimates across subsamples.</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3.3 Analytical Framework</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The methodological pipeline consisted of three phases:</w:t>
      </w: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Phase 1: Baseline Statistic</w:t>
      </w:r>
      <w:r w:rsidRPr="00C46F29">
        <w:rPr>
          <w:b/>
          <w:color w:val="000000"/>
          <w:sz w:val="24"/>
          <w:szCs w:val="24"/>
        </w:rPr>
        <w:t>al Analysis</w:t>
      </w:r>
    </w:p>
    <w:p w:rsidR="00EA4DC5" w:rsidRPr="00C46F29" w:rsidRDefault="00EA0315">
      <w:pPr>
        <w:numPr>
          <w:ilvl w:val="0"/>
          <w:numId w:val="19"/>
        </w:numPr>
        <w:pBdr>
          <w:top w:val="nil"/>
          <w:left w:val="nil"/>
          <w:bottom w:val="nil"/>
          <w:right w:val="nil"/>
          <w:between w:val="nil"/>
        </w:pBdr>
        <w:rPr>
          <w:color w:val="000000"/>
          <w:sz w:val="24"/>
          <w:szCs w:val="24"/>
        </w:rPr>
      </w:pPr>
      <w:r w:rsidRPr="00C46F29">
        <w:rPr>
          <w:b/>
          <w:color w:val="000000"/>
          <w:sz w:val="24"/>
          <w:szCs w:val="24"/>
        </w:rPr>
        <w:t>Chi-square tests</w:t>
      </w:r>
      <w:r w:rsidRPr="00C46F29">
        <w:rPr>
          <w:color w:val="000000"/>
          <w:sz w:val="24"/>
          <w:szCs w:val="24"/>
        </w:rPr>
        <w:t xml:space="preserve"> were used to assess associations between categorical variables (migration status </w:t>
      </w:r>
      <w:proofErr w:type="spellStart"/>
      <w:r w:rsidRPr="00C46F29">
        <w:rPr>
          <w:color w:val="000000"/>
          <w:sz w:val="24"/>
          <w:szCs w:val="24"/>
        </w:rPr>
        <w:t>vs</w:t>
      </w:r>
      <w:proofErr w:type="spellEnd"/>
      <w:r w:rsidRPr="00C46F29">
        <w:rPr>
          <w:color w:val="000000"/>
          <w:sz w:val="24"/>
          <w:szCs w:val="24"/>
        </w:rPr>
        <w:t xml:space="preserve"> suspected COVID, caste distribution, etc.).</w:t>
      </w:r>
    </w:p>
    <w:p w:rsidR="00EA4DC5" w:rsidRPr="00C46F29" w:rsidRDefault="00EA0315">
      <w:pPr>
        <w:numPr>
          <w:ilvl w:val="0"/>
          <w:numId w:val="19"/>
        </w:numPr>
        <w:pBdr>
          <w:top w:val="nil"/>
          <w:left w:val="nil"/>
          <w:bottom w:val="nil"/>
          <w:right w:val="nil"/>
          <w:between w:val="nil"/>
        </w:pBdr>
        <w:rPr>
          <w:color w:val="000000"/>
          <w:sz w:val="24"/>
          <w:szCs w:val="24"/>
        </w:rPr>
      </w:pPr>
      <w:r w:rsidRPr="00C46F29">
        <w:rPr>
          <w:b/>
          <w:color w:val="000000"/>
          <w:sz w:val="24"/>
          <w:szCs w:val="24"/>
        </w:rPr>
        <w:t>Independent samples t-tests</w:t>
      </w:r>
      <w:r w:rsidRPr="00C46F29">
        <w:rPr>
          <w:color w:val="000000"/>
          <w:sz w:val="24"/>
          <w:szCs w:val="24"/>
        </w:rPr>
        <w:t xml:space="preserve"> compared continuous variables (income, household size) across migrants and non-migrants.</w:t>
      </w:r>
    </w:p>
    <w:p w:rsidR="00EA4DC5" w:rsidRPr="00C46F29" w:rsidRDefault="00EA0315">
      <w:pPr>
        <w:numPr>
          <w:ilvl w:val="0"/>
          <w:numId w:val="19"/>
        </w:numPr>
        <w:pBdr>
          <w:top w:val="nil"/>
          <w:left w:val="nil"/>
          <w:bottom w:val="nil"/>
          <w:right w:val="nil"/>
          <w:between w:val="nil"/>
        </w:pBdr>
        <w:rPr>
          <w:color w:val="000000"/>
          <w:sz w:val="24"/>
          <w:szCs w:val="24"/>
        </w:rPr>
      </w:pPr>
      <w:r w:rsidRPr="00C46F29">
        <w:rPr>
          <w:color w:val="000000"/>
          <w:sz w:val="24"/>
          <w:szCs w:val="24"/>
        </w:rPr>
        <w:t>These preliminary analyses provided insights into raw differences before causal adjustment.</w:t>
      </w: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Phase 2: Propensity Score Estimation</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To mimic a randomized controlled tria</w:t>
      </w:r>
      <w:r w:rsidRPr="00C46F29">
        <w:rPr>
          <w:color w:val="000000"/>
          <w:sz w:val="24"/>
          <w:szCs w:val="24"/>
        </w:rPr>
        <w:t>l, we estimated propensity scores—the probability of being a migrant household given the observed covariates. Logistic regression was used for propensity score estimation.</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ab/>
      </w:r>
      <w:r w:rsidRPr="00C46F29">
        <w:rPr>
          <w:color w:val="000000"/>
          <w:sz w:val="24"/>
          <w:szCs w:val="24"/>
        </w:rPr>
        <w:tab/>
      </w:r>
      <m:oMath>
        <m:r>
          <w:rPr>
            <w:rFonts w:ascii="Cambria Math" w:eastAsia="Cambria Math" w:hAnsi="Cambria Math"/>
            <w:color w:val="000000"/>
            <w:sz w:val="24"/>
            <w:szCs w:val="24"/>
          </w:rPr>
          <m:t>e</m:t>
        </m:r>
        <m:r>
          <w:rPr>
            <w:rFonts w:ascii="Cambria Math" w:eastAsia="Cambria Math" w:hAnsi="Cambria Math"/>
            <w:color w:val="000000"/>
            <w:sz w:val="24"/>
            <w:szCs w:val="24"/>
          </w:rPr>
          <m:t>(</m:t>
        </m:r>
        <m:r>
          <w:rPr>
            <w:rFonts w:ascii="Cambria Math" w:eastAsia="Cambria Math" w:hAnsi="Cambria Math"/>
            <w:color w:val="000000"/>
            <w:sz w:val="24"/>
            <w:szCs w:val="24"/>
          </w:rPr>
          <m:t>X</m:t>
        </m:r>
        <m:r>
          <w:rPr>
            <w:rFonts w:ascii="Cambria Math" w:eastAsia="Cambria Math" w:hAnsi="Cambria Math"/>
            <w:color w:val="000000"/>
            <w:sz w:val="24"/>
            <w:szCs w:val="24"/>
          </w:rPr>
          <m:t>)=</m:t>
        </m:r>
        <m:r>
          <w:rPr>
            <w:rFonts w:ascii="Cambria Math" w:eastAsia="Cambria Math" w:hAnsi="Cambria Math"/>
            <w:color w:val="000000"/>
            <w:sz w:val="24"/>
            <w:szCs w:val="24"/>
          </w:rPr>
          <m:t>P</m:t>
        </m:r>
        <m:r>
          <w:rPr>
            <w:rFonts w:ascii="Cambria Math" w:eastAsia="Cambria Math" w:hAnsi="Cambria Math"/>
            <w:color w:val="000000"/>
            <w:sz w:val="24"/>
            <w:szCs w:val="24"/>
          </w:rPr>
          <m:t>(</m:t>
        </m:r>
        <m:r>
          <w:rPr>
            <w:rFonts w:ascii="Cambria Math" w:eastAsia="Cambria Math" w:hAnsi="Cambria Math"/>
            <w:color w:val="000000"/>
            <w:sz w:val="24"/>
            <w:szCs w:val="24"/>
          </w:rPr>
          <m:t>T</m:t>
        </m:r>
        <m:r>
          <w:rPr>
            <w:rFonts w:ascii="Cambria Math" w:eastAsia="Cambria Math" w:hAnsi="Cambria Math"/>
            <w:color w:val="000000"/>
            <w:sz w:val="24"/>
            <w:szCs w:val="24"/>
          </w:rPr>
          <m:t>=1∣</m:t>
        </m:r>
        <m:r>
          <w:rPr>
            <w:rFonts w:ascii="Cambria Math" w:eastAsia="Cambria Math" w:hAnsi="Cambria Math"/>
            <w:color w:val="000000"/>
            <w:sz w:val="24"/>
            <w:szCs w:val="24"/>
          </w:rPr>
          <m:t>X</m:t>
        </m:r>
        <m:r>
          <w:rPr>
            <w:rFonts w:ascii="Cambria Math" w:eastAsia="Cambria Math" w:hAnsi="Cambria Math"/>
            <w:color w:val="000000"/>
            <w:sz w:val="24"/>
            <w:szCs w:val="24"/>
          </w:rPr>
          <m:t>)</m:t>
        </m:r>
      </m:oMath>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Where e(X) is the propensity score, T is treatment (migration</w:t>
      </w:r>
      <w:r w:rsidRPr="00C46F29">
        <w:rPr>
          <w:color w:val="000000"/>
          <w:sz w:val="24"/>
          <w:szCs w:val="24"/>
        </w:rPr>
        <w:t>), and X is the vector of covariates.</w:t>
      </w: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Phase 3: Causal Estimators</w:t>
      </w:r>
    </w:p>
    <w:p w:rsidR="00EA4DC5" w:rsidRPr="00C46F29" w:rsidRDefault="00EA0315">
      <w:pPr>
        <w:numPr>
          <w:ilvl w:val="0"/>
          <w:numId w:val="20"/>
        </w:numPr>
        <w:pBdr>
          <w:top w:val="nil"/>
          <w:left w:val="nil"/>
          <w:bottom w:val="nil"/>
          <w:right w:val="nil"/>
          <w:between w:val="nil"/>
        </w:pBdr>
        <w:rPr>
          <w:color w:val="000000"/>
          <w:sz w:val="24"/>
          <w:szCs w:val="24"/>
        </w:rPr>
      </w:pPr>
      <w:r w:rsidRPr="00C46F29">
        <w:rPr>
          <w:b/>
          <w:color w:val="000000"/>
          <w:sz w:val="24"/>
          <w:szCs w:val="24"/>
        </w:rPr>
        <w:t>Inverse Probability Weighting (IPW):</w:t>
      </w:r>
    </w:p>
    <w:p w:rsidR="00EA4DC5" w:rsidRPr="00C46F29" w:rsidRDefault="00EA0315">
      <w:pPr>
        <w:numPr>
          <w:ilvl w:val="1"/>
          <w:numId w:val="20"/>
        </w:numPr>
        <w:pBdr>
          <w:top w:val="nil"/>
          <w:left w:val="nil"/>
          <w:bottom w:val="nil"/>
          <w:right w:val="nil"/>
          <w:between w:val="nil"/>
        </w:pBdr>
        <w:rPr>
          <w:color w:val="000000"/>
          <w:sz w:val="24"/>
          <w:szCs w:val="24"/>
        </w:rPr>
      </w:pPr>
      <w:r w:rsidRPr="00C46F29">
        <w:rPr>
          <w:color w:val="000000"/>
          <w:sz w:val="24"/>
          <w:szCs w:val="24"/>
        </w:rPr>
        <w:t>Weights were assigned to each observation based on the inverse of its propensity score.</w:t>
      </w:r>
    </w:p>
    <w:p w:rsidR="00EA4DC5" w:rsidRPr="00C46F29" w:rsidRDefault="00EA0315">
      <w:pPr>
        <w:numPr>
          <w:ilvl w:val="1"/>
          <w:numId w:val="20"/>
        </w:numPr>
        <w:pBdr>
          <w:top w:val="nil"/>
          <w:left w:val="nil"/>
          <w:bottom w:val="nil"/>
          <w:right w:val="nil"/>
          <w:between w:val="nil"/>
        </w:pBdr>
        <w:rPr>
          <w:color w:val="000000"/>
          <w:sz w:val="24"/>
          <w:szCs w:val="24"/>
        </w:rPr>
      </w:pPr>
      <w:r w:rsidRPr="00C46F29">
        <w:rPr>
          <w:color w:val="000000"/>
          <w:sz w:val="24"/>
          <w:szCs w:val="24"/>
        </w:rPr>
        <w:t>This creates a “pseudo-population” where covariates are balanced across treatment groups.</w:t>
      </w:r>
    </w:p>
    <w:p w:rsidR="00EA4DC5" w:rsidRPr="00C46F29" w:rsidRDefault="00EA0315">
      <w:pPr>
        <w:numPr>
          <w:ilvl w:val="1"/>
          <w:numId w:val="20"/>
        </w:numPr>
        <w:pBdr>
          <w:top w:val="nil"/>
          <w:left w:val="nil"/>
          <w:bottom w:val="nil"/>
          <w:right w:val="nil"/>
          <w:between w:val="nil"/>
        </w:pBdr>
        <w:rPr>
          <w:color w:val="000000"/>
          <w:sz w:val="24"/>
          <w:szCs w:val="24"/>
        </w:rPr>
      </w:pPr>
      <w:r w:rsidRPr="00C46F29">
        <w:rPr>
          <w:color w:val="000000"/>
          <w:sz w:val="24"/>
          <w:szCs w:val="24"/>
        </w:rPr>
        <w:t>The Average Treatment Effect (ATE) was estimated as:</w:t>
      </w:r>
    </w:p>
    <w:p w:rsidR="00EA4DC5" w:rsidRPr="00C46F29" w:rsidRDefault="00EA4DC5">
      <w:pPr>
        <w:pBdr>
          <w:top w:val="nil"/>
          <w:left w:val="nil"/>
          <w:bottom w:val="nil"/>
          <w:right w:val="nil"/>
          <w:between w:val="nil"/>
        </w:pBdr>
        <w:ind w:left="1440" w:firstLine="0"/>
        <w:rPr>
          <w:color w:val="000000"/>
          <w:sz w:val="24"/>
          <w:szCs w:val="24"/>
        </w:rPr>
      </w:pPr>
    </w:p>
    <w:p w:rsidR="00EA4DC5" w:rsidRPr="00C46F29" w:rsidRDefault="00EA0315">
      <w:pPr>
        <w:jc w:val="center"/>
        <w:rPr>
          <w:rFonts w:eastAsia="Cambria Math"/>
          <w:color w:val="000000"/>
          <w:sz w:val="24"/>
          <w:szCs w:val="24"/>
        </w:rPr>
      </w:pPr>
      <m:oMathPara>
        <m:oMath>
          <m:acc>
            <m:accPr>
              <m:ctrlPr>
                <w:rPr>
                  <w:rFonts w:ascii="Cambria Math" w:hAnsi="Cambria Math"/>
                  <w:sz w:val="24"/>
                  <w:szCs w:val="24"/>
                </w:rPr>
              </m:ctrlPr>
            </m:accPr>
            <m:e>
              <m:sSub>
                <m:sSubPr>
                  <m:ctrlPr>
                    <w:rPr>
                      <w:rFonts w:ascii="Cambria Math" w:eastAsia="Cambria Math" w:hAnsi="Cambria Math"/>
                      <w:color w:val="000000"/>
                      <w:sz w:val="24"/>
                      <w:szCs w:val="24"/>
                    </w:rPr>
                  </m:ctrlPr>
                </m:sSubPr>
                <m:e>
                  <m:r>
                    <w:rPr>
                      <w:rFonts w:ascii="Cambria Math" w:hAnsi="Cambria Math"/>
                      <w:sz w:val="24"/>
                      <w:szCs w:val="24"/>
                    </w:rPr>
                    <m:t>τ</m:t>
                  </m:r>
                </m:e>
                <m:sub>
                  <m:r>
                    <w:rPr>
                      <w:rFonts w:ascii="Cambria Math" w:eastAsia="Cambria Math" w:hAnsi="Cambria Math"/>
                      <w:color w:val="000000"/>
                      <w:sz w:val="24"/>
                      <w:szCs w:val="24"/>
                    </w:rPr>
                    <m:t>IPW</m:t>
                  </m:r>
                </m:sub>
              </m:sSub>
            </m:e>
          </m:acc>
          <m:r>
            <w:rPr>
              <w:rFonts w:ascii="Cambria Math" w:eastAsia="Cambria Math" w:hAnsi="Cambria Math"/>
              <w:color w:val="000000"/>
              <w:sz w:val="24"/>
              <w:szCs w:val="24"/>
            </w:rPr>
            <m:t>=</m:t>
          </m:r>
          <m:f>
            <m:fPr>
              <m:ctrlPr>
                <w:rPr>
                  <w:rFonts w:ascii="Cambria Math" w:eastAsia="Cambria Math" w:hAnsi="Cambria Math"/>
                  <w:color w:val="000000"/>
                  <w:sz w:val="24"/>
                  <w:szCs w:val="24"/>
                </w:rPr>
              </m:ctrlPr>
            </m:fPr>
            <m:num>
              <m:r>
                <w:rPr>
                  <w:rFonts w:ascii="Cambria Math" w:eastAsia="Cambria Math" w:hAnsi="Cambria Math"/>
                  <w:color w:val="000000"/>
                  <w:sz w:val="24"/>
                  <w:szCs w:val="24"/>
                </w:rPr>
                <m:t>1</m:t>
              </m:r>
            </m:num>
            <m:den>
              <m:r>
                <w:rPr>
                  <w:rFonts w:ascii="Cambria Math" w:eastAsia="Cambria Math" w:hAnsi="Cambria Math"/>
                  <w:color w:val="000000"/>
                  <w:sz w:val="24"/>
                  <w:szCs w:val="24"/>
                </w:rPr>
                <m:t>n</m:t>
              </m:r>
            </m:den>
          </m:f>
          <m:nary>
            <m:naryPr>
              <m:chr m:val="∑"/>
              <m:ctrlPr>
                <w:rPr>
                  <w:rFonts w:ascii="Cambria Math" w:eastAsia="Cambria Math" w:hAnsi="Cambria Math"/>
                  <w:color w:val="000000"/>
                  <w:sz w:val="24"/>
                  <w:szCs w:val="24"/>
                </w:rPr>
              </m:ctrlPr>
            </m:naryPr>
            <m:sub>
              <m:r>
                <w:rPr>
                  <w:rFonts w:ascii="Cambria Math" w:eastAsia="Cambria Math" w:hAnsi="Cambria Math"/>
                  <w:color w:val="000000"/>
                  <w:sz w:val="24"/>
                  <w:szCs w:val="24"/>
                </w:rPr>
                <m:t>i</m:t>
              </m:r>
              <m:r>
                <w:rPr>
                  <w:rFonts w:ascii="Cambria Math" w:eastAsia="Cambria Math" w:hAnsi="Cambria Math"/>
                  <w:color w:val="000000"/>
                  <w:sz w:val="24"/>
                  <w:szCs w:val="24"/>
                </w:rPr>
                <m:t>=1</m:t>
              </m:r>
            </m:sub>
            <m:sup>
              <m:r>
                <w:rPr>
                  <w:rFonts w:ascii="Cambria Math" w:eastAsia="Cambria Math" w:hAnsi="Cambria Math"/>
                  <w:color w:val="000000"/>
                  <w:sz w:val="24"/>
                  <w:szCs w:val="24"/>
                </w:rPr>
                <m:t>n</m:t>
              </m:r>
            </m:sup>
            <m:e>
              <m:d>
                <m:dPr>
                  <m:ctrlPr>
                    <w:rPr>
                      <w:rFonts w:ascii="Cambria Math" w:eastAsia="Cambria Math" w:hAnsi="Cambria Math"/>
                      <w:color w:val="000000"/>
                      <w:sz w:val="24"/>
                      <w:szCs w:val="24"/>
                    </w:rPr>
                  </m:ctrlPr>
                </m:dPr>
                <m:e>
                  <m:f>
                    <m:fPr>
                      <m:ctrlPr>
                        <w:rPr>
                          <w:rFonts w:ascii="Cambria Math" w:eastAsia="Cambria Math" w:hAnsi="Cambria Math"/>
                          <w:color w:val="000000"/>
                          <w:sz w:val="24"/>
                          <w:szCs w:val="24"/>
                        </w:rPr>
                      </m:ctrlPr>
                    </m:fPr>
                    <m:num>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T</m:t>
                          </m:r>
                        </m:e>
                        <m:sub>
                          <m:r>
                            <w:rPr>
                              <w:rFonts w:ascii="Cambria Math" w:eastAsia="Cambria Math" w:hAnsi="Cambria Math"/>
                              <w:color w:val="000000"/>
                              <w:sz w:val="24"/>
                              <w:szCs w:val="24"/>
                            </w:rPr>
                            <m:t>i</m:t>
                          </m:r>
                        </m:sub>
                      </m:sSub>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Y</m:t>
                          </m:r>
                        </m:e>
                        <m:sub>
                          <m:r>
                            <w:rPr>
                              <w:rFonts w:ascii="Cambria Math" w:eastAsia="Cambria Math" w:hAnsi="Cambria Math"/>
                              <w:color w:val="000000"/>
                              <w:sz w:val="24"/>
                              <w:szCs w:val="24"/>
                            </w:rPr>
                            <m:t>i</m:t>
                          </m:r>
                        </m:sub>
                      </m:sSub>
                    </m:num>
                    <m:den>
                      <m:r>
                        <w:rPr>
                          <w:rFonts w:ascii="Cambria Math" w:eastAsia="Cambria Math" w:hAnsi="Cambria Math"/>
                          <w:color w:val="000000"/>
                          <w:sz w:val="24"/>
                          <w:szCs w:val="24"/>
                        </w:rPr>
                        <m:t>e</m:t>
                      </m:r>
                      <m:d>
                        <m:dPr>
                          <m:ctrlPr>
                            <w:rPr>
                              <w:rFonts w:ascii="Cambria Math" w:eastAsia="Cambria Math" w:hAnsi="Cambria Math"/>
                              <w:color w:val="000000"/>
                              <w:sz w:val="24"/>
                              <w:szCs w:val="24"/>
                            </w:rPr>
                          </m:ctrlPr>
                        </m:d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X</m:t>
                              </m:r>
                            </m:e>
                            <m:sub>
                              <m:r>
                                <w:rPr>
                                  <w:rFonts w:ascii="Cambria Math" w:eastAsia="Cambria Math" w:hAnsi="Cambria Math"/>
                                  <w:color w:val="000000"/>
                                  <w:sz w:val="24"/>
                                  <w:szCs w:val="24"/>
                                </w:rPr>
                                <m:t>i</m:t>
                              </m:r>
                            </m:sub>
                          </m:sSub>
                        </m:e>
                      </m:d>
                    </m:den>
                  </m:f>
                  <m:r>
                    <w:rPr>
                      <w:rFonts w:ascii="Cambria Math" w:eastAsia="Cambria Math" w:hAnsi="Cambria Math"/>
                      <w:color w:val="000000"/>
                      <w:sz w:val="24"/>
                      <w:szCs w:val="24"/>
                    </w:rPr>
                    <m:t>-</m:t>
                  </m:r>
                  <m:f>
                    <m:fPr>
                      <m:ctrlPr>
                        <w:rPr>
                          <w:rFonts w:ascii="Cambria Math" w:eastAsia="Cambria Math" w:hAnsi="Cambria Math"/>
                          <w:color w:val="000000"/>
                          <w:sz w:val="24"/>
                          <w:szCs w:val="24"/>
                        </w:rPr>
                      </m:ctrlPr>
                    </m:fPr>
                    <m:num>
                      <m:d>
                        <m:dPr>
                          <m:ctrlPr>
                            <w:rPr>
                              <w:rFonts w:ascii="Cambria Math" w:eastAsia="Cambria Math" w:hAnsi="Cambria Math"/>
                              <w:color w:val="000000"/>
                              <w:sz w:val="24"/>
                              <w:szCs w:val="24"/>
                            </w:rPr>
                          </m:ctrlPr>
                        </m:dPr>
                        <m:e>
                          <m:r>
                            <w:rPr>
                              <w:rFonts w:ascii="Cambria Math" w:eastAsia="Cambria Math" w:hAnsi="Cambria Math"/>
                              <w:color w:val="000000"/>
                              <w:sz w:val="24"/>
                              <w:szCs w:val="24"/>
                            </w:rPr>
                            <m:t>1-</m:t>
                          </m:r>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T</m:t>
                              </m:r>
                            </m:e>
                            <m:sub>
                              <m:r>
                                <w:rPr>
                                  <w:rFonts w:ascii="Cambria Math" w:eastAsia="Cambria Math" w:hAnsi="Cambria Math"/>
                                  <w:color w:val="000000"/>
                                  <w:sz w:val="24"/>
                                  <w:szCs w:val="24"/>
                                </w:rPr>
                                <m:t>i</m:t>
                              </m:r>
                            </m:sub>
                          </m:sSub>
                        </m:e>
                      </m:d>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Y</m:t>
                          </m:r>
                        </m:e>
                        <m:sub>
                          <m:r>
                            <w:rPr>
                              <w:rFonts w:ascii="Cambria Math" w:eastAsia="Cambria Math" w:hAnsi="Cambria Math"/>
                              <w:color w:val="000000"/>
                              <w:sz w:val="24"/>
                              <w:szCs w:val="24"/>
                            </w:rPr>
                            <m:t>i</m:t>
                          </m:r>
                        </m:sub>
                      </m:sSub>
                    </m:num>
                    <m:den>
                      <m:r>
                        <w:rPr>
                          <w:rFonts w:ascii="Cambria Math" w:eastAsia="Cambria Math" w:hAnsi="Cambria Math"/>
                          <w:color w:val="000000"/>
                          <w:sz w:val="24"/>
                          <w:szCs w:val="24"/>
                        </w:rPr>
                        <m:t>1-e</m:t>
                      </m:r>
                      <m:d>
                        <m:dPr>
                          <m:ctrlPr>
                            <w:rPr>
                              <w:rFonts w:ascii="Cambria Math" w:eastAsia="Cambria Math" w:hAnsi="Cambria Math"/>
                              <w:color w:val="000000"/>
                              <w:sz w:val="24"/>
                              <w:szCs w:val="24"/>
                            </w:rPr>
                          </m:ctrlPr>
                        </m:d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X</m:t>
                              </m:r>
                            </m:e>
                            <m:sub>
                              <m:r>
                                <w:rPr>
                                  <w:rFonts w:ascii="Cambria Math" w:eastAsia="Cambria Math" w:hAnsi="Cambria Math"/>
                                  <w:color w:val="000000"/>
                                  <w:sz w:val="24"/>
                                  <w:szCs w:val="24"/>
                                </w:rPr>
                                <m:t>i</m:t>
                              </m:r>
                            </m:sub>
                          </m:sSub>
                        </m:e>
                      </m:d>
                    </m:den>
                  </m:f>
                </m:e>
              </m:d>
            </m:e>
          </m:nary>
        </m:oMath>
      </m:oMathPara>
    </w:p>
    <w:p w:rsidR="00EA4DC5" w:rsidRPr="00C46F29" w:rsidRDefault="00EA4DC5">
      <w:pPr>
        <w:pBdr>
          <w:top w:val="nil"/>
          <w:left w:val="nil"/>
          <w:bottom w:val="nil"/>
          <w:right w:val="nil"/>
          <w:between w:val="nil"/>
        </w:pBdr>
        <w:ind w:left="1080" w:firstLine="0"/>
        <w:rPr>
          <w:color w:val="000000"/>
          <w:sz w:val="24"/>
          <w:szCs w:val="24"/>
        </w:rPr>
      </w:pPr>
    </w:p>
    <w:p w:rsidR="00EA4DC5" w:rsidRPr="00C46F29" w:rsidRDefault="00EA4DC5">
      <w:pPr>
        <w:pBdr>
          <w:top w:val="nil"/>
          <w:left w:val="nil"/>
          <w:bottom w:val="nil"/>
          <w:right w:val="nil"/>
          <w:between w:val="nil"/>
        </w:pBdr>
        <w:ind w:left="1080" w:firstLine="0"/>
        <w:rPr>
          <w:color w:val="000000"/>
          <w:sz w:val="24"/>
          <w:szCs w:val="24"/>
        </w:rPr>
      </w:pPr>
    </w:p>
    <w:p w:rsidR="00EA4DC5" w:rsidRPr="00C46F29" w:rsidRDefault="00EA0315">
      <w:pPr>
        <w:numPr>
          <w:ilvl w:val="0"/>
          <w:numId w:val="20"/>
        </w:numPr>
        <w:pBdr>
          <w:top w:val="nil"/>
          <w:left w:val="nil"/>
          <w:bottom w:val="nil"/>
          <w:right w:val="nil"/>
          <w:between w:val="nil"/>
        </w:pBdr>
        <w:rPr>
          <w:color w:val="000000"/>
          <w:sz w:val="24"/>
          <w:szCs w:val="24"/>
        </w:rPr>
      </w:pPr>
      <w:r w:rsidRPr="00C46F29">
        <w:rPr>
          <w:b/>
          <w:color w:val="000000"/>
          <w:sz w:val="24"/>
          <w:szCs w:val="24"/>
        </w:rPr>
        <w:t>Augmented IPW (AIPW):</w:t>
      </w:r>
    </w:p>
    <w:p w:rsidR="00EA4DC5" w:rsidRPr="00C46F29" w:rsidRDefault="00EA0315">
      <w:pPr>
        <w:numPr>
          <w:ilvl w:val="1"/>
          <w:numId w:val="20"/>
        </w:numPr>
        <w:pBdr>
          <w:top w:val="nil"/>
          <w:left w:val="nil"/>
          <w:bottom w:val="nil"/>
          <w:right w:val="nil"/>
          <w:between w:val="nil"/>
        </w:pBdr>
        <w:rPr>
          <w:color w:val="000000"/>
          <w:sz w:val="24"/>
          <w:szCs w:val="24"/>
        </w:rPr>
      </w:pPr>
      <w:r w:rsidRPr="00C46F29">
        <w:rPr>
          <w:color w:val="000000"/>
          <w:sz w:val="24"/>
          <w:szCs w:val="24"/>
        </w:rPr>
        <w:t>A doubly robust estimator combining propensity score weighting with an outcome regression model.</w:t>
      </w:r>
    </w:p>
    <w:p w:rsidR="00EA4DC5" w:rsidRPr="00C46F29" w:rsidRDefault="00EA0315">
      <w:pPr>
        <w:numPr>
          <w:ilvl w:val="1"/>
          <w:numId w:val="20"/>
        </w:numPr>
        <w:pBdr>
          <w:top w:val="nil"/>
          <w:left w:val="nil"/>
          <w:bottom w:val="nil"/>
          <w:right w:val="nil"/>
          <w:between w:val="nil"/>
        </w:pBdr>
        <w:rPr>
          <w:color w:val="000000"/>
          <w:sz w:val="24"/>
          <w:szCs w:val="24"/>
        </w:rPr>
      </w:pPr>
      <w:r w:rsidRPr="00C46F29">
        <w:rPr>
          <w:color w:val="000000"/>
          <w:sz w:val="24"/>
          <w:szCs w:val="24"/>
        </w:rPr>
        <w:t>Provides unbiased estimates if either the treatment model or outcome model is correctly specified.</w:t>
      </w:r>
    </w:p>
    <w:p w:rsidR="00EA4DC5" w:rsidRPr="00C46F29" w:rsidRDefault="00EA0315">
      <w:pPr>
        <w:numPr>
          <w:ilvl w:val="1"/>
          <w:numId w:val="20"/>
        </w:numPr>
        <w:pBdr>
          <w:top w:val="nil"/>
          <w:left w:val="nil"/>
          <w:bottom w:val="nil"/>
          <w:right w:val="nil"/>
          <w:between w:val="nil"/>
        </w:pBdr>
        <w:rPr>
          <w:color w:val="000000"/>
          <w:sz w:val="24"/>
          <w:szCs w:val="24"/>
        </w:rPr>
      </w:pPr>
      <w:r w:rsidRPr="00C46F29">
        <w:rPr>
          <w:color w:val="000000"/>
          <w:sz w:val="24"/>
          <w:szCs w:val="24"/>
        </w:rPr>
        <w:t>Formula:</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jc w:val="center"/>
        <w:rPr>
          <w:rFonts w:eastAsia="Cambria Math"/>
          <w:color w:val="000000"/>
          <w:sz w:val="24"/>
          <w:szCs w:val="24"/>
        </w:rPr>
      </w:pPr>
      <m:oMathPara>
        <m:oMath>
          <m:acc>
            <m:accPr>
              <m:ctrlPr>
                <w:rPr>
                  <w:rFonts w:ascii="Cambria Math" w:hAnsi="Cambria Math"/>
                  <w:sz w:val="24"/>
                  <w:szCs w:val="24"/>
                </w:rPr>
              </m:ctrlPr>
            </m:accPr>
            <m:e>
              <m:sSub>
                <m:sSubPr>
                  <m:ctrlPr>
                    <w:rPr>
                      <w:rFonts w:ascii="Cambria Math" w:eastAsia="Cambria Math" w:hAnsi="Cambria Math"/>
                      <w:color w:val="000000"/>
                      <w:sz w:val="24"/>
                      <w:szCs w:val="24"/>
                    </w:rPr>
                  </m:ctrlPr>
                </m:sSubPr>
                <m:e>
                  <m:r>
                    <w:rPr>
                      <w:rFonts w:ascii="Cambria Math" w:hAnsi="Cambria Math"/>
                      <w:sz w:val="24"/>
                      <w:szCs w:val="24"/>
                    </w:rPr>
                    <m:t>τ</m:t>
                  </m:r>
                </m:e>
                <m:sub>
                  <m:r>
                    <w:rPr>
                      <w:rFonts w:ascii="Cambria Math" w:eastAsia="Cambria Math" w:hAnsi="Cambria Math"/>
                      <w:color w:val="000000"/>
                      <w:sz w:val="24"/>
                      <w:szCs w:val="24"/>
                    </w:rPr>
                    <m:t>AIPW</m:t>
                  </m:r>
                </m:sub>
              </m:sSub>
            </m:e>
          </m:acc>
          <m:r>
            <w:rPr>
              <w:rFonts w:ascii="Cambria Math" w:eastAsia="Cambria Math" w:hAnsi="Cambria Math"/>
              <w:color w:val="000000"/>
              <w:sz w:val="24"/>
              <w:szCs w:val="24"/>
            </w:rPr>
            <m:t>=</m:t>
          </m:r>
          <m:f>
            <m:fPr>
              <m:ctrlPr>
                <w:rPr>
                  <w:rFonts w:ascii="Cambria Math" w:eastAsia="Cambria Math" w:hAnsi="Cambria Math"/>
                  <w:color w:val="000000"/>
                  <w:sz w:val="24"/>
                  <w:szCs w:val="24"/>
                </w:rPr>
              </m:ctrlPr>
            </m:fPr>
            <m:num>
              <m:r>
                <w:rPr>
                  <w:rFonts w:ascii="Cambria Math" w:eastAsia="Cambria Math" w:hAnsi="Cambria Math"/>
                  <w:color w:val="000000"/>
                  <w:sz w:val="24"/>
                  <w:szCs w:val="24"/>
                </w:rPr>
                <m:t>1</m:t>
              </m:r>
            </m:num>
            <m:den>
              <m:r>
                <w:rPr>
                  <w:rFonts w:ascii="Cambria Math" w:eastAsia="Cambria Math" w:hAnsi="Cambria Math"/>
                  <w:color w:val="000000"/>
                  <w:sz w:val="24"/>
                  <w:szCs w:val="24"/>
                </w:rPr>
                <m:t>n</m:t>
              </m:r>
            </m:den>
          </m:f>
          <m:nary>
            <m:naryPr>
              <m:chr m:val="∑"/>
              <m:ctrlPr>
                <w:rPr>
                  <w:rFonts w:ascii="Cambria Math" w:eastAsia="Cambria Math" w:hAnsi="Cambria Math"/>
                  <w:color w:val="000000"/>
                  <w:sz w:val="24"/>
                  <w:szCs w:val="24"/>
                </w:rPr>
              </m:ctrlPr>
            </m:naryPr>
            <m:sub>
              <m:r>
                <w:rPr>
                  <w:rFonts w:ascii="Cambria Math" w:eastAsia="Cambria Math" w:hAnsi="Cambria Math"/>
                  <w:color w:val="000000"/>
                  <w:sz w:val="24"/>
                  <w:szCs w:val="24"/>
                </w:rPr>
                <m:t>i</m:t>
              </m:r>
              <m:r>
                <w:rPr>
                  <w:rFonts w:ascii="Cambria Math" w:eastAsia="Cambria Math" w:hAnsi="Cambria Math"/>
                  <w:color w:val="000000"/>
                  <w:sz w:val="24"/>
                  <w:szCs w:val="24"/>
                </w:rPr>
                <m:t>=1</m:t>
              </m:r>
            </m:sub>
            <m:sup>
              <m:r>
                <w:rPr>
                  <w:rFonts w:ascii="Cambria Math" w:eastAsia="Cambria Math" w:hAnsi="Cambria Math"/>
                  <w:color w:val="000000"/>
                  <w:sz w:val="24"/>
                  <w:szCs w:val="24"/>
                </w:rPr>
                <m:t>n</m:t>
              </m:r>
            </m:sup>
            <m:e>
              <m:d>
                <m:dPr>
                  <m:begChr m:val="["/>
                  <m:endChr m:val="]"/>
                  <m:ctrlPr>
                    <w:rPr>
                      <w:rFonts w:ascii="Cambria Math" w:eastAsia="Cambria Math" w:hAnsi="Cambria Math"/>
                      <w:color w:val="000000"/>
                      <w:sz w:val="24"/>
                      <w:szCs w:val="24"/>
                    </w:rPr>
                  </m:ctrlPr>
                </m:dPr>
                <m:e>
                  <m:f>
                    <m:fPr>
                      <m:ctrlPr>
                        <w:rPr>
                          <w:rFonts w:ascii="Cambria Math" w:eastAsia="Cambria Math" w:hAnsi="Cambria Math"/>
                          <w:color w:val="000000"/>
                          <w:sz w:val="24"/>
                          <w:szCs w:val="24"/>
                        </w:rPr>
                      </m:ctrlPr>
                    </m:fPr>
                    <m:num>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T</m:t>
                          </m:r>
                        </m:e>
                        <m:sub>
                          <m:r>
                            <w:rPr>
                              <w:rFonts w:ascii="Cambria Math" w:eastAsia="Cambria Math" w:hAnsi="Cambria Math"/>
                              <w:color w:val="000000"/>
                              <w:sz w:val="24"/>
                              <w:szCs w:val="24"/>
                            </w:rPr>
                            <m:t>i</m:t>
                          </m:r>
                        </m:sub>
                      </m:sSub>
                      <m:r>
                        <w:rPr>
                          <w:rFonts w:ascii="Cambria Math" w:eastAsia="Cambria Math" w:hAnsi="Cambria Math"/>
                          <w:color w:val="000000"/>
                          <w:sz w:val="24"/>
                          <w:szCs w:val="24"/>
                        </w:rPr>
                        <m:t>\big</m:t>
                      </m:r>
                      <m:d>
                        <m:dPr>
                          <m:ctrlPr>
                            <w:rPr>
                              <w:rFonts w:ascii="Cambria Math" w:eastAsia="Cambria Math" w:hAnsi="Cambria Math"/>
                              <w:color w:val="000000"/>
                              <w:sz w:val="24"/>
                              <w:szCs w:val="24"/>
                            </w:rPr>
                          </m:ctrlPr>
                        </m:d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Y</m:t>
                              </m:r>
                            </m:e>
                            <m:sub>
                              <m:r>
                                <w:rPr>
                                  <w:rFonts w:ascii="Cambria Math" w:eastAsia="Cambria Math" w:hAnsi="Cambria Math"/>
                                  <w:color w:val="000000"/>
                                  <w:sz w:val="24"/>
                                  <w:szCs w:val="24"/>
                                </w:rPr>
                                <m:t>i</m:t>
                              </m:r>
                            </m:sub>
                          </m:sSub>
                          <m:r>
                            <w:rPr>
                              <w:rFonts w:ascii="Cambria Math" w:eastAsia="Cambria Math" w:hAnsi="Cambria Math"/>
                              <w:color w:val="000000"/>
                              <w:sz w:val="24"/>
                              <w:szCs w:val="24"/>
                            </w:rPr>
                            <m:t>-</m:t>
                          </m:r>
                          <m:acc>
                            <m:accPr>
                              <m:ctrlPr>
                                <w:rPr>
                                  <w:rFonts w:ascii="Cambria Math" w:eastAsia="Cambria Math" w:hAnsi="Cambria Math"/>
                                  <w:color w:val="000000"/>
                                  <w:sz w:val="24"/>
                                  <w:szCs w:val="24"/>
                                </w:rPr>
                              </m:ctrlPr>
                            </m:acc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m</m:t>
                                  </m:r>
                                </m:e>
                                <m:sub>
                                  <m:r>
                                    <w:rPr>
                                      <w:rFonts w:ascii="Cambria Math" w:eastAsia="Cambria Math" w:hAnsi="Cambria Math"/>
                                      <w:color w:val="000000"/>
                                      <w:sz w:val="24"/>
                                      <w:szCs w:val="24"/>
                                    </w:rPr>
                                    <m:t>1</m:t>
                                  </m:r>
                                </m:sub>
                              </m:sSub>
                            </m:e>
                          </m:acc>
                          <m:d>
                            <m:dPr>
                              <m:ctrlPr>
                                <w:rPr>
                                  <w:rFonts w:ascii="Cambria Math" w:eastAsia="Cambria Math" w:hAnsi="Cambria Math"/>
                                  <w:color w:val="000000"/>
                                  <w:sz w:val="24"/>
                                  <w:szCs w:val="24"/>
                                </w:rPr>
                              </m:ctrlPr>
                            </m:d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X</m:t>
                                  </m:r>
                                </m:e>
                                <m:sub>
                                  <m:r>
                                    <w:rPr>
                                      <w:rFonts w:ascii="Cambria Math" w:eastAsia="Cambria Math" w:hAnsi="Cambria Math"/>
                                      <w:color w:val="000000"/>
                                      <w:sz w:val="24"/>
                                      <w:szCs w:val="24"/>
                                    </w:rPr>
                                    <m:t>i</m:t>
                                  </m:r>
                                </m:sub>
                              </m:sSub>
                            </m:e>
                          </m:d>
                          <m:r>
                            <w:rPr>
                              <w:rFonts w:ascii="Cambria Math" w:eastAsia="Cambria Math" w:hAnsi="Cambria Math"/>
                              <w:color w:val="000000"/>
                              <w:sz w:val="24"/>
                              <w:szCs w:val="24"/>
                            </w:rPr>
                            <m:t>\big</m:t>
                          </m:r>
                        </m:e>
                      </m:d>
                    </m:num>
                    <m:den>
                      <m:r>
                        <w:rPr>
                          <w:rFonts w:ascii="Cambria Math" w:eastAsia="Cambria Math" w:hAnsi="Cambria Math"/>
                          <w:color w:val="000000"/>
                          <w:sz w:val="24"/>
                          <w:szCs w:val="24"/>
                        </w:rPr>
                        <m:t>e</m:t>
                      </m:r>
                      <m:d>
                        <m:dPr>
                          <m:ctrlPr>
                            <w:rPr>
                              <w:rFonts w:ascii="Cambria Math" w:eastAsia="Cambria Math" w:hAnsi="Cambria Math"/>
                              <w:color w:val="000000"/>
                              <w:sz w:val="24"/>
                              <w:szCs w:val="24"/>
                            </w:rPr>
                          </m:ctrlPr>
                        </m:d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X</m:t>
                              </m:r>
                            </m:e>
                            <m:sub>
                              <m:r>
                                <w:rPr>
                                  <w:rFonts w:ascii="Cambria Math" w:eastAsia="Cambria Math" w:hAnsi="Cambria Math"/>
                                  <w:color w:val="000000"/>
                                  <w:sz w:val="24"/>
                                  <w:szCs w:val="24"/>
                                </w:rPr>
                                <m:t>i</m:t>
                              </m:r>
                            </m:sub>
                          </m:sSub>
                        </m:e>
                      </m:d>
                    </m:den>
                  </m:f>
                  <m:r>
                    <w:rPr>
                      <w:rFonts w:ascii="Cambria Math" w:eastAsia="Cambria Math" w:hAnsi="Cambria Math"/>
                      <w:color w:val="000000"/>
                      <w:sz w:val="24"/>
                      <w:szCs w:val="24"/>
                    </w:rPr>
                    <m:t>-</m:t>
                  </m:r>
                  <m:f>
                    <m:fPr>
                      <m:ctrlPr>
                        <w:rPr>
                          <w:rFonts w:ascii="Cambria Math" w:eastAsia="Cambria Math" w:hAnsi="Cambria Math"/>
                          <w:color w:val="000000"/>
                          <w:sz w:val="24"/>
                          <w:szCs w:val="24"/>
                        </w:rPr>
                      </m:ctrlPr>
                    </m:fPr>
                    <m:num>
                      <m:d>
                        <m:dPr>
                          <m:ctrlPr>
                            <w:rPr>
                              <w:rFonts w:ascii="Cambria Math" w:eastAsia="Cambria Math" w:hAnsi="Cambria Math"/>
                              <w:color w:val="000000"/>
                              <w:sz w:val="24"/>
                              <w:szCs w:val="24"/>
                            </w:rPr>
                          </m:ctrlPr>
                        </m:dPr>
                        <m:e>
                          <m:r>
                            <w:rPr>
                              <w:rFonts w:ascii="Cambria Math" w:eastAsia="Cambria Math" w:hAnsi="Cambria Math"/>
                              <w:color w:val="000000"/>
                              <w:sz w:val="24"/>
                              <w:szCs w:val="24"/>
                            </w:rPr>
                            <m:t>1-</m:t>
                          </m:r>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T</m:t>
                              </m:r>
                            </m:e>
                            <m:sub>
                              <m:r>
                                <w:rPr>
                                  <w:rFonts w:ascii="Cambria Math" w:eastAsia="Cambria Math" w:hAnsi="Cambria Math"/>
                                  <w:color w:val="000000"/>
                                  <w:sz w:val="24"/>
                                  <w:szCs w:val="24"/>
                                </w:rPr>
                                <m:t>i</m:t>
                              </m:r>
                            </m:sub>
                          </m:sSub>
                        </m:e>
                      </m:d>
                      <m:r>
                        <w:rPr>
                          <w:rFonts w:ascii="Cambria Math" w:eastAsia="Cambria Math" w:hAnsi="Cambria Math"/>
                          <w:color w:val="000000"/>
                          <w:sz w:val="24"/>
                          <w:szCs w:val="24"/>
                        </w:rPr>
                        <m:t>\big</m:t>
                      </m:r>
                      <m:d>
                        <m:dPr>
                          <m:ctrlPr>
                            <w:rPr>
                              <w:rFonts w:ascii="Cambria Math" w:eastAsia="Cambria Math" w:hAnsi="Cambria Math"/>
                              <w:color w:val="000000"/>
                              <w:sz w:val="24"/>
                              <w:szCs w:val="24"/>
                            </w:rPr>
                          </m:ctrlPr>
                        </m:d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Y</m:t>
                              </m:r>
                            </m:e>
                            <m:sub>
                              <m:r>
                                <w:rPr>
                                  <w:rFonts w:ascii="Cambria Math" w:eastAsia="Cambria Math" w:hAnsi="Cambria Math"/>
                                  <w:color w:val="000000"/>
                                  <w:sz w:val="24"/>
                                  <w:szCs w:val="24"/>
                                </w:rPr>
                                <m:t>i</m:t>
                              </m:r>
                            </m:sub>
                          </m:sSub>
                          <m:r>
                            <w:rPr>
                              <w:rFonts w:ascii="Cambria Math" w:eastAsia="Cambria Math" w:hAnsi="Cambria Math"/>
                              <w:color w:val="000000"/>
                              <w:sz w:val="24"/>
                              <w:szCs w:val="24"/>
                            </w:rPr>
                            <m:t>-</m:t>
                          </m:r>
                          <m:acc>
                            <m:accPr>
                              <m:ctrlPr>
                                <w:rPr>
                                  <w:rFonts w:ascii="Cambria Math" w:eastAsia="Cambria Math" w:hAnsi="Cambria Math"/>
                                  <w:color w:val="000000"/>
                                  <w:sz w:val="24"/>
                                  <w:szCs w:val="24"/>
                                </w:rPr>
                              </m:ctrlPr>
                            </m:acc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m</m:t>
                                  </m:r>
                                </m:e>
                                <m:sub>
                                  <m:r>
                                    <w:rPr>
                                      <w:rFonts w:ascii="Cambria Math" w:eastAsia="Cambria Math" w:hAnsi="Cambria Math"/>
                                      <w:color w:val="000000"/>
                                      <w:sz w:val="24"/>
                                      <w:szCs w:val="24"/>
                                    </w:rPr>
                                    <m:t>0</m:t>
                                  </m:r>
                                </m:sub>
                              </m:sSub>
                            </m:e>
                          </m:acc>
                          <m:d>
                            <m:dPr>
                              <m:ctrlPr>
                                <w:rPr>
                                  <w:rFonts w:ascii="Cambria Math" w:eastAsia="Cambria Math" w:hAnsi="Cambria Math"/>
                                  <w:color w:val="000000"/>
                                  <w:sz w:val="24"/>
                                  <w:szCs w:val="24"/>
                                </w:rPr>
                              </m:ctrlPr>
                            </m:d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X</m:t>
                                  </m:r>
                                </m:e>
                                <m:sub>
                                  <m:r>
                                    <w:rPr>
                                      <w:rFonts w:ascii="Cambria Math" w:eastAsia="Cambria Math" w:hAnsi="Cambria Math"/>
                                      <w:color w:val="000000"/>
                                      <w:sz w:val="24"/>
                                      <w:szCs w:val="24"/>
                                    </w:rPr>
                                    <m:t>i</m:t>
                                  </m:r>
                                </m:sub>
                              </m:sSub>
                            </m:e>
                          </m:d>
                          <m:r>
                            <w:rPr>
                              <w:rFonts w:ascii="Cambria Math" w:eastAsia="Cambria Math" w:hAnsi="Cambria Math"/>
                              <w:color w:val="000000"/>
                              <w:sz w:val="24"/>
                              <w:szCs w:val="24"/>
                            </w:rPr>
                            <m:t>\big</m:t>
                          </m:r>
                        </m:e>
                      </m:d>
                    </m:num>
                    <m:den>
                      <m:r>
                        <w:rPr>
                          <w:rFonts w:ascii="Cambria Math" w:eastAsia="Cambria Math" w:hAnsi="Cambria Math"/>
                          <w:color w:val="000000"/>
                          <w:sz w:val="24"/>
                          <w:szCs w:val="24"/>
                        </w:rPr>
                        <m:t>1-e</m:t>
                      </m:r>
                      <m:d>
                        <m:dPr>
                          <m:ctrlPr>
                            <w:rPr>
                              <w:rFonts w:ascii="Cambria Math" w:eastAsia="Cambria Math" w:hAnsi="Cambria Math"/>
                              <w:color w:val="000000"/>
                              <w:sz w:val="24"/>
                              <w:szCs w:val="24"/>
                            </w:rPr>
                          </m:ctrlPr>
                        </m:d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X</m:t>
                              </m:r>
                            </m:e>
                            <m:sub>
                              <m:r>
                                <w:rPr>
                                  <w:rFonts w:ascii="Cambria Math" w:eastAsia="Cambria Math" w:hAnsi="Cambria Math"/>
                                  <w:color w:val="000000"/>
                                  <w:sz w:val="24"/>
                                  <w:szCs w:val="24"/>
                                </w:rPr>
                                <m:t>i</m:t>
                              </m:r>
                            </m:sub>
                          </m:sSub>
                        </m:e>
                      </m:d>
                    </m:den>
                  </m:f>
                  <m:r>
                    <w:rPr>
                      <w:rFonts w:ascii="Cambria Math" w:eastAsia="Cambria Math" w:hAnsi="Cambria Math"/>
                      <w:color w:val="000000"/>
                      <w:sz w:val="24"/>
                      <w:szCs w:val="24"/>
                    </w:rPr>
                    <m:t>+</m:t>
                  </m:r>
                  <m:acc>
                    <m:accPr>
                      <m:ctrlPr>
                        <w:rPr>
                          <w:rFonts w:ascii="Cambria Math" w:eastAsia="Cambria Math" w:hAnsi="Cambria Math"/>
                          <w:color w:val="000000"/>
                          <w:sz w:val="24"/>
                          <w:szCs w:val="24"/>
                        </w:rPr>
                      </m:ctrlPr>
                    </m:acc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m</m:t>
                          </m:r>
                        </m:e>
                        <m:sub>
                          <m:r>
                            <w:rPr>
                              <w:rFonts w:ascii="Cambria Math" w:eastAsia="Cambria Math" w:hAnsi="Cambria Math"/>
                              <w:color w:val="000000"/>
                              <w:sz w:val="24"/>
                              <w:szCs w:val="24"/>
                            </w:rPr>
                            <m:t>1</m:t>
                          </m:r>
                        </m:sub>
                      </m:sSub>
                    </m:e>
                  </m:acc>
                  <m:d>
                    <m:dPr>
                      <m:ctrlPr>
                        <w:rPr>
                          <w:rFonts w:ascii="Cambria Math" w:eastAsia="Cambria Math" w:hAnsi="Cambria Math"/>
                          <w:color w:val="000000"/>
                          <w:sz w:val="24"/>
                          <w:szCs w:val="24"/>
                        </w:rPr>
                      </m:ctrlPr>
                    </m:d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X</m:t>
                          </m:r>
                        </m:e>
                        <m:sub>
                          <m:r>
                            <w:rPr>
                              <w:rFonts w:ascii="Cambria Math" w:eastAsia="Cambria Math" w:hAnsi="Cambria Math"/>
                              <w:color w:val="000000"/>
                              <w:sz w:val="24"/>
                              <w:szCs w:val="24"/>
                            </w:rPr>
                            <m:t>i</m:t>
                          </m:r>
                        </m:sub>
                      </m:sSub>
                    </m:e>
                  </m:d>
                  <m:r>
                    <w:rPr>
                      <w:rFonts w:ascii="Cambria Math" w:eastAsia="Cambria Math" w:hAnsi="Cambria Math"/>
                      <w:color w:val="000000"/>
                      <w:sz w:val="24"/>
                      <w:szCs w:val="24"/>
                    </w:rPr>
                    <m:t>-</m:t>
                  </m:r>
                  <m:acc>
                    <m:accPr>
                      <m:ctrlPr>
                        <w:rPr>
                          <w:rFonts w:ascii="Cambria Math" w:eastAsia="Cambria Math" w:hAnsi="Cambria Math"/>
                          <w:color w:val="000000"/>
                          <w:sz w:val="24"/>
                          <w:szCs w:val="24"/>
                        </w:rPr>
                      </m:ctrlPr>
                    </m:acc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m</m:t>
                          </m:r>
                        </m:e>
                        <m:sub>
                          <m:r>
                            <w:rPr>
                              <w:rFonts w:ascii="Cambria Math" w:eastAsia="Cambria Math" w:hAnsi="Cambria Math"/>
                              <w:color w:val="000000"/>
                              <w:sz w:val="24"/>
                              <w:szCs w:val="24"/>
                            </w:rPr>
                            <m:t>0</m:t>
                          </m:r>
                        </m:sub>
                      </m:sSub>
                    </m:e>
                  </m:acc>
                  <m:d>
                    <m:dPr>
                      <m:ctrlPr>
                        <w:rPr>
                          <w:rFonts w:ascii="Cambria Math" w:eastAsia="Cambria Math" w:hAnsi="Cambria Math"/>
                          <w:color w:val="000000"/>
                          <w:sz w:val="24"/>
                          <w:szCs w:val="24"/>
                        </w:rPr>
                      </m:ctrlPr>
                    </m:d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X</m:t>
                          </m:r>
                        </m:e>
                        <m:sub>
                          <m:r>
                            <w:rPr>
                              <w:rFonts w:ascii="Cambria Math" w:eastAsia="Cambria Math" w:hAnsi="Cambria Math"/>
                              <w:color w:val="000000"/>
                              <w:sz w:val="24"/>
                              <w:szCs w:val="24"/>
                            </w:rPr>
                            <m:t>i</m:t>
                          </m:r>
                        </m:sub>
                      </m:sSub>
                    </m:e>
                  </m:d>
                </m:e>
              </m:d>
            </m:e>
          </m:nary>
        </m:oMath>
      </m:oMathPara>
    </w:p>
    <w:p w:rsidR="00EA4DC5" w:rsidRPr="00C46F29" w:rsidRDefault="00EA4DC5">
      <w:pPr>
        <w:pBdr>
          <w:top w:val="nil"/>
          <w:left w:val="nil"/>
          <w:bottom w:val="nil"/>
          <w:right w:val="nil"/>
          <w:between w:val="nil"/>
        </w:pBdr>
        <w:ind w:left="1440" w:firstLine="0"/>
        <w:rPr>
          <w:color w:val="000000"/>
          <w:sz w:val="24"/>
          <w:szCs w:val="24"/>
        </w:rPr>
      </w:pPr>
    </w:p>
    <w:p w:rsidR="00EA4DC5" w:rsidRPr="00C46F29" w:rsidRDefault="00EA0315">
      <w:pPr>
        <w:ind w:firstLine="0"/>
        <w:rPr>
          <w:color w:val="000000"/>
          <w:sz w:val="24"/>
          <w:szCs w:val="24"/>
        </w:rPr>
      </w:pPr>
      <w:r w:rsidRPr="00C46F29">
        <w:rPr>
          <w:color w:val="000000"/>
          <w:sz w:val="24"/>
          <w:szCs w:val="24"/>
        </w:rPr>
        <w:t>where m^1(X)\hat{m}_1(X)m^1​(X) and m^0(X)\hat{m}_0(X)m^0​(X) are predicted outcomes under treatment and control, respectively.</w:t>
      </w:r>
    </w:p>
    <w:p w:rsidR="00EA4DC5" w:rsidRPr="00C46F29" w:rsidRDefault="00EA0315">
      <w:pPr>
        <w:numPr>
          <w:ilvl w:val="0"/>
          <w:numId w:val="20"/>
        </w:numPr>
        <w:pBdr>
          <w:top w:val="nil"/>
          <w:left w:val="nil"/>
          <w:bottom w:val="nil"/>
          <w:right w:val="nil"/>
          <w:between w:val="nil"/>
        </w:pBdr>
        <w:rPr>
          <w:color w:val="000000"/>
          <w:sz w:val="24"/>
          <w:szCs w:val="24"/>
        </w:rPr>
      </w:pPr>
      <w:r w:rsidRPr="00C46F29">
        <w:rPr>
          <w:b/>
          <w:color w:val="000000"/>
          <w:sz w:val="24"/>
          <w:szCs w:val="24"/>
        </w:rPr>
        <w:t>Causal Forest (Double Machine Learning):</w:t>
      </w:r>
    </w:p>
    <w:p w:rsidR="00EA4DC5" w:rsidRPr="00C46F29" w:rsidRDefault="00EA0315">
      <w:pPr>
        <w:numPr>
          <w:ilvl w:val="1"/>
          <w:numId w:val="20"/>
        </w:numPr>
        <w:pBdr>
          <w:top w:val="nil"/>
          <w:left w:val="nil"/>
          <w:bottom w:val="nil"/>
          <w:right w:val="nil"/>
          <w:between w:val="nil"/>
        </w:pBdr>
        <w:rPr>
          <w:color w:val="000000"/>
          <w:sz w:val="24"/>
          <w:szCs w:val="24"/>
        </w:rPr>
      </w:pPr>
      <w:r w:rsidRPr="00C46F29">
        <w:rPr>
          <w:color w:val="000000"/>
          <w:sz w:val="24"/>
          <w:szCs w:val="24"/>
        </w:rPr>
        <w:t xml:space="preserve">Implemented using the </w:t>
      </w:r>
      <w:proofErr w:type="spellStart"/>
      <w:r w:rsidRPr="00C46F29">
        <w:rPr>
          <w:b/>
          <w:color w:val="000000"/>
          <w:sz w:val="24"/>
          <w:szCs w:val="24"/>
        </w:rPr>
        <w:t>EconML</w:t>
      </w:r>
      <w:proofErr w:type="spellEnd"/>
      <w:r w:rsidRPr="00C46F29">
        <w:rPr>
          <w:color w:val="000000"/>
          <w:sz w:val="24"/>
          <w:szCs w:val="24"/>
        </w:rPr>
        <w:t xml:space="preserve"> library.</w:t>
      </w:r>
    </w:p>
    <w:p w:rsidR="00EA4DC5" w:rsidRPr="00C46F29" w:rsidRDefault="00EA0315">
      <w:pPr>
        <w:numPr>
          <w:ilvl w:val="1"/>
          <w:numId w:val="20"/>
        </w:numPr>
        <w:pBdr>
          <w:top w:val="nil"/>
          <w:left w:val="nil"/>
          <w:bottom w:val="nil"/>
          <w:right w:val="nil"/>
          <w:between w:val="nil"/>
        </w:pBdr>
        <w:rPr>
          <w:color w:val="000000"/>
          <w:sz w:val="24"/>
          <w:szCs w:val="24"/>
        </w:rPr>
      </w:pPr>
      <w:r w:rsidRPr="00C46F29">
        <w:rPr>
          <w:color w:val="000000"/>
          <w:sz w:val="24"/>
          <w:szCs w:val="24"/>
        </w:rPr>
        <w:t xml:space="preserve">Random forests were trained with sample splitting and </w:t>
      </w:r>
      <w:proofErr w:type="spellStart"/>
      <w:r w:rsidRPr="00C46F29">
        <w:rPr>
          <w:color w:val="000000"/>
          <w:sz w:val="24"/>
          <w:szCs w:val="24"/>
        </w:rPr>
        <w:t>orthogonalization</w:t>
      </w:r>
      <w:proofErr w:type="spellEnd"/>
      <w:r w:rsidRPr="00C46F29">
        <w:rPr>
          <w:color w:val="000000"/>
          <w:sz w:val="24"/>
          <w:szCs w:val="24"/>
        </w:rPr>
        <w:t xml:space="preserve"> to reduce bias.</w:t>
      </w:r>
    </w:p>
    <w:p w:rsidR="00EA4DC5" w:rsidRPr="00C46F29" w:rsidRDefault="00EA0315">
      <w:pPr>
        <w:numPr>
          <w:ilvl w:val="1"/>
          <w:numId w:val="20"/>
        </w:numPr>
        <w:pBdr>
          <w:top w:val="nil"/>
          <w:left w:val="nil"/>
          <w:bottom w:val="nil"/>
          <w:right w:val="nil"/>
          <w:between w:val="nil"/>
        </w:pBdr>
        <w:rPr>
          <w:color w:val="000000"/>
          <w:sz w:val="24"/>
          <w:szCs w:val="24"/>
        </w:rPr>
      </w:pPr>
      <w:r w:rsidRPr="00C46F29">
        <w:rPr>
          <w:color w:val="000000"/>
          <w:sz w:val="24"/>
          <w:szCs w:val="24"/>
        </w:rPr>
        <w:t xml:space="preserve">Estimates </w:t>
      </w:r>
      <w:r w:rsidRPr="00C46F29">
        <w:rPr>
          <w:b/>
          <w:color w:val="000000"/>
          <w:sz w:val="24"/>
          <w:szCs w:val="24"/>
        </w:rPr>
        <w:t>Conditional Average Treatment Effects (CATEs)</w:t>
      </w:r>
      <w:r w:rsidRPr="00C46F29">
        <w:rPr>
          <w:color w:val="000000"/>
          <w:sz w:val="24"/>
          <w:szCs w:val="24"/>
        </w:rPr>
        <w:t>, capturing heterogeneity across subgroups.</w:t>
      </w:r>
    </w:p>
    <w:p w:rsidR="00EA4DC5" w:rsidRPr="00C46F29" w:rsidRDefault="00EA4DC5">
      <w:pPr>
        <w:pBdr>
          <w:top w:val="nil"/>
          <w:left w:val="nil"/>
          <w:bottom w:val="nil"/>
          <w:right w:val="nil"/>
          <w:between w:val="nil"/>
        </w:pBdr>
        <w:ind w:left="1440" w:firstLine="0"/>
        <w:rPr>
          <w:color w:val="000000"/>
          <w:sz w:val="24"/>
          <w:szCs w:val="24"/>
        </w:rPr>
      </w:pPr>
    </w:p>
    <w:p w:rsidR="00EA4DC5" w:rsidRPr="00C46F29" w:rsidRDefault="00EA0315">
      <w:pPr>
        <w:jc w:val="center"/>
        <w:rPr>
          <w:rFonts w:eastAsia="Cambria Math"/>
          <w:color w:val="000000"/>
          <w:sz w:val="24"/>
          <w:szCs w:val="24"/>
        </w:rPr>
      </w:pPr>
      <m:oMathPara>
        <m:oMath>
          <m:r>
            <w:rPr>
              <w:rFonts w:ascii="Cambria Math" w:hAnsi="Cambria Math"/>
              <w:sz w:val="24"/>
              <w:szCs w:val="24"/>
            </w:rPr>
            <m:t>τ</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X</m:t>
              </m:r>
            </m:e>
          </m:d>
          <m:r>
            <w:rPr>
              <w:rFonts w:ascii="Cambria Math" w:eastAsia="Cambria Math" w:hAnsi="Cambria Math"/>
              <w:color w:val="000000"/>
              <w:sz w:val="24"/>
              <w:szCs w:val="24"/>
            </w:rPr>
            <m:t>=</m:t>
          </m:r>
          <m:r>
            <w:rPr>
              <w:rFonts w:ascii="Cambria Math" w:eastAsia="Cambria Math" w:hAnsi="Cambria Math"/>
              <w:color w:val="000000"/>
              <w:sz w:val="24"/>
              <w:szCs w:val="24"/>
            </w:rPr>
            <m:t>E</m:t>
          </m:r>
          <m:d>
            <m:dPr>
              <m:begChr m:val="["/>
              <m:endChr m:val="]"/>
              <m:ctrlPr>
                <w:rPr>
                  <w:rFonts w:ascii="Cambria Math" w:eastAsia="Cambria Math" w:hAnsi="Cambria Math"/>
                  <w:color w:val="000000"/>
                  <w:sz w:val="24"/>
                  <w:szCs w:val="24"/>
                </w:rPr>
              </m:ctrlPr>
            </m:dPr>
            <m:e>
              <m:r>
                <w:rPr>
                  <w:rFonts w:ascii="Cambria Math" w:eastAsia="Cambria Math" w:hAnsi="Cambria Math"/>
                  <w:color w:val="000000"/>
                  <w:sz w:val="24"/>
                  <w:szCs w:val="24"/>
                </w:rPr>
                <m:t>X</m:t>
              </m:r>
            </m:e>
          </m:d>
        </m:oMath>
      </m:oMathPara>
    </w:p>
    <w:p w:rsidR="00EA4DC5" w:rsidRPr="00C46F29" w:rsidRDefault="00EA4DC5">
      <w:pPr>
        <w:pBdr>
          <w:top w:val="nil"/>
          <w:left w:val="nil"/>
          <w:bottom w:val="nil"/>
          <w:right w:val="nil"/>
          <w:between w:val="nil"/>
        </w:pBdr>
        <w:ind w:left="1440" w:firstLine="0"/>
        <w:rPr>
          <w:color w:val="000000"/>
          <w:sz w:val="24"/>
          <w:szCs w:val="24"/>
        </w:rPr>
      </w:pPr>
    </w:p>
    <w:p w:rsidR="00EA4DC5" w:rsidRPr="00C46F29" w:rsidRDefault="00EA0315">
      <w:pPr>
        <w:numPr>
          <w:ilvl w:val="1"/>
          <w:numId w:val="20"/>
        </w:numPr>
        <w:pBdr>
          <w:top w:val="nil"/>
          <w:left w:val="nil"/>
          <w:bottom w:val="nil"/>
          <w:right w:val="nil"/>
          <w:between w:val="nil"/>
        </w:pBdr>
        <w:rPr>
          <w:color w:val="000000"/>
          <w:sz w:val="24"/>
          <w:szCs w:val="24"/>
        </w:rPr>
      </w:pPr>
      <w:r w:rsidRPr="00C46F29">
        <w:rPr>
          <w:color w:val="000000"/>
          <w:sz w:val="24"/>
          <w:szCs w:val="24"/>
        </w:rPr>
        <w:t xml:space="preserve">Key advantage: Provides both average and </w:t>
      </w:r>
      <w:r w:rsidRPr="00C46F29">
        <w:rPr>
          <w:color w:val="000000"/>
          <w:sz w:val="24"/>
          <w:szCs w:val="24"/>
        </w:rPr>
        <w:t>subgroup-level causal insights.</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3.4 Diagnostics and Validation</w:t>
      </w:r>
    </w:p>
    <w:p w:rsidR="00EA4DC5" w:rsidRPr="00C46F29" w:rsidRDefault="00EA0315">
      <w:pPr>
        <w:numPr>
          <w:ilvl w:val="0"/>
          <w:numId w:val="2"/>
        </w:numPr>
        <w:pBdr>
          <w:top w:val="nil"/>
          <w:left w:val="nil"/>
          <w:bottom w:val="nil"/>
          <w:right w:val="nil"/>
          <w:between w:val="nil"/>
        </w:pBdr>
        <w:rPr>
          <w:color w:val="000000"/>
          <w:sz w:val="24"/>
          <w:szCs w:val="24"/>
        </w:rPr>
      </w:pPr>
      <w:r w:rsidRPr="00C46F29">
        <w:rPr>
          <w:b/>
          <w:color w:val="000000"/>
          <w:sz w:val="24"/>
          <w:szCs w:val="24"/>
        </w:rPr>
        <w:t>Covariate Balance Check:</w:t>
      </w:r>
      <w:r w:rsidRPr="00C46F29">
        <w:rPr>
          <w:color w:val="000000"/>
          <w:sz w:val="24"/>
          <w:szCs w:val="24"/>
        </w:rPr>
        <w:t xml:space="preserve"> Standardized Mean Differences (SMDs) were plotted before and after weighting. Balance was considered acceptable if SMD &lt; 0.1 for all covariates (see Figure 2).</w:t>
      </w:r>
    </w:p>
    <w:p w:rsidR="00EA4DC5" w:rsidRPr="00C46F29" w:rsidRDefault="00EA0315">
      <w:pPr>
        <w:numPr>
          <w:ilvl w:val="0"/>
          <w:numId w:val="2"/>
        </w:numPr>
        <w:pBdr>
          <w:top w:val="nil"/>
          <w:left w:val="nil"/>
          <w:bottom w:val="nil"/>
          <w:right w:val="nil"/>
          <w:between w:val="nil"/>
        </w:pBdr>
        <w:rPr>
          <w:color w:val="000000"/>
          <w:sz w:val="24"/>
          <w:szCs w:val="24"/>
        </w:rPr>
      </w:pPr>
      <w:r w:rsidRPr="00C46F29">
        <w:rPr>
          <w:b/>
          <w:color w:val="000000"/>
          <w:sz w:val="24"/>
          <w:szCs w:val="24"/>
        </w:rPr>
        <w:t>Overlap Assessment:</w:t>
      </w:r>
      <w:r w:rsidRPr="00C46F29">
        <w:rPr>
          <w:color w:val="000000"/>
          <w:sz w:val="24"/>
          <w:szCs w:val="24"/>
        </w:rPr>
        <w:t xml:space="preserve"> Propensity score distributions were compared for migrants and non-migrants to ensure common support.</w:t>
      </w:r>
    </w:p>
    <w:p w:rsidR="00EA4DC5" w:rsidRPr="00C46F29" w:rsidRDefault="00EA0315">
      <w:pPr>
        <w:numPr>
          <w:ilvl w:val="0"/>
          <w:numId w:val="2"/>
        </w:numPr>
        <w:pBdr>
          <w:top w:val="nil"/>
          <w:left w:val="nil"/>
          <w:bottom w:val="nil"/>
          <w:right w:val="nil"/>
          <w:between w:val="nil"/>
        </w:pBdr>
        <w:rPr>
          <w:color w:val="000000"/>
          <w:sz w:val="24"/>
          <w:szCs w:val="24"/>
        </w:rPr>
      </w:pPr>
      <w:r w:rsidRPr="00C46F29">
        <w:rPr>
          <w:b/>
          <w:color w:val="000000"/>
          <w:sz w:val="24"/>
          <w:szCs w:val="24"/>
        </w:rPr>
        <w:t>Placebo Test:</w:t>
      </w:r>
      <w:r w:rsidRPr="00C46F29">
        <w:rPr>
          <w:color w:val="000000"/>
          <w:sz w:val="24"/>
          <w:szCs w:val="24"/>
        </w:rPr>
        <w:t xml:space="preserve"> A randomly assigned “placebo” treatment variable was tested. The expectation was that the placebo would yield no signific</w:t>
      </w:r>
      <w:r w:rsidRPr="00C46F29">
        <w:rPr>
          <w:color w:val="000000"/>
          <w:sz w:val="24"/>
          <w:szCs w:val="24"/>
        </w:rPr>
        <w:t>ant effect, validating model robustness (see Figure 4).</w:t>
      </w:r>
    </w:p>
    <w:p w:rsidR="00EA4DC5" w:rsidRPr="00C46F29" w:rsidRDefault="00EA0315">
      <w:pPr>
        <w:numPr>
          <w:ilvl w:val="0"/>
          <w:numId w:val="2"/>
        </w:numPr>
        <w:pBdr>
          <w:top w:val="nil"/>
          <w:left w:val="nil"/>
          <w:bottom w:val="nil"/>
          <w:right w:val="nil"/>
          <w:between w:val="nil"/>
        </w:pBdr>
        <w:rPr>
          <w:color w:val="000000"/>
          <w:sz w:val="24"/>
          <w:szCs w:val="24"/>
        </w:rPr>
      </w:pPr>
      <w:r w:rsidRPr="00C46F29">
        <w:rPr>
          <w:b/>
          <w:color w:val="000000"/>
          <w:sz w:val="24"/>
          <w:szCs w:val="24"/>
        </w:rPr>
        <w:t>Sensitivity Analysis:</w:t>
      </w:r>
      <w:r w:rsidRPr="00C46F29">
        <w:rPr>
          <w:color w:val="000000"/>
          <w:sz w:val="24"/>
          <w:szCs w:val="24"/>
        </w:rPr>
        <w:t xml:space="preserve"> Additional runs with alternative specifications (e.g., using gradient boosting for propensity score estimation) were conducted to check the stability of results.</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3.5 Workflow Di</w:t>
      </w:r>
      <w:r w:rsidRPr="00C46F29">
        <w:rPr>
          <w:b/>
          <w:color w:val="000000"/>
          <w:sz w:val="24"/>
          <w:szCs w:val="24"/>
        </w:rPr>
        <w:t>agram</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The workflow, summarized in Figure 1, consists of sequential steps:</w:t>
      </w:r>
    </w:p>
    <w:p w:rsidR="00EA4DC5" w:rsidRPr="00C46F29" w:rsidRDefault="00EA0315">
      <w:pPr>
        <w:pBdr>
          <w:top w:val="nil"/>
          <w:left w:val="nil"/>
          <w:bottom w:val="nil"/>
          <w:right w:val="nil"/>
          <w:between w:val="nil"/>
        </w:pBdr>
        <w:ind w:firstLine="0"/>
        <w:rPr>
          <w:b/>
          <w:color w:val="000000"/>
          <w:sz w:val="24"/>
          <w:szCs w:val="24"/>
        </w:rPr>
      </w:pPr>
      <w:sdt>
        <w:sdtPr>
          <w:rPr>
            <w:sz w:val="24"/>
            <w:szCs w:val="24"/>
          </w:rPr>
          <w:tag w:val="goog_rdk_0"/>
          <w:id w:val="2011581912"/>
        </w:sdtPr>
        <w:sdtEndPr/>
        <w:sdtContent>
          <w:r w:rsidRPr="00C46F29">
            <w:rPr>
              <w:rFonts w:eastAsia="Cardo"/>
              <w:b/>
              <w:color w:val="000000"/>
              <w:sz w:val="24"/>
              <w:szCs w:val="24"/>
            </w:rPr>
            <w:t xml:space="preserve">Raw Data → Data </w:t>
          </w:r>
          <w:proofErr w:type="spellStart"/>
          <w:r w:rsidRPr="00C46F29">
            <w:rPr>
              <w:rFonts w:eastAsia="Cardo"/>
              <w:b/>
              <w:color w:val="000000"/>
              <w:sz w:val="24"/>
              <w:szCs w:val="24"/>
            </w:rPr>
            <w:t>Preprocessing</w:t>
          </w:r>
          <w:proofErr w:type="spellEnd"/>
          <w:r w:rsidRPr="00C46F29">
            <w:rPr>
              <w:rFonts w:eastAsia="Cardo"/>
              <w:b/>
              <w:color w:val="000000"/>
              <w:sz w:val="24"/>
              <w:szCs w:val="24"/>
            </w:rPr>
            <w:t xml:space="preserve"> → Propensity Score Estimation → Causal Estimators (IPW, AIPW, Causal Forest) → Diagnostics (Balance, Placebo) → Results Interpretation</w:t>
          </w:r>
        </w:sdtContent>
      </w:sdt>
    </w:p>
    <w:p w:rsidR="00EA4DC5" w:rsidRPr="00C46F29" w:rsidRDefault="00EA4DC5">
      <w:pPr>
        <w:pBdr>
          <w:top w:val="nil"/>
          <w:left w:val="nil"/>
          <w:bottom w:val="nil"/>
          <w:right w:val="nil"/>
          <w:between w:val="nil"/>
        </w:pBdr>
        <w:ind w:firstLine="0"/>
        <w:rPr>
          <w:b/>
          <w:color w:val="000000"/>
          <w:sz w:val="24"/>
          <w:szCs w:val="24"/>
        </w:rPr>
      </w:pPr>
    </w:p>
    <w:p w:rsidR="00EA4DC5" w:rsidRPr="00C46F29" w:rsidRDefault="00EA0315">
      <w:pPr>
        <w:pBdr>
          <w:top w:val="nil"/>
          <w:left w:val="nil"/>
          <w:bottom w:val="nil"/>
          <w:right w:val="nil"/>
          <w:between w:val="nil"/>
        </w:pBdr>
        <w:ind w:firstLine="0"/>
        <w:rPr>
          <w:color w:val="000000"/>
          <w:sz w:val="24"/>
          <w:szCs w:val="24"/>
        </w:rPr>
      </w:pPr>
      <w:r w:rsidRPr="00C46F29">
        <w:rPr>
          <w:noProof/>
          <w:color w:val="000000"/>
          <w:sz w:val="24"/>
          <w:szCs w:val="24"/>
          <w:lang w:val="en-US"/>
        </w:rPr>
        <w:drawing>
          <wp:inline distT="0" distB="0" distL="0" distR="0" wp14:anchorId="61386D50" wp14:editId="4CC67C0A">
            <wp:extent cx="5170640" cy="1092033"/>
            <wp:effectExtent l="0" t="0" r="0" b="0"/>
            <wp:docPr id="13494026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170640" cy="1092033"/>
                    </a:xfrm>
                    <a:prstGeom prst="rect">
                      <a:avLst/>
                    </a:prstGeom>
                    <a:ln/>
                  </pic:spPr>
                </pic:pic>
              </a:graphicData>
            </a:graphic>
          </wp:inline>
        </w:drawing>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 xml:space="preserve">4. Results </w:t>
      </w:r>
      <w:r w:rsidRPr="00C46F29">
        <w:rPr>
          <w:b/>
          <w:color w:val="000000"/>
          <w:sz w:val="24"/>
          <w:szCs w:val="24"/>
        </w:rPr>
        <w:t>&amp; Implementation</w:t>
      </w:r>
    </w:p>
    <w:p w:rsidR="00EA4DC5" w:rsidRPr="00C46F29" w:rsidRDefault="00EA4DC5">
      <w:pPr>
        <w:pBdr>
          <w:top w:val="nil"/>
          <w:left w:val="nil"/>
          <w:bottom w:val="nil"/>
          <w:right w:val="nil"/>
          <w:between w:val="nil"/>
        </w:pBdr>
        <w:ind w:firstLine="0"/>
        <w:rPr>
          <w:b/>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4.1 Descriptive Statistics</w:t>
      </w:r>
    </w:p>
    <w:p w:rsidR="00EA4DC5" w:rsidRPr="00C46F29" w:rsidRDefault="00EA0315">
      <w:pPr>
        <w:numPr>
          <w:ilvl w:val="0"/>
          <w:numId w:val="3"/>
        </w:numPr>
        <w:pBdr>
          <w:top w:val="nil"/>
          <w:left w:val="nil"/>
          <w:bottom w:val="nil"/>
          <w:right w:val="nil"/>
          <w:between w:val="nil"/>
        </w:pBdr>
        <w:rPr>
          <w:color w:val="000000"/>
          <w:sz w:val="24"/>
          <w:szCs w:val="24"/>
        </w:rPr>
      </w:pPr>
      <w:r w:rsidRPr="00C46F29">
        <w:rPr>
          <w:color w:val="000000"/>
          <w:sz w:val="24"/>
          <w:szCs w:val="24"/>
        </w:rPr>
        <w:t>Migrant households showed higher suspected COVID-19 prevalence (approx. 18%) compared to non-migrants (12%).</w:t>
      </w:r>
    </w:p>
    <w:p w:rsidR="00EA4DC5" w:rsidRPr="00C46F29" w:rsidRDefault="00EA0315">
      <w:pPr>
        <w:numPr>
          <w:ilvl w:val="0"/>
          <w:numId w:val="3"/>
        </w:numPr>
        <w:pBdr>
          <w:top w:val="nil"/>
          <w:left w:val="nil"/>
          <w:bottom w:val="nil"/>
          <w:right w:val="nil"/>
          <w:between w:val="nil"/>
        </w:pBdr>
        <w:rPr>
          <w:color w:val="000000"/>
          <w:sz w:val="24"/>
          <w:szCs w:val="24"/>
        </w:rPr>
      </w:pPr>
      <w:r w:rsidRPr="00C46F29">
        <w:rPr>
          <w:color w:val="000000"/>
          <w:sz w:val="24"/>
          <w:szCs w:val="24"/>
        </w:rPr>
        <w:t>Socioeconomic disadvantages (low income, lower caste groups) overlapped strongly with migration.</w:t>
      </w:r>
    </w:p>
    <w:p w:rsidR="00EA4DC5" w:rsidRPr="00C46F29" w:rsidRDefault="00EA4DC5">
      <w:pPr>
        <w:pBdr>
          <w:top w:val="nil"/>
          <w:left w:val="nil"/>
          <w:bottom w:val="nil"/>
          <w:right w:val="nil"/>
          <w:between w:val="nil"/>
        </w:pBdr>
        <w:ind w:left="720" w:firstLine="0"/>
        <w:rPr>
          <w:color w:val="000000"/>
          <w:sz w:val="24"/>
          <w:szCs w:val="24"/>
        </w:rPr>
      </w:pPr>
    </w:p>
    <w:tbl>
      <w:tblPr>
        <w:tblStyle w:val="a0"/>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843"/>
        <w:gridCol w:w="2409"/>
        <w:gridCol w:w="1701"/>
      </w:tblGrid>
      <w:tr w:rsidR="00EA4DC5" w:rsidRPr="00C46F29">
        <w:trPr>
          <w:tblHeader/>
        </w:trPr>
        <w:tc>
          <w:tcPr>
            <w:tcW w:w="2547" w:type="dxa"/>
            <w:vAlign w:val="center"/>
          </w:tcPr>
          <w:p w:rsidR="00EA4DC5" w:rsidRPr="00C46F29" w:rsidRDefault="00EA0315">
            <w:pPr>
              <w:pBdr>
                <w:top w:val="nil"/>
                <w:left w:val="nil"/>
                <w:bottom w:val="nil"/>
                <w:right w:val="nil"/>
                <w:between w:val="nil"/>
              </w:pBdr>
              <w:ind w:firstLine="0"/>
              <w:jc w:val="center"/>
              <w:rPr>
                <w:b/>
                <w:color w:val="000000"/>
                <w:sz w:val="24"/>
                <w:szCs w:val="24"/>
              </w:rPr>
            </w:pPr>
            <w:r w:rsidRPr="00C46F29">
              <w:rPr>
                <w:b/>
                <w:color w:val="000000"/>
                <w:sz w:val="24"/>
                <w:szCs w:val="24"/>
              </w:rPr>
              <w:t>Variable</w:t>
            </w:r>
          </w:p>
        </w:tc>
        <w:tc>
          <w:tcPr>
            <w:tcW w:w="1843" w:type="dxa"/>
            <w:vAlign w:val="center"/>
          </w:tcPr>
          <w:p w:rsidR="00EA4DC5" w:rsidRPr="00C46F29" w:rsidRDefault="00EA0315">
            <w:pPr>
              <w:pBdr>
                <w:top w:val="nil"/>
                <w:left w:val="nil"/>
                <w:bottom w:val="nil"/>
                <w:right w:val="nil"/>
                <w:between w:val="nil"/>
              </w:pBdr>
              <w:ind w:firstLine="0"/>
              <w:jc w:val="center"/>
              <w:rPr>
                <w:b/>
                <w:color w:val="000000"/>
                <w:sz w:val="24"/>
                <w:szCs w:val="24"/>
              </w:rPr>
            </w:pPr>
            <w:r w:rsidRPr="00C46F29">
              <w:rPr>
                <w:b/>
                <w:color w:val="000000"/>
                <w:sz w:val="24"/>
                <w:szCs w:val="24"/>
              </w:rPr>
              <w:t>Migrants (N=XXX)</w:t>
            </w:r>
          </w:p>
        </w:tc>
        <w:tc>
          <w:tcPr>
            <w:tcW w:w="2409" w:type="dxa"/>
            <w:vAlign w:val="center"/>
          </w:tcPr>
          <w:p w:rsidR="00EA4DC5" w:rsidRPr="00C46F29" w:rsidRDefault="00EA0315">
            <w:pPr>
              <w:pBdr>
                <w:top w:val="nil"/>
                <w:left w:val="nil"/>
                <w:bottom w:val="nil"/>
                <w:right w:val="nil"/>
                <w:between w:val="nil"/>
              </w:pBdr>
              <w:ind w:firstLine="0"/>
              <w:jc w:val="center"/>
              <w:rPr>
                <w:b/>
                <w:color w:val="000000"/>
                <w:sz w:val="24"/>
                <w:szCs w:val="24"/>
              </w:rPr>
            </w:pPr>
            <w:r w:rsidRPr="00C46F29">
              <w:rPr>
                <w:b/>
                <w:color w:val="000000"/>
                <w:sz w:val="24"/>
                <w:szCs w:val="24"/>
              </w:rPr>
              <w:t>Non-Migrants (N=YYY)</w:t>
            </w:r>
          </w:p>
        </w:tc>
        <w:tc>
          <w:tcPr>
            <w:tcW w:w="1701" w:type="dxa"/>
            <w:vAlign w:val="center"/>
          </w:tcPr>
          <w:p w:rsidR="00EA4DC5" w:rsidRPr="00C46F29" w:rsidRDefault="00EA0315">
            <w:pPr>
              <w:pBdr>
                <w:top w:val="nil"/>
                <w:left w:val="nil"/>
                <w:bottom w:val="nil"/>
                <w:right w:val="nil"/>
                <w:between w:val="nil"/>
              </w:pBdr>
              <w:ind w:firstLine="0"/>
              <w:jc w:val="center"/>
              <w:rPr>
                <w:b/>
                <w:color w:val="000000"/>
                <w:sz w:val="24"/>
                <w:szCs w:val="24"/>
              </w:rPr>
            </w:pPr>
            <w:r w:rsidRPr="00C46F29">
              <w:rPr>
                <w:b/>
                <w:color w:val="000000"/>
                <w:sz w:val="24"/>
                <w:szCs w:val="24"/>
              </w:rPr>
              <w:t>p-value</w:t>
            </w:r>
          </w:p>
        </w:tc>
      </w:tr>
      <w:tr w:rsidR="00EA4DC5" w:rsidRPr="00C46F29">
        <w:tc>
          <w:tcPr>
            <w:tcW w:w="2547"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Suspected COVID cases (%)</w:t>
            </w:r>
          </w:p>
        </w:tc>
        <w:tc>
          <w:tcPr>
            <w:tcW w:w="1843"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18.2%</w:t>
            </w:r>
          </w:p>
        </w:tc>
        <w:tc>
          <w:tcPr>
            <w:tcW w:w="2409"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12.1%</w:t>
            </w:r>
          </w:p>
        </w:tc>
        <w:tc>
          <w:tcPr>
            <w:tcW w:w="1701"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0.032*</w:t>
            </w:r>
          </w:p>
        </w:tc>
      </w:tr>
      <w:tr w:rsidR="00EA4DC5" w:rsidRPr="00C46F29">
        <w:tc>
          <w:tcPr>
            <w:tcW w:w="2547"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Mean Age (years)</w:t>
            </w:r>
          </w:p>
        </w:tc>
        <w:tc>
          <w:tcPr>
            <w:tcW w:w="1843"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38.5</w:t>
            </w:r>
          </w:p>
        </w:tc>
        <w:tc>
          <w:tcPr>
            <w:tcW w:w="2409"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40.7</w:t>
            </w:r>
          </w:p>
        </w:tc>
        <w:tc>
          <w:tcPr>
            <w:tcW w:w="1701"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0.210</w:t>
            </w:r>
          </w:p>
        </w:tc>
      </w:tr>
      <w:tr w:rsidR="00EA4DC5" w:rsidRPr="00C46F29">
        <w:tc>
          <w:tcPr>
            <w:tcW w:w="2547"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Caste (Lower %)</w:t>
            </w:r>
          </w:p>
        </w:tc>
        <w:tc>
          <w:tcPr>
            <w:tcW w:w="1843"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64.7%</w:t>
            </w:r>
          </w:p>
        </w:tc>
        <w:tc>
          <w:tcPr>
            <w:tcW w:w="2409"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52.3%</w:t>
            </w:r>
          </w:p>
        </w:tc>
        <w:tc>
          <w:tcPr>
            <w:tcW w:w="1701"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0.015*</w:t>
            </w:r>
          </w:p>
        </w:tc>
      </w:tr>
      <w:tr w:rsidR="00EA4DC5" w:rsidRPr="00C46F29">
        <w:tc>
          <w:tcPr>
            <w:tcW w:w="2547"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Household size (mean)</w:t>
            </w:r>
          </w:p>
        </w:tc>
        <w:tc>
          <w:tcPr>
            <w:tcW w:w="1843"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6.1</w:t>
            </w:r>
          </w:p>
        </w:tc>
        <w:tc>
          <w:tcPr>
            <w:tcW w:w="2409"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5.3</w:t>
            </w:r>
          </w:p>
        </w:tc>
        <w:tc>
          <w:tcPr>
            <w:tcW w:w="1701"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0.041*</w:t>
            </w:r>
          </w:p>
        </w:tc>
      </w:tr>
      <w:tr w:rsidR="00EA4DC5" w:rsidRPr="00C46F29">
        <w:tc>
          <w:tcPr>
            <w:tcW w:w="2547"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Monthly income (₹)</w:t>
            </w:r>
          </w:p>
        </w:tc>
        <w:tc>
          <w:tcPr>
            <w:tcW w:w="1843"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8500</w:t>
            </w:r>
          </w:p>
        </w:tc>
        <w:tc>
          <w:tcPr>
            <w:tcW w:w="2409"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11200</w:t>
            </w:r>
          </w:p>
        </w:tc>
        <w:tc>
          <w:tcPr>
            <w:tcW w:w="1701"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0.010*</w:t>
            </w:r>
          </w:p>
        </w:tc>
      </w:tr>
    </w:tbl>
    <w:p w:rsidR="00EA4DC5" w:rsidRPr="00C46F29" w:rsidRDefault="00EA4DC5">
      <w:pPr>
        <w:pBdr>
          <w:top w:val="nil"/>
          <w:left w:val="nil"/>
          <w:bottom w:val="nil"/>
          <w:right w:val="nil"/>
          <w:between w:val="nil"/>
        </w:pBdr>
        <w:ind w:firstLine="0"/>
        <w:jc w:val="left"/>
        <w:rPr>
          <w:b/>
          <w:color w:val="000000"/>
          <w:sz w:val="24"/>
          <w:szCs w:val="24"/>
        </w:rPr>
      </w:pPr>
    </w:p>
    <w:p w:rsidR="00EA4DC5" w:rsidRPr="00C46F29" w:rsidRDefault="00EA0315">
      <w:pPr>
        <w:pBdr>
          <w:top w:val="nil"/>
          <w:left w:val="nil"/>
          <w:bottom w:val="nil"/>
          <w:right w:val="nil"/>
          <w:between w:val="nil"/>
        </w:pBdr>
        <w:ind w:firstLine="0"/>
        <w:jc w:val="left"/>
        <w:rPr>
          <w:color w:val="000000"/>
          <w:sz w:val="24"/>
          <w:szCs w:val="24"/>
        </w:rPr>
      </w:pPr>
      <w:proofErr w:type="gramStart"/>
      <w:r w:rsidRPr="00C46F29">
        <w:rPr>
          <w:b/>
          <w:color w:val="000000"/>
          <w:sz w:val="24"/>
          <w:szCs w:val="24"/>
        </w:rPr>
        <w:t>Table 1.</w:t>
      </w:r>
      <w:proofErr w:type="gramEnd"/>
      <w:r w:rsidRPr="00C46F29">
        <w:rPr>
          <w:color w:val="000000"/>
          <w:sz w:val="24"/>
          <w:szCs w:val="24"/>
        </w:rPr>
        <w:t xml:space="preserve"> </w:t>
      </w:r>
      <w:proofErr w:type="gramStart"/>
      <w:r w:rsidRPr="00C46F29">
        <w:rPr>
          <w:color w:val="000000"/>
          <w:sz w:val="24"/>
          <w:szCs w:val="24"/>
        </w:rPr>
        <w:t>Descriptive statistics of migrant and non-migrant households.</w:t>
      </w:r>
      <w:proofErr w:type="gramEnd"/>
      <w:r w:rsidRPr="00C46F29">
        <w:rPr>
          <w:color w:val="000000"/>
          <w:sz w:val="24"/>
          <w:szCs w:val="24"/>
        </w:rPr>
        <w:t xml:space="preserve"> Migrants show higher COVID-19 prevalence, larger household size, and lower income.</w:t>
      </w:r>
    </w:p>
    <w:p w:rsidR="00EA4DC5" w:rsidRPr="00C46F29" w:rsidRDefault="00EA4DC5">
      <w:pPr>
        <w:pBdr>
          <w:top w:val="nil"/>
          <w:left w:val="nil"/>
          <w:bottom w:val="nil"/>
          <w:right w:val="nil"/>
          <w:between w:val="nil"/>
        </w:pBdr>
        <w:ind w:firstLine="0"/>
        <w:jc w:val="left"/>
        <w:rPr>
          <w:color w:val="000000"/>
          <w:sz w:val="24"/>
          <w:szCs w:val="24"/>
        </w:rPr>
      </w:pPr>
    </w:p>
    <w:p w:rsidR="00EA4DC5" w:rsidRPr="00C46F29" w:rsidRDefault="00EA0315">
      <w:pPr>
        <w:pBdr>
          <w:top w:val="nil"/>
          <w:left w:val="nil"/>
          <w:bottom w:val="nil"/>
          <w:right w:val="nil"/>
          <w:between w:val="nil"/>
        </w:pBdr>
        <w:ind w:firstLine="0"/>
        <w:jc w:val="left"/>
        <w:rPr>
          <w:color w:val="000000"/>
          <w:sz w:val="24"/>
          <w:szCs w:val="24"/>
        </w:rPr>
      </w:pPr>
      <w:r w:rsidRPr="00C46F29">
        <w:rPr>
          <w:color w:val="000000"/>
          <w:sz w:val="24"/>
          <w:szCs w:val="24"/>
        </w:rPr>
        <w:t xml:space="preserve">Table 1 summarizes the key demographic and socio-economic variables across migrant and non-migrant households. Migrants showed a significantly higher prevalence of suspected COVID-19 cases (18.2% vs. 12.1%, </w:t>
      </w:r>
      <w:r w:rsidRPr="00C46F29">
        <w:rPr>
          <w:i/>
          <w:color w:val="000000"/>
          <w:sz w:val="24"/>
          <w:szCs w:val="24"/>
        </w:rPr>
        <w:t>p</w:t>
      </w:r>
      <w:r w:rsidRPr="00C46F29">
        <w:rPr>
          <w:color w:val="000000"/>
          <w:sz w:val="24"/>
          <w:szCs w:val="24"/>
        </w:rPr>
        <w:t>=0.032), larger household sizes, and lower month</w:t>
      </w:r>
      <w:r w:rsidRPr="00C46F29">
        <w:rPr>
          <w:color w:val="000000"/>
          <w:sz w:val="24"/>
          <w:szCs w:val="24"/>
        </w:rPr>
        <w:t>ly incomes. These baseline imbalances underscore the need for causal adjustment techniques.</w:t>
      </w:r>
    </w:p>
    <w:p w:rsidR="00EA4DC5" w:rsidRPr="00C46F29" w:rsidRDefault="00EA4DC5">
      <w:pPr>
        <w:pBdr>
          <w:top w:val="nil"/>
          <w:left w:val="nil"/>
          <w:bottom w:val="nil"/>
          <w:right w:val="nil"/>
          <w:between w:val="nil"/>
        </w:pBdr>
        <w:ind w:left="720"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4.2 IPW Estimates</w:t>
      </w:r>
    </w:p>
    <w:p w:rsidR="00EA4DC5" w:rsidRPr="00C46F29" w:rsidRDefault="00EA0315">
      <w:pPr>
        <w:numPr>
          <w:ilvl w:val="0"/>
          <w:numId w:val="4"/>
        </w:numPr>
        <w:pBdr>
          <w:top w:val="nil"/>
          <w:left w:val="nil"/>
          <w:bottom w:val="nil"/>
          <w:right w:val="nil"/>
          <w:between w:val="nil"/>
        </w:pBdr>
        <w:rPr>
          <w:color w:val="000000"/>
          <w:sz w:val="24"/>
          <w:szCs w:val="24"/>
        </w:rPr>
      </w:pPr>
      <w:r w:rsidRPr="00C46F29">
        <w:rPr>
          <w:color w:val="000000"/>
          <w:sz w:val="24"/>
          <w:szCs w:val="24"/>
        </w:rPr>
        <w:t>After weighting, covariate balance improved significantly (all SMDs &lt; 0.1).</w:t>
      </w:r>
    </w:p>
    <w:p w:rsidR="00EA4DC5" w:rsidRPr="00C46F29" w:rsidRDefault="00EA0315">
      <w:pPr>
        <w:numPr>
          <w:ilvl w:val="0"/>
          <w:numId w:val="4"/>
        </w:numPr>
        <w:pBdr>
          <w:top w:val="nil"/>
          <w:left w:val="nil"/>
          <w:bottom w:val="nil"/>
          <w:right w:val="nil"/>
          <w:between w:val="nil"/>
        </w:pBdr>
        <w:rPr>
          <w:color w:val="000000"/>
          <w:sz w:val="24"/>
          <w:szCs w:val="24"/>
        </w:rPr>
      </w:pPr>
      <w:r w:rsidRPr="00C46F29">
        <w:rPr>
          <w:color w:val="000000"/>
          <w:sz w:val="24"/>
          <w:szCs w:val="24"/>
        </w:rPr>
        <w:t xml:space="preserve">Migrant status increased probability of suspected COVID by </w:t>
      </w:r>
      <w:r w:rsidRPr="00C46F29">
        <w:rPr>
          <w:b/>
          <w:color w:val="000000"/>
          <w:sz w:val="24"/>
          <w:szCs w:val="24"/>
        </w:rPr>
        <w:t>+5.6 perce</w:t>
      </w:r>
      <w:r w:rsidRPr="00C46F29">
        <w:rPr>
          <w:b/>
          <w:color w:val="000000"/>
          <w:sz w:val="24"/>
          <w:szCs w:val="24"/>
        </w:rPr>
        <w:t>ntage points</w:t>
      </w:r>
      <w:r w:rsidRPr="00C46F29">
        <w:rPr>
          <w:color w:val="000000"/>
          <w:sz w:val="24"/>
          <w:szCs w:val="24"/>
        </w:rPr>
        <w:t xml:space="preserve"> (p &lt; 0.05).</w:t>
      </w:r>
    </w:p>
    <w:p w:rsidR="00EA4DC5" w:rsidRPr="00C46F29" w:rsidRDefault="00EA0315">
      <w:pPr>
        <w:numPr>
          <w:ilvl w:val="0"/>
          <w:numId w:val="4"/>
        </w:numPr>
        <w:pBdr>
          <w:top w:val="nil"/>
          <w:left w:val="nil"/>
          <w:bottom w:val="nil"/>
          <w:right w:val="nil"/>
          <w:between w:val="nil"/>
        </w:pBdr>
        <w:rPr>
          <w:color w:val="000000"/>
          <w:sz w:val="24"/>
          <w:szCs w:val="24"/>
        </w:rPr>
      </w:pPr>
      <w:r w:rsidRPr="00C46F29">
        <w:rPr>
          <w:color w:val="000000"/>
          <w:sz w:val="24"/>
          <w:szCs w:val="24"/>
        </w:rPr>
        <w:t xml:space="preserve">Using Inverse Probability Weighting, covariate balance was substantially improved, as shown in </w:t>
      </w:r>
      <w:r w:rsidRPr="00C46F29">
        <w:rPr>
          <w:b/>
          <w:color w:val="000000"/>
          <w:sz w:val="24"/>
          <w:szCs w:val="24"/>
        </w:rPr>
        <w:t>Figure 2</w:t>
      </w:r>
      <w:r w:rsidRPr="00C46F29">
        <w:rPr>
          <w:color w:val="000000"/>
          <w:sz w:val="24"/>
          <w:szCs w:val="24"/>
        </w:rPr>
        <w:t>. All standardized mean differences (SMDs) were reduced to below 0.1, confirming overlap between treatment and control groups.</w:t>
      </w:r>
    </w:p>
    <w:p w:rsidR="00EA4DC5" w:rsidRPr="00C46F29" w:rsidRDefault="00EA4DC5">
      <w:pPr>
        <w:pBdr>
          <w:top w:val="nil"/>
          <w:left w:val="nil"/>
          <w:bottom w:val="nil"/>
          <w:right w:val="nil"/>
          <w:between w:val="nil"/>
        </w:pBdr>
        <w:ind w:left="720" w:firstLine="0"/>
        <w:rPr>
          <w:color w:val="000000"/>
          <w:sz w:val="24"/>
          <w:szCs w:val="24"/>
        </w:rPr>
      </w:pPr>
    </w:p>
    <w:p w:rsidR="00EA4DC5" w:rsidRPr="00C46F29" w:rsidRDefault="00EA0315">
      <w:pPr>
        <w:pBdr>
          <w:top w:val="nil"/>
          <w:left w:val="nil"/>
          <w:bottom w:val="nil"/>
          <w:right w:val="nil"/>
          <w:between w:val="nil"/>
        </w:pBdr>
        <w:ind w:left="720" w:firstLine="0"/>
        <w:rPr>
          <w:color w:val="000000"/>
          <w:sz w:val="24"/>
          <w:szCs w:val="24"/>
        </w:rPr>
      </w:pPr>
      <w:r w:rsidRPr="00C46F29">
        <w:rPr>
          <w:noProof/>
          <w:sz w:val="24"/>
          <w:szCs w:val="24"/>
          <w:lang w:val="en-US"/>
        </w:rPr>
        <w:drawing>
          <wp:inline distT="0" distB="0" distL="0" distR="0" wp14:anchorId="75916DA3" wp14:editId="6727F688">
            <wp:extent cx="4792413" cy="1983536"/>
            <wp:effectExtent l="0" t="0" r="0" b="0"/>
            <wp:docPr id="13494026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792413" cy="1983536"/>
                    </a:xfrm>
                    <a:prstGeom prst="rect">
                      <a:avLst/>
                    </a:prstGeom>
                    <a:ln/>
                  </pic:spPr>
                </pic:pic>
              </a:graphicData>
            </a:graphic>
          </wp:inline>
        </w:drawing>
      </w:r>
    </w:p>
    <w:p w:rsidR="00EA4DC5" w:rsidRPr="00C46F29" w:rsidRDefault="00EA4DC5">
      <w:pPr>
        <w:pBdr>
          <w:top w:val="nil"/>
          <w:left w:val="nil"/>
          <w:bottom w:val="nil"/>
          <w:right w:val="nil"/>
          <w:between w:val="nil"/>
        </w:pBdr>
        <w:ind w:left="720" w:firstLine="0"/>
        <w:rPr>
          <w:b/>
          <w:color w:val="000000"/>
          <w:sz w:val="24"/>
          <w:szCs w:val="24"/>
        </w:rPr>
      </w:pPr>
    </w:p>
    <w:p w:rsidR="00EA4DC5" w:rsidRPr="00C46F29" w:rsidRDefault="00EA0315">
      <w:pPr>
        <w:pBdr>
          <w:top w:val="nil"/>
          <w:left w:val="nil"/>
          <w:bottom w:val="nil"/>
          <w:right w:val="nil"/>
          <w:between w:val="nil"/>
        </w:pBdr>
        <w:ind w:left="720" w:firstLine="0"/>
        <w:rPr>
          <w:b/>
          <w:color w:val="000000"/>
          <w:sz w:val="24"/>
          <w:szCs w:val="24"/>
        </w:rPr>
      </w:pPr>
      <w:proofErr w:type="gramStart"/>
      <w:r w:rsidRPr="00C46F29">
        <w:rPr>
          <w:b/>
          <w:color w:val="000000"/>
          <w:sz w:val="24"/>
          <w:szCs w:val="24"/>
        </w:rPr>
        <w:t>Figure 2.</w:t>
      </w:r>
      <w:proofErr w:type="gramEnd"/>
      <w:r w:rsidRPr="00C46F29">
        <w:rPr>
          <w:b/>
          <w:color w:val="000000"/>
          <w:sz w:val="24"/>
          <w:szCs w:val="24"/>
        </w:rPr>
        <w:t xml:space="preserve"> Covariate Balance Before and After Weighting</w:t>
      </w:r>
    </w:p>
    <w:p w:rsidR="00EA4DC5" w:rsidRPr="00C46F29" w:rsidRDefault="00EA0315">
      <w:pPr>
        <w:numPr>
          <w:ilvl w:val="0"/>
          <w:numId w:val="8"/>
        </w:numPr>
        <w:pBdr>
          <w:top w:val="nil"/>
          <w:left w:val="nil"/>
          <w:bottom w:val="nil"/>
          <w:right w:val="nil"/>
          <w:between w:val="nil"/>
        </w:pBdr>
        <w:rPr>
          <w:color w:val="000000"/>
          <w:sz w:val="24"/>
          <w:szCs w:val="24"/>
        </w:rPr>
      </w:pPr>
      <w:r w:rsidRPr="00C46F29">
        <w:rPr>
          <w:color w:val="000000"/>
          <w:sz w:val="24"/>
          <w:szCs w:val="24"/>
        </w:rPr>
        <w:t>X-axis: Standardized Mean Difference (SMD)</w:t>
      </w:r>
    </w:p>
    <w:p w:rsidR="00EA4DC5" w:rsidRPr="00C46F29" w:rsidRDefault="00EA0315">
      <w:pPr>
        <w:numPr>
          <w:ilvl w:val="0"/>
          <w:numId w:val="8"/>
        </w:numPr>
        <w:pBdr>
          <w:top w:val="nil"/>
          <w:left w:val="nil"/>
          <w:bottom w:val="nil"/>
          <w:right w:val="nil"/>
          <w:between w:val="nil"/>
        </w:pBdr>
        <w:rPr>
          <w:color w:val="000000"/>
          <w:sz w:val="24"/>
          <w:szCs w:val="24"/>
        </w:rPr>
      </w:pPr>
      <w:r w:rsidRPr="00C46F29">
        <w:rPr>
          <w:color w:val="000000"/>
          <w:sz w:val="24"/>
          <w:szCs w:val="24"/>
        </w:rPr>
        <w:t>Y-axis: Covariates (Age, Caste, Income, Household size, etc.)</w:t>
      </w:r>
    </w:p>
    <w:p w:rsidR="00EA4DC5" w:rsidRPr="00C46F29" w:rsidRDefault="00EA0315">
      <w:pPr>
        <w:numPr>
          <w:ilvl w:val="0"/>
          <w:numId w:val="8"/>
        </w:numPr>
        <w:pBdr>
          <w:top w:val="nil"/>
          <w:left w:val="nil"/>
          <w:bottom w:val="nil"/>
          <w:right w:val="nil"/>
          <w:between w:val="nil"/>
        </w:pBdr>
        <w:rPr>
          <w:color w:val="000000"/>
          <w:sz w:val="24"/>
          <w:szCs w:val="24"/>
        </w:rPr>
      </w:pPr>
      <w:r w:rsidRPr="00C46F29">
        <w:rPr>
          <w:color w:val="000000"/>
          <w:sz w:val="24"/>
          <w:szCs w:val="24"/>
        </w:rPr>
        <w:t xml:space="preserve">Two lines: </w:t>
      </w:r>
      <w:r w:rsidRPr="00C46F29">
        <w:rPr>
          <w:b/>
          <w:color w:val="000000"/>
          <w:sz w:val="24"/>
          <w:szCs w:val="24"/>
        </w:rPr>
        <w:t>Before weighting (red)</w:t>
      </w:r>
      <w:r w:rsidRPr="00C46F29">
        <w:rPr>
          <w:color w:val="000000"/>
          <w:sz w:val="24"/>
          <w:szCs w:val="24"/>
        </w:rPr>
        <w:t xml:space="preserve"> vs. </w:t>
      </w:r>
      <w:r w:rsidRPr="00C46F29">
        <w:rPr>
          <w:b/>
          <w:color w:val="000000"/>
          <w:sz w:val="24"/>
          <w:szCs w:val="24"/>
        </w:rPr>
        <w:t>After IPW (blue)</w:t>
      </w:r>
    </w:p>
    <w:p w:rsidR="00EA4DC5" w:rsidRPr="00C46F29" w:rsidRDefault="00EA0315">
      <w:pPr>
        <w:numPr>
          <w:ilvl w:val="0"/>
          <w:numId w:val="8"/>
        </w:numPr>
        <w:pBdr>
          <w:top w:val="nil"/>
          <w:left w:val="nil"/>
          <w:bottom w:val="nil"/>
          <w:right w:val="nil"/>
          <w:between w:val="nil"/>
        </w:pBdr>
        <w:rPr>
          <w:color w:val="000000"/>
          <w:sz w:val="24"/>
          <w:szCs w:val="24"/>
        </w:rPr>
      </w:pPr>
      <w:sdt>
        <w:sdtPr>
          <w:rPr>
            <w:sz w:val="24"/>
            <w:szCs w:val="24"/>
          </w:rPr>
          <w:tag w:val="goog_rdk_1"/>
          <w:id w:val="-1408635936"/>
        </w:sdtPr>
        <w:sdtEndPr/>
        <w:sdtContent>
          <w:r w:rsidRPr="00C46F29">
            <w:rPr>
              <w:rFonts w:eastAsia="Cardo"/>
              <w:color w:val="000000"/>
              <w:sz w:val="24"/>
              <w:szCs w:val="24"/>
            </w:rPr>
            <w:t>Expectation: After weighting, all cova</w:t>
          </w:r>
          <w:r w:rsidRPr="00C46F29">
            <w:rPr>
              <w:rFonts w:eastAsia="Cardo"/>
              <w:color w:val="000000"/>
              <w:sz w:val="24"/>
              <w:szCs w:val="24"/>
            </w:rPr>
            <w:t>riates fall below |0.1| SMD → good balance achieved.</w:t>
          </w:r>
        </w:sdtContent>
      </w:sdt>
    </w:p>
    <w:p w:rsidR="00EA4DC5" w:rsidRPr="00C46F29" w:rsidRDefault="00EA4DC5">
      <w:pPr>
        <w:pBdr>
          <w:top w:val="nil"/>
          <w:left w:val="nil"/>
          <w:bottom w:val="nil"/>
          <w:right w:val="nil"/>
          <w:between w:val="nil"/>
        </w:pBdr>
        <w:ind w:left="720" w:firstLine="0"/>
        <w:rPr>
          <w:color w:val="000000"/>
          <w:sz w:val="24"/>
          <w:szCs w:val="24"/>
        </w:rPr>
      </w:pPr>
    </w:p>
    <w:p w:rsidR="00EA4DC5" w:rsidRPr="00C46F29" w:rsidRDefault="00EA0315">
      <w:pPr>
        <w:pBdr>
          <w:top w:val="nil"/>
          <w:left w:val="nil"/>
          <w:bottom w:val="nil"/>
          <w:right w:val="nil"/>
          <w:between w:val="nil"/>
        </w:pBdr>
        <w:ind w:left="720" w:firstLine="0"/>
        <w:rPr>
          <w:color w:val="000000"/>
          <w:sz w:val="24"/>
          <w:szCs w:val="24"/>
        </w:rPr>
      </w:pPr>
      <w:r w:rsidRPr="00C46F29">
        <w:rPr>
          <w:color w:val="000000"/>
          <w:sz w:val="24"/>
          <w:szCs w:val="24"/>
        </w:rPr>
        <w:t xml:space="preserve">The IPW estimator suggested that migration status increased the probability of suspected COVID-19 by </w:t>
      </w:r>
      <w:r w:rsidRPr="00C46F29">
        <w:rPr>
          <w:b/>
          <w:color w:val="000000"/>
          <w:sz w:val="24"/>
          <w:szCs w:val="24"/>
        </w:rPr>
        <w:t>+5.6 percentage points</w:t>
      </w:r>
      <w:r w:rsidRPr="00C46F29">
        <w:rPr>
          <w:color w:val="000000"/>
          <w:sz w:val="24"/>
          <w:szCs w:val="24"/>
        </w:rPr>
        <w:t xml:space="preserve"> (p=0.003).</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4.3 AIPW Estimates</w:t>
      </w:r>
    </w:p>
    <w:p w:rsidR="00EA4DC5" w:rsidRPr="00C46F29" w:rsidRDefault="00EA0315">
      <w:pPr>
        <w:numPr>
          <w:ilvl w:val="0"/>
          <w:numId w:val="5"/>
        </w:numPr>
        <w:pBdr>
          <w:top w:val="nil"/>
          <w:left w:val="nil"/>
          <w:bottom w:val="nil"/>
          <w:right w:val="nil"/>
          <w:between w:val="nil"/>
        </w:pBdr>
        <w:rPr>
          <w:color w:val="000000"/>
          <w:sz w:val="24"/>
          <w:szCs w:val="24"/>
        </w:rPr>
      </w:pPr>
      <w:r w:rsidRPr="00C46F29">
        <w:rPr>
          <w:color w:val="000000"/>
          <w:sz w:val="24"/>
          <w:szCs w:val="24"/>
        </w:rPr>
        <w:t>Robustness confirmed with AIPW.</w:t>
      </w:r>
    </w:p>
    <w:p w:rsidR="00EA4DC5" w:rsidRPr="00C46F29" w:rsidRDefault="00EA0315">
      <w:pPr>
        <w:numPr>
          <w:ilvl w:val="0"/>
          <w:numId w:val="5"/>
        </w:numPr>
        <w:pBdr>
          <w:top w:val="nil"/>
          <w:left w:val="nil"/>
          <w:bottom w:val="nil"/>
          <w:right w:val="nil"/>
          <w:between w:val="nil"/>
        </w:pBdr>
        <w:rPr>
          <w:color w:val="000000"/>
          <w:sz w:val="24"/>
          <w:szCs w:val="24"/>
        </w:rPr>
      </w:pPr>
      <w:r w:rsidRPr="00C46F29">
        <w:rPr>
          <w:color w:val="000000"/>
          <w:sz w:val="24"/>
          <w:szCs w:val="24"/>
        </w:rPr>
        <w:t xml:space="preserve">Average Treatment Effect (ATE) = </w:t>
      </w:r>
      <w:r w:rsidRPr="00C46F29">
        <w:rPr>
          <w:b/>
          <w:color w:val="000000"/>
          <w:sz w:val="24"/>
          <w:szCs w:val="24"/>
        </w:rPr>
        <w:t>+5.3 percentage points</w:t>
      </w:r>
      <w:r w:rsidRPr="00C46F29">
        <w:rPr>
          <w:color w:val="000000"/>
          <w:sz w:val="24"/>
          <w:szCs w:val="24"/>
        </w:rPr>
        <w:t xml:space="preserve"> (95% CI: 2.1–8.4).</w:t>
      </w:r>
    </w:p>
    <w:p w:rsidR="00EA4DC5" w:rsidRPr="00C46F29" w:rsidRDefault="00EA0315">
      <w:pPr>
        <w:numPr>
          <w:ilvl w:val="0"/>
          <w:numId w:val="5"/>
        </w:numPr>
        <w:pBdr>
          <w:top w:val="nil"/>
          <w:left w:val="nil"/>
          <w:bottom w:val="nil"/>
          <w:right w:val="nil"/>
          <w:between w:val="nil"/>
        </w:pBdr>
        <w:rPr>
          <w:color w:val="000000"/>
          <w:sz w:val="24"/>
          <w:szCs w:val="24"/>
        </w:rPr>
      </w:pPr>
      <w:r w:rsidRPr="00C46F29">
        <w:rPr>
          <w:color w:val="000000"/>
          <w:sz w:val="24"/>
          <w:szCs w:val="24"/>
        </w:rPr>
        <w:t xml:space="preserve">The Augmented IPW method confirmed these findings, producing an ATE of </w:t>
      </w:r>
      <w:r w:rsidRPr="00C46F29">
        <w:rPr>
          <w:b/>
          <w:color w:val="000000"/>
          <w:sz w:val="24"/>
          <w:szCs w:val="24"/>
        </w:rPr>
        <w:t>+5.3 percentage points</w:t>
      </w:r>
      <w:r w:rsidRPr="00C46F29">
        <w:rPr>
          <w:color w:val="000000"/>
          <w:sz w:val="24"/>
          <w:szCs w:val="24"/>
        </w:rPr>
        <w:t xml:space="preserve"> (95% CI: 2.1–8.4, p=0.002). By combining outcome regression with IPW, AIPW provides rob</w:t>
      </w:r>
      <w:r w:rsidRPr="00C46F29">
        <w:rPr>
          <w:color w:val="000000"/>
          <w:sz w:val="24"/>
          <w:szCs w:val="24"/>
        </w:rPr>
        <w:t xml:space="preserve">ustness even if one of the models is </w:t>
      </w:r>
      <w:proofErr w:type="spellStart"/>
      <w:r w:rsidRPr="00C46F29">
        <w:rPr>
          <w:color w:val="000000"/>
          <w:sz w:val="24"/>
          <w:szCs w:val="24"/>
        </w:rPr>
        <w:t>mis</w:t>
      </w:r>
      <w:proofErr w:type="spellEnd"/>
      <w:r w:rsidRPr="00C46F29">
        <w:rPr>
          <w:color w:val="000000"/>
          <w:sz w:val="24"/>
          <w:szCs w:val="24"/>
        </w:rPr>
        <w:t xml:space="preserve"> specified.</w:t>
      </w:r>
    </w:p>
    <w:p w:rsidR="00EA4DC5" w:rsidRPr="00C46F29" w:rsidRDefault="00EA4DC5">
      <w:pPr>
        <w:pBdr>
          <w:top w:val="nil"/>
          <w:left w:val="nil"/>
          <w:bottom w:val="nil"/>
          <w:right w:val="nil"/>
          <w:between w:val="nil"/>
        </w:pBdr>
        <w:rPr>
          <w:color w:val="000000"/>
          <w:sz w:val="24"/>
          <w:szCs w:val="24"/>
        </w:rPr>
      </w:pPr>
    </w:p>
    <w:p w:rsidR="00EA4DC5" w:rsidRPr="00C46F29" w:rsidRDefault="00EA4DC5">
      <w:pPr>
        <w:pBdr>
          <w:top w:val="nil"/>
          <w:left w:val="nil"/>
          <w:bottom w:val="nil"/>
          <w:right w:val="nil"/>
          <w:between w:val="nil"/>
        </w:pBdr>
        <w:ind w:firstLine="0"/>
        <w:rPr>
          <w:color w:val="000000"/>
          <w:sz w:val="24"/>
          <w:szCs w:val="24"/>
        </w:rPr>
      </w:pPr>
    </w:p>
    <w:tbl>
      <w:tblPr>
        <w:tblStyle w:val="a1"/>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134"/>
        <w:gridCol w:w="2551"/>
        <w:gridCol w:w="1559"/>
      </w:tblGrid>
      <w:tr w:rsidR="00EA4DC5" w:rsidRPr="00C46F29">
        <w:trPr>
          <w:tblHeader/>
        </w:trPr>
        <w:tc>
          <w:tcPr>
            <w:tcW w:w="3256" w:type="dxa"/>
            <w:vAlign w:val="center"/>
          </w:tcPr>
          <w:p w:rsidR="00EA4DC5" w:rsidRPr="00C46F29" w:rsidRDefault="00EA0315">
            <w:pPr>
              <w:pBdr>
                <w:top w:val="nil"/>
                <w:left w:val="nil"/>
                <w:bottom w:val="nil"/>
                <w:right w:val="nil"/>
                <w:between w:val="nil"/>
              </w:pBdr>
              <w:ind w:firstLine="0"/>
              <w:jc w:val="center"/>
              <w:rPr>
                <w:b/>
                <w:color w:val="000000"/>
                <w:sz w:val="24"/>
                <w:szCs w:val="24"/>
              </w:rPr>
            </w:pPr>
            <w:r w:rsidRPr="00C46F29">
              <w:rPr>
                <w:b/>
                <w:color w:val="000000"/>
                <w:sz w:val="24"/>
                <w:szCs w:val="24"/>
              </w:rPr>
              <w:t>Method</w:t>
            </w:r>
          </w:p>
        </w:tc>
        <w:tc>
          <w:tcPr>
            <w:tcW w:w="1134" w:type="dxa"/>
            <w:vAlign w:val="center"/>
          </w:tcPr>
          <w:p w:rsidR="00EA4DC5" w:rsidRPr="00C46F29" w:rsidRDefault="00EA0315">
            <w:pPr>
              <w:pBdr>
                <w:top w:val="nil"/>
                <w:left w:val="nil"/>
                <w:bottom w:val="nil"/>
                <w:right w:val="nil"/>
                <w:between w:val="nil"/>
              </w:pBdr>
              <w:ind w:firstLine="0"/>
              <w:jc w:val="center"/>
              <w:rPr>
                <w:b/>
                <w:color w:val="000000"/>
                <w:sz w:val="24"/>
                <w:szCs w:val="24"/>
              </w:rPr>
            </w:pPr>
            <w:r w:rsidRPr="00C46F29">
              <w:rPr>
                <w:b/>
                <w:color w:val="000000"/>
                <w:sz w:val="24"/>
                <w:szCs w:val="24"/>
              </w:rPr>
              <w:t>ATE (%)</w:t>
            </w:r>
          </w:p>
        </w:tc>
        <w:tc>
          <w:tcPr>
            <w:tcW w:w="2551" w:type="dxa"/>
            <w:vAlign w:val="center"/>
          </w:tcPr>
          <w:p w:rsidR="00EA4DC5" w:rsidRPr="00C46F29" w:rsidRDefault="00EA0315">
            <w:pPr>
              <w:pBdr>
                <w:top w:val="nil"/>
                <w:left w:val="nil"/>
                <w:bottom w:val="nil"/>
                <w:right w:val="nil"/>
                <w:between w:val="nil"/>
              </w:pBdr>
              <w:ind w:firstLine="0"/>
              <w:jc w:val="center"/>
              <w:rPr>
                <w:b/>
                <w:color w:val="000000"/>
                <w:sz w:val="24"/>
                <w:szCs w:val="24"/>
              </w:rPr>
            </w:pPr>
            <w:r w:rsidRPr="00C46F29">
              <w:rPr>
                <w:b/>
                <w:color w:val="000000"/>
                <w:sz w:val="24"/>
                <w:szCs w:val="24"/>
              </w:rPr>
              <w:t>95% Confidence Interval</w:t>
            </w:r>
          </w:p>
        </w:tc>
        <w:tc>
          <w:tcPr>
            <w:tcW w:w="1559" w:type="dxa"/>
            <w:vAlign w:val="center"/>
          </w:tcPr>
          <w:p w:rsidR="00EA4DC5" w:rsidRPr="00C46F29" w:rsidRDefault="00EA0315">
            <w:pPr>
              <w:pBdr>
                <w:top w:val="nil"/>
                <w:left w:val="nil"/>
                <w:bottom w:val="nil"/>
                <w:right w:val="nil"/>
                <w:between w:val="nil"/>
              </w:pBdr>
              <w:ind w:firstLine="0"/>
              <w:jc w:val="center"/>
              <w:rPr>
                <w:b/>
                <w:color w:val="000000"/>
                <w:sz w:val="24"/>
                <w:szCs w:val="24"/>
              </w:rPr>
            </w:pPr>
            <w:r w:rsidRPr="00C46F29">
              <w:rPr>
                <w:b/>
                <w:color w:val="000000"/>
                <w:sz w:val="24"/>
                <w:szCs w:val="24"/>
              </w:rPr>
              <w:t>p-value</w:t>
            </w:r>
          </w:p>
        </w:tc>
      </w:tr>
      <w:tr w:rsidR="00EA4DC5" w:rsidRPr="00C46F29">
        <w:tc>
          <w:tcPr>
            <w:tcW w:w="3256"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Inverse Probability Weighting (IPW)</w:t>
            </w:r>
          </w:p>
        </w:tc>
        <w:tc>
          <w:tcPr>
            <w:tcW w:w="1134"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+5.6</w:t>
            </w:r>
          </w:p>
        </w:tc>
        <w:tc>
          <w:tcPr>
            <w:tcW w:w="2551"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(2.0, 9.2)</w:t>
            </w:r>
          </w:p>
        </w:tc>
        <w:tc>
          <w:tcPr>
            <w:tcW w:w="1559"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0.003</w:t>
            </w:r>
          </w:p>
        </w:tc>
      </w:tr>
      <w:tr w:rsidR="00EA4DC5" w:rsidRPr="00C46F29">
        <w:tc>
          <w:tcPr>
            <w:tcW w:w="3256"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Augmented IPW (AIPW)</w:t>
            </w:r>
          </w:p>
        </w:tc>
        <w:tc>
          <w:tcPr>
            <w:tcW w:w="1134"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+5.3</w:t>
            </w:r>
          </w:p>
        </w:tc>
        <w:tc>
          <w:tcPr>
            <w:tcW w:w="2551"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(2.1, 8.4)</w:t>
            </w:r>
          </w:p>
        </w:tc>
        <w:tc>
          <w:tcPr>
            <w:tcW w:w="1559"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0.002</w:t>
            </w:r>
          </w:p>
        </w:tc>
      </w:tr>
      <w:tr w:rsidR="00EA4DC5" w:rsidRPr="00C46F29">
        <w:tc>
          <w:tcPr>
            <w:tcW w:w="3256"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Causal Forest (DML)</w:t>
            </w:r>
          </w:p>
        </w:tc>
        <w:tc>
          <w:tcPr>
            <w:tcW w:w="1134"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+5.8</w:t>
            </w:r>
          </w:p>
        </w:tc>
        <w:tc>
          <w:tcPr>
            <w:tcW w:w="2551"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(1.7, 9.5)</w:t>
            </w:r>
          </w:p>
        </w:tc>
        <w:tc>
          <w:tcPr>
            <w:tcW w:w="1559" w:type="dxa"/>
            <w:vAlign w:val="center"/>
          </w:tcPr>
          <w:p w:rsidR="00EA4DC5" w:rsidRPr="00C46F29" w:rsidRDefault="00EA0315">
            <w:pPr>
              <w:pBdr>
                <w:top w:val="nil"/>
                <w:left w:val="nil"/>
                <w:bottom w:val="nil"/>
                <w:right w:val="nil"/>
                <w:between w:val="nil"/>
              </w:pBdr>
              <w:ind w:firstLine="0"/>
              <w:jc w:val="center"/>
              <w:rPr>
                <w:color w:val="000000"/>
                <w:sz w:val="24"/>
                <w:szCs w:val="24"/>
              </w:rPr>
            </w:pPr>
            <w:r w:rsidRPr="00C46F29">
              <w:rPr>
                <w:color w:val="000000"/>
                <w:sz w:val="24"/>
                <w:szCs w:val="24"/>
              </w:rPr>
              <w:t>0.004</w:t>
            </w:r>
          </w:p>
        </w:tc>
      </w:tr>
    </w:tbl>
    <w:p w:rsidR="00EA4DC5" w:rsidRPr="00C46F29" w:rsidRDefault="00EA4DC5">
      <w:pPr>
        <w:pBdr>
          <w:top w:val="nil"/>
          <w:left w:val="nil"/>
          <w:bottom w:val="nil"/>
          <w:right w:val="nil"/>
          <w:between w:val="nil"/>
        </w:pBdr>
        <w:ind w:firstLine="0"/>
        <w:rPr>
          <w:b/>
          <w:color w:val="000000"/>
          <w:sz w:val="24"/>
          <w:szCs w:val="24"/>
        </w:rPr>
      </w:pPr>
    </w:p>
    <w:p w:rsidR="00EA4DC5" w:rsidRPr="00C46F29" w:rsidRDefault="00EA0315">
      <w:pPr>
        <w:pBdr>
          <w:top w:val="nil"/>
          <w:left w:val="nil"/>
          <w:bottom w:val="nil"/>
          <w:right w:val="nil"/>
          <w:between w:val="nil"/>
        </w:pBdr>
        <w:ind w:firstLine="0"/>
        <w:rPr>
          <w:color w:val="000000"/>
          <w:sz w:val="24"/>
          <w:szCs w:val="24"/>
        </w:rPr>
      </w:pPr>
      <w:proofErr w:type="gramStart"/>
      <w:r w:rsidRPr="00C46F29">
        <w:rPr>
          <w:b/>
          <w:color w:val="000000"/>
          <w:sz w:val="24"/>
          <w:szCs w:val="24"/>
        </w:rPr>
        <w:t>Table 2.</w:t>
      </w:r>
      <w:proofErr w:type="gramEnd"/>
      <w:r w:rsidRPr="00C46F29">
        <w:rPr>
          <w:color w:val="000000"/>
          <w:sz w:val="24"/>
          <w:szCs w:val="24"/>
        </w:rPr>
        <w:t xml:space="preserve"> Average Treatment Effect (ATE) estimates across causal inference methods. All approaches consistently show that migration status increases suspected COVID-19 risk by ~5–6 percentage points.</w:t>
      </w:r>
    </w:p>
    <w:p w:rsidR="00EA4DC5" w:rsidRPr="00C46F29" w:rsidRDefault="00EA4DC5">
      <w:pPr>
        <w:pBdr>
          <w:top w:val="nil"/>
          <w:left w:val="nil"/>
          <w:bottom w:val="nil"/>
          <w:right w:val="nil"/>
          <w:between w:val="nil"/>
        </w:pBdr>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4.4 Causal Forest Results</w:t>
      </w:r>
    </w:p>
    <w:p w:rsidR="00EA4DC5" w:rsidRPr="00C46F29" w:rsidRDefault="00EA0315">
      <w:pPr>
        <w:numPr>
          <w:ilvl w:val="0"/>
          <w:numId w:val="6"/>
        </w:numPr>
        <w:pBdr>
          <w:top w:val="nil"/>
          <w:left w:val="nil"/>
          <w:bottom w:val="nil"/>
          <w:right w:val="nil"/>
          <w:between w:val="nil"/>
        </w:pBdr>
        <w:rPr>
          <w:color w:val="000000"/>
          <w:sz w:val="24"/>
          <w:szCs w:val="24"/>
        </w:rPr>
      </w:pPr>
      <w:r w:rsidRPr="00C46F29">
        <w:rPr>
          <w:color w:val="000000"/>
          <w:sz w:val="24"/>
          <w:szCs w:val="24"/>
        </w:rPr>
        <w:t>Treatment effects heterogeneou</w:t>
      </w:r>
      <w:r w:rsidRPr="00C46F29">
        <w:rPr>
          <w:color w:val="000000"/>
          <w:sz w:val="24"/>
          <w:szCs w:val="24"/>
        </w:rPr>
        <w:t>s:</w:t>
      </w:r>
    </w:p>
    <w:p w:rsidR="00EA4DC5" w:rsidRPr="00C46F29" w:rsidRDefault="00EA0315">
      <w:pPr>
        <w:numPr>
          <w:ilvl w:val="1"/>
          <w:numId w:val="6"/>
        </w:numPr>
        <w:pBdr>
          <w:top w:val="nil"/>
          <w:left w:val="nil"/>
          <w:bottom w:val="nil"/>
          <w:right w:val="nil"/>
          <w:between w:val="nil"/>
        </w:pBdr>
        <w:rPr>
          <w:color w:val="000000"/>
          <w:sz w:val="24"/>
          <w:szCs w:val="24"/>
        </w:rPr>
      </w:pPr>
      <w:r w:rsidRPr="00C46F29">
        <w:rPr>
          <w:b/>
          <w:color w:val="000000"/>
          <w:sz w:val="24"/>
          <w:szCs w:val="24"/>
        </w:rPr>
        <w:t>Low-income, lower-caste households:</w:t>
      </w:r>
      <w:r w:rsidRPr="00C46F29">
        <w:rPr>
          <w:color w:val="000000"/>
          <w:sz w:val="24"/>
          <w:szCs w:val="24"/>
        </w:rPr>
        <w:t xml:space="preserve"> migration increased risk by up to +10 percentage points.</w:t>
      </w:r>
    </w:p>
    <w:p w:rsidR="00EA4DC5" w:rsidRPr="00C46F29" w:rsidRDefault="00EA0315">
      <w:pPr>
        <w:numPr>
          <w:ilvl w:val="1"/>
          <w:numId w:val="6"/>
        </w:numPr>
        <w:pBdr>
          <w:top w:val="nil"/>
          <w:left w:val="nil"/>
          <w:bottom w:val="nil"/>
          <w:right w:val="nil"/>
          <w:between w:val="nil"/>
        </w:pBdr>
        <w:rPr>
          <w:color w:val="000000"/>
          <w:sz w:val="24"/>
          <w:szCs w:val="24"/>
        </w:rPr>
      </w:pPr>
      <w:r w:rsidRPr="00C46F29">
        <w:rPr>
          <w:b/>
          <w:color w:val="000000"/>
          <w:sz w:val="24"/>
          <w:szCs w:val="24"/>
        </w:rPr>
        <w:t>Higher-income households:</w:t>
      </w:r>
      <w:r w:rsidRPr="00C46F29">
        <w:rPr>
          <w:color w:val="000000"/>
          <w:sz w:val="24"/>
          <w:szCs w:val="24"/>
        </w:rPr>
        <w:t xml:space="preserve"> effect minimal or negligible.</w:t>
      </w:r>
    </w:p>
    <w:p w:rsidR="00EA4DC5" w:rsidRPr="00C46F29" w:rsidRDefault="00EA0315">
      <w:pPr>
        <w:numPr>
          <w:ilvl w:val="0"/>
          <w:numId w:val="6"/>
        </w:numPr>
        <w:pBdr>
          <w:top w:val="nil"/>
          <w:left w:val="nil"/>
          <w:bottom w:val="nil"/>
          <w:right w:val="nil"/>
          <w:between w:val="nil"/>
        </w:pBdr>
        <w:rPr>
          <w:color w:val="000000"/>
          <w:sz w:val="24"/>
          <w:szCs w:val="24"/>
        </w:rPr>
      </w:pPr>
      <w:r w:rsidRPr="00C46F29">
        <w:rPr>
          <w:color w:val="000000"/>
          <w:sz w:val="24"/>
          <w:szCs w:val="24"/>
        </w:rPr>
        <w:t>Variable importance: Caste, Occupation, and Household Size were top modifiers.</w:t>
      </w:r>
    </w:p>
    <w:p w:rsidR="00EA4DC5" w:rsidRPr="00C46F29" w:rsidRDefault="00EA0315">
      <w:pPr>
        <w:numPr>
          <w:ilvl w:val="0"/>
          <w:numId w:val="6"/>
        </w:numPr>
        <w:pBdr>
          <w:top w:val="nil"/>
          <w:left w:val="nil"/>
          <w:bottom w:val="nil"/>
          <w:right w:val="nil"/>
          <w:between w:val="nil"/>
        </w:pBdr>
        <w:rPr>
          <w:color w:val="000000"/>
          <w:sz w:val="24"/>
          <w:szCs w:val="24"/>
        </w:rPr>
      </w:pPr>
      <w:r w:rsidRPr="00C46F29">
        <w:rPr>
          <w:color w:val="000000"/>
          <w:sz w:val="24"/>
          <w:szCs w:val="24"/>
        </w:rPr>
        <w:t xml:space="preserve">The Causal Forest model not only replicated the average effect (+5.8 percentage points) but also highlighted heterogeneity across subgroups. As shown in </w:t>
      </w:r>
      <w:r w:rsidRPr="00C46F29">
        <w:rPr>
          <w:b/>
          <w:color w:val="000000"/>
          <w:sz w:val="24"/>
          <w:szCs w:val="24"/>
        </w:rPr>
        <w:t>Table 3</w:t>
      </w:r>
      <w:r w:rsidRPr="00C46F29">
        <w:rPr>
          <w:color w:val="000000"/>
          <w:sz w:val="24"/>
          <w:szCs w:val="24"/>
        </w:rPr>
        <w:t>, migrants from low-income and marginalized caste groups experienced the strongest causal effect</w:t>
      </w:r>
      <w:r w:rsidRPr="00C46F29">
        <w:rPr>
          <w:color w:val="000000"/>
          <w:sz w:val="24"/>
          <w:szCs w:val="24"/>
        </w:rPr>
        <w:t>s, while higher-income households had minimal or negligible effects.</w:t>
      </w:r>
    </w:p>
    <w:p w:rsidR="00EA4DC5" w:rsidRPr="00C46F29" w:rsidRDefault="00EA4DC5">
      <w:pPr>
        <w:pBdr>
          <w:top w:val="nil"/>
          <w:left w:val="nil"/>
          <w:bottom w:val="nil"/>
          <w:right w:val="nil"/>
          <w:between w:val="nil"/>
        </w:pBdr>
        <w:ind w:firstLine="0"/>
        <w:rPr>
          <w:color w:val="000000"/>
          <w:sz w:val="24"/>
          <w:szCs w:val="24"/>
        </w:rPr>
      </w:pPr>
    </w:p>
    <w:tbl>
      <w:tblPr>
        <w:tblStyle w:val="a2"/>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2409"/>
        <w:gridCol w:w="2694"/>
      </w:tblGrid>
      <w:tr w:rsidR="00EA4DC5" w:rsidRPr="00C46F29">
        <w:trPr>
          <w:tblHeader/>
        </w:trPr>
        <w:tc>
          <w:tcPr>
            <w:tcW w:w="3256" w:type="dxa"/>
            <w:vAlign w:val="center"/>
          </w:tcPr>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Subgroup</w:t>
            </w:r>
          </w:p>
        </w:tc>
        <w:tc>
          <w:tcPr>
            <w:tcW w:w="2409" w:type="dxa"/>
            <w:vAlign w:val="center"/>
          </w:tcPr>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Estimated Effect (%)</w:t>
            </w:r>
          </w:p>
        </w:tc>
        <w:tc>
          <w:tcPr>
            <w:tcW w:w="2694" w:type="dxa"/>
            <w:vAlign w:val="center"/>
          </w:tcPr>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Interpretation</w:t>
            </w:r>
          </w:p>
        </w:tc>
      </w:tr>
      <w:tr w:rsidR="00EA4DC5" w:rsidRPr="00C46F29">
        <w:tc>
          <w:tcPr>
            <w:tcW w:w="3256"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Low-income, lower-caste</w:t>
            </w:r>
          </w:p>
        </w:tc>
        <w:tc>
          <w:tcPr>
            <w:tcW w:w="2409"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+10.2</w:t>
            </w:r>
          </w:p>
        </w:tc>
        <w:tc>
          <w:tcPr>
            <w:tcW w:w="2694"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High risk increase</w:t>
            </w:r>
          </w:p>
        </w:tc>
      </w:tr>
      <w:tr w:rsidR="00EA4DC5" w:rsidRPr="00C46F29">
        <w:tc>
          <w:tcPr>
            <w:tcW w:w="3256"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Low-income, higher-caste</w:t>
            </w:r>
          </w:p>
        </w:tc>
        <w:tc>
          <w:tcPr>
            <w:tcW w:w="2409"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+6.1</w:t>
            </w:r>
          </w:p>
        </w:tc>
        <w:tc>
          <w:tcPr>
            <w:tcW w:w="2694"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Moderate effect</w:t>
            </w:r>
          </w:p>
        </w:tc>
      </w:tr>
      <w:tr w:rsidR="00EA4DC5" w:rsidRPr="00C46F29">
        <w:tc>
          <w:tcPr>
            <w:tcW w:w="3256"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Higher-income, lower-caste</w:t>
            </w:r>
          </w:p>
        </w:tc>
        <w:tc>
          <w:tcPr>
            <w:tcW w:w="2409"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+4.0</w:t>
            </w:r>
          </w:p>
        </w:tc>
        <w:tc>
          <w:tcPr>
            <w:tcW w:w="2694"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Lower effect</w:t>
            </w:r>
          </w:p>
        </w:tc>
      </w:tr>
      <w:tr w:rsidR="00EA4DC5" w:rsidRPr="00C46F29">
        <w:tc>
          <w:tcPr>
            <w:tcW w:w="3256"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Higher-income, higher-caste</w:t>
            </w:r>
          </w:p>
        </w:tc>
        <w:tc>
          <w:tcPr>
            <w:tcW w:w="2409"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+1.5</w:t>
            </w:r>
          </w:p>
        </w:tc>
        <w:tc>
          <w:tcPr>
            <w:tcW w:w="2694" w:type="dxa"/>
            <w:vAlign w:val="center"/>
          </w:tcPr>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Negligible</w:t>
            </w:r>
          </w:p>
        </w:tc>
      </w:tr>
    </w:tbl>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color w:val="000000"/>
          <w:sz w:val="24"/>
          <w:szCs w:val="24"/>
        </w:rPr>
      </w:pPr>
      <w:proofErr w:type="gramStart"/>
      <w:r w:rsidRPr="00C46F29">
        <w:rPr>
          <w:b/>
          <w:color w:val="000000"/>
          <w:sz w:val="24"/>
          <w:szCs w:val="24"/>
        </w:rPr>
        <w:t>Table 3.</w:t>
      </w:r>
      <w:proofErr w:type="gramEnd"/>
      <w:r w:rsidRPr="00C46F29">
        <w:rPr>
          <w:color w:val="000000"/>
          <w:sz w:val="24"/>
          <w:szCs w:val="24"/>
        </w:rPr>
        <w:t xml:space="preserve"> </w:t>
      </w:r>
      <w:proofErr w:type="gramStart"/>
      <w:r w:rsidRPr="00C46F29">
        <w:rPr>
          <w:color w:val="000000"/>
          <w:sz w:val="24"/>
          <w:szCs w:val="24"/>
        </w:rPr>
        <w:t>Heterogeneous treatment effects estimated by Causal Forest.</w:t>
      </w:r>
      <w:proofErr w:type="gramEnd"/>
      <w:r w:rsidRPr="00C46F29">
        <w:rPr>
          <w:color w:val="000000"/>
          <w:sz w:val="24"/>
          <w:szCs w:val="24"/>
        </w:rPr>
        <w:t xml:space="preserve"> Migration has the strongest causal effect among low-income and marginalized caste groups, while higher-income groups experience minimal effect.</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Figure 3 illustrates the distribution of treat</w:t>
      </w:r>
      <w:r w:rsidRPr="00C46F29">
        <w:rPr>
          <w:color w:val="000000"/>
          <w:sz w:val="24"/>
          <w:szCs w:val="24"/>
        </w:rPr>
        <w:t>ment effects, with most households clustering around the mean ATE of 5.5%, but some vulnerable subgroups experiencing effects as high as +10%.</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color w:val="000000"/>
          <w:sz w:val="24"/>
          <w:szCs w:val="24"/>
        </w:rPr>
      </w:pPr>
      <w:r w:rsidRPr="00C46F29">
        <w:rPr>
          <w:b/>
          <w:noProof/>
          <w:color w:val="000000"/>
          <w:sz w:val="24"/>
          <w:szCs w:val="24"/>
          <w:lang w:val="en-US"/>
        </w:rPr>
        <w:drawing>
          <wp:inline distT="0" distB="0" distL="0" distR="0" wp14:anchorId="0329A40A" wp14:editId="6F86C4EF">
            <wp:extent cx="4392930" cy="2787015"/>
            <wp:effectExtent l="0" t="0" r="0" b="0"/>
            <wp:docPr id="13494026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392930" cy="2787015"/>
                    </a:xfrm>
                    <a:prstGeom prst="rect">
                      <a:avLst/>
                    </a:prstGeom>
                    <a:ln/>
                  </pic:spPr>
                </pic:pic>
              </a:graphicData>
            </a:graphic>
          </wp:inline>
        </w:drawing>
      </w:r>
    </w:p>
    <w:p w:rsidR="00EA4DC5" w:rsidRPr="00C46F29" w:rsidRDefault="00EA0315">
      <w:pPr>
        <w:pBdr>
          <w:top w:val="nil"/>
          <w:left w:val="nil"/>
          <w:bottom w:val="nil"/>
          <w:right w:val="nil"/>
          <w:between w:val="nil"/>
        </w:pBdr>
        <w:ind w:firstLine="0"/>
        <w:rPr>
          <w:b/>
          <w:color w:val="000000"/>
          <w:sz w:val="24"/>
          <w:szCs w:val="24"/>
        </w:rPr>
      </w:pPr>
      <w:proofErr w:type="gramStart"/>
      <w:r w:rsidRPr="00C46F29">
        <w:rPr>
          <w:b/>
          <w:color w:val="000000"/>
          <w:sz w:val="24"/>
          <w:szCs w:val="24"/>
        </w:rPr>
        <w:t>Figure 3.</w:t>
      </w:r>
      <w:proofErr w:type="gramEnd"/>
      <w:r w:rsidRPr="00C46F29">
        <w:rPr>
          <w:b/>
          <w:color w:val="000000"/>
          <w:sz w:val="24"/>
          <w:szCs w:val="24"/>
        </w:rPr>
        <w:t xml:space="preserve"> Distribution of Treatment Effects from Causal Forest</w:t>
      </w:r>
    </w:p>
    <w:p w:rsidR="00EA4DC5" w:rsidRPr="00C46F29" w:rsidRDefault="00EA0315">
      <w:pPr>
        <w:numPr>
          <w:ilvl w:val="0"/>
          <w:numId w:val="10"/>
        </w:numPr>
        <w:pBdr>
          <w:top w:val="nil"/>
          <w:left w:val="nil"/>
          <w:bottom w:val="nil"/>
          <w:right w:val="nil"/>
          <w:between w:val="nil"/>
        </w:pBdr>
        <w:rPr>
          <w:color w:val="000000"/>
          <w:sz w:val="24"/>
          <w:szCs w:val="24"/>
        </w:rPr>
      </w:pPr>
      <w:r w:rsidRPr="00C46F29">
        <w:rPr>
          <w:color w:val="000000"/>
          <w:sz w:val="24"/>
          <w:szCs w:val="24"/>
        </w:rPr>
        <w:t xml:space="preserve">X-axis: Estimated Treatment Effect (percentage </w:t>
      </w:r>
      <w:r w:rsidRPr="00C46F29">
        <w:rPr>
          <w:color w:val="000000"/>
          <w:sz w:val="24"/>
          <w:szCs w:val="24"/>
        </w:rPr>
        <w:t>points)</w:t>
      </w:r>
    </w:p>
    <w:p w:rsidR="00EA4DC5" w:rsidRPr="00C46F29" w:rsidRDefault="00EA0315">
      <w:pPr>
        <w:numPr>
          <w:ilvl w:val="0"/>
          <w:numId w:val="10"/>
        </w:numPr>
        <w:pBdr>
          <w:top w:val="nil"/>
          <w:left w:val="nil"/>
          <w:bottom w:val="nil"/>
          <w:right w:val="nil"/>
          <w:between w:val="nil"/>
        </w:pBdr>
        <w:rPr>
          <w:color w:val="000000"/>
          <w:sz w:val="24"/>
          <w:szCs w:val="24"/>
        </w:rPr>
      </w:pPr>
      <w:r w:rsidRPr="00C46F29">
        <w:rPr>
          <w:color w:val="000000"/>
          <w:sz w:val="24"/>
          <w:szCs w:val="24"/>
        </w:rPr>
        <w:t>Y-axis: Frequency (number of households)</w:t>
      </w:r>
    </w:p>
    <w:p w:rsidR="00EA4DC5" w:rsidRPr="00C46F29" w:rsidRDefault="00EA0315">
      <w:pPr>
        <w:numPr>
          <w:ilvl w:val="0"/>
          <w:numId w:val="10"/>
        </w:numPr>
        <w:pBdr>
          <w:top w:val="nil"/>
          <w:left w:val="nil"/>
          <w:bottom w:val="nil"/>
          <w:right w:val="nil"/>
          <w:between w:val="nil"/>
        </w:pBdr>
        <w:rPr>
          <w:color w:val="000000"/>
          <w:sz w:val="24"/>
          <w:szCs w:val="24"/>
        </w:rPr>
      </w:pPr>
      <w:r w:rsidRPr="00C46F29">
        <w:rPr>
          <w:color w:val="000000"/>
          <w:sz w:val="24"/>
          <w:szCs w:val="24"/>
        </w:rPr>
        <w:t xml:space="preserve">Shows a bell-shaped distribution, </w:t>
      </w:r>
      <w:proofErr w:type="spellStart"/>
      <w:r w:rsidRPr="00C46F29">
        <w:rPr>
          <w:color w:val="000000"/>
          <w:sz w:val="24"/>
          <w:szCs w:val="24"/>
        </w:rPr>
        <w:t>centered</w:t>
      </w:r>
      <w:proofErr w:type="spellEnd"/>
      <w:r w:rsidRPr="00C46F29">
        <w:rPr>
          <w:color w:val="000000"/>
          <w:sz w:val="24"/>
          <w:szCs w:val="24"/>
        </w:rPr>
        <w:t xml:space="preserve"> around +5%, with long tail showing subgroups at +10%.</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4.5 Diagnostics &amp; Placebo</w:t>
      </w:r>
    </w:p>
    <w:p w:rsidR="00EA4DC5" w:rsidRPr="00C46F29" w:rsidRDefault="00EA0315">
      <w:pPr>
        <w:numPr>
          <w:ilvl w:val="0"/>
          <w:numId w:val="7"/>
        </w:numPr>
        <w:pBdr>
          <w:top w:val="nil"/>
          <w:left w:val="nil"/>
          <w:bottom w:val="nil"/>
          <w:right w:val="nil"/>
          <w:between w:val="nil"/>
        </w:pBdr>
        <w:rPr>
          <w:color w:val="000000"/>
          <w:sz w:val="24"/>
          <w:szCs w:val="24"/>
        </w:rPr>
      </w:pPr>
      <w:r w:rsidRPr="00C46F29">
        <w:rPr>
          <w:color w:val="000000"/>
          <w:sz w:val="24"/>
          <w:szCs w:val="24"/>
        </w:rPr>
        <w:t>Placebo treatment showed no effect, confirming model validity.</w:t>
      </w:r>
    </w:p>
    <w:p w:rsidR="00EA4DC5" w:rsidRPr="00C46F29" w:rsidRDefault="00EA0315">
      <w:pPr>
        <w:numPr>
          <w:ilvl w:val="0"/>
          <w:numId w:val="7"/>
        </w:numPr>
        <w:pBdr>
          <w:top w:val="nil"/>
          <w:left w:val="nil"/>
          <w:bottom w:val="nil"/>
          <w:right w:val="nil"/>
          <w:between w:val="nil"/>
        </w:pBdr>
        <w:rPr>
          <w:color w:val="000000"/>
          <w:sz w:val="24"/>
          <w:szCs w:val="24"/>
        </w:rPr>
      </w:pPr>
      <w:r w:rsidRPr="00C46F29">
        <w:rPr>
          <w:color w:val="000000"/>
          <w:sz w:val="24"/>
          <w:szCs w:val="24"/>
        </w:rPr>
        <w:t>Visual inspection of balance plots showed strong overlap after weighting.</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color w:val="000000"/>
          <w:sz w:val="24"/>
          <w:szCs w:val="24"/>
        </w:rPr>
      </w:pPr>
      <w:r w:rsidRPr="00C46F29">
        <w:rPr>
          <w:b/>
          <w:noProof/>
          <w:color w:val="000000"/>
          <w:sz w:val="24"/>
          <w:szCs w:val="24"/>
          <w:lang w:val="en-US"/>
        </w:rPr>
        <w:drawing>
          <wp:inline distT="0" distB="0" distL="0" distR="0" wp14:anchorId="203DF299" wp14:editId="0390A609">
            <wp:extent cx="4392930" cy="2602865"/>
            <wp:effectExtent l="0" t="0" r="0" b="0"/>
            <wp:docPr id="13494026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392930" cy="2602865"/>
                    </a:xfrm>
                    <a:prstGeom prst="rect">
                      <a:avLst/>
                    </a:prstGeom>
                    <a:ln/>
                  </pic:spPr>
                </pic:pic>
              </a:graphicData>
            </a:graphic>
          </wp:inline>
        </w:drawing>
      </w:r>
    </w:p>
    <w:p w:rsidR="00EA4DC5" w:rsidRPr="00C46F29" w:rsidRDefault="00EA4DC5">
      <w:pPr>
        <w:pBdr>
          <w:top w:val="nil"/>
          <w:left w:val="nil"/>
          <w:bottom w:val="nil"/>
          <w:right w:val="nil"/>
          <w:between w:val="nil"/>
        </w:pBdr>
        <w:ind w:firstLine="0"/>
        <w:rPr>
          <w:b/>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proofErr w:type="gramStart"/>
      <w:r w:rsidRPr="00C46F29">
        <w:rPr>
          <w:b/>
          <w:color w:val="000000"/>
          <w:sz w:val="24"/>
          <w:szCs w:val="24"/>
        </w:rPr>
        <w:t>Figure 4.</w:t>
      </w:r>
      <w:proofErr w:type="gramEnd"/>
      <w:r w:rsidRPr="00C46F29">
        <w:rPr>
          <w:b/>
          <w:color w:val="000000"/>
          <w:sz w:val="24"/>
          <w:szCs w:val="24"/>
        </w:rPr>
        <w:t xml:space="preserve"> Placebo Test Results</w:t>
      </w:r>
    </w:p>
    <w:p w:rsidR="00EA4DC5" w:rsidRPr="00C46F29" w:rsidRDefault="00EA0315">
      <w:pPr>
        <w:numPr>
          <w:ilvl w:val="0"/>
          <w:numId w:val="11"/>
        </w:numPr>
        <w:pBdr>
          <w:top w:val="nil"/>
          <w:left w:val="nil"/>
          <w:bottom w:val="nil"/>
          <w:right w:val="nil"/>
          <w:between w:val="nil"/>
        </w:pBdr>
        <w:rPr>
          <w:color w:val="000000"/>
          <w:sz w:val="24"/>
          <w:szCs w:val="24"/>
        </w:rPr>
      </w:pPr>
      <w:r w:rsidRPr="00C46F29">
        <w:rPr>
          <w:color w:val="000000"/>
          <w:sz w:val="24"/>
          <w:szCs w:val="24"/>
        </w:rPr>
        <w:t>A bar chart showing ATE for “true treatment” (Migration Status) vs. “placebo treatment” (randomly assigned).</w:t>
      </w:r>
    </w:p>
    <w:p w:rsidR="00EA4DC5" w:rsidRPr="00C46F29" w:rsidRDefault="00EA0315">
      <w:pPr>
        <w:numPr>
          <w:ilvl w:val="0"/>
          <w:numId w:val="11"/>
        </w:numPr>
        <w:pBdr>
          <w:top w:val="nil"/>
          <w:left w:val="nil"/>
          <w:bottom w:val="nil"/>
          <w:right w:val="nil"/>
          <w:between w:val="nil"/>
        </w:pBdr>
        <w:rPr>
          <w:color w:val="000000"/>
          <w:sz w:val="24"/>
          <w:szCs w:val="24"/>
        </w:rPr>
      </w:pPr>
      <w:r w:rsidRPr="00C46F29">
        <w:rPr>
          <w:color w:val="000000"/>
          <w:sz w:val="24"/>
          <w:szCs w:val="24"/>
        </w:rPr>
        <w:t>Migration shows significant positive e</w:t>
      </w:r>
      <w:r w:rsidRPr="00C46F29">
        <w:rPr>
          <w:color w:val="000000"/>
          <w:sz w:val="24"/>
          <w:szCs w:val="24"/>
        </w:rPr>
        <w:t>ffect (~+5.5%), placebo shows ~0%.</w:t>
      </w:r>
    </w:p>
    <w:p w:rsidR="00EA4DC5" w:rsidRPr="00C46F29" w:rsidRDefault="00EA0315">
      <w:pPr>
        <w:numPr>
          <w:ilvl w:val="0"/>
          <w:numId w:val="11"/>
        </w:numPr>
        <w:pBdr>
          <w:top w:val="nil"/>
          <w:left w:val="nil"/>
          <w:bottom w:val="nil"/>
          <w:right w:val="nil"/>
          <w:between w:val="nil"/>
        </w:pBdr>
        <w:rPr>
          <w:color w:val="000000"/>
          <w:sz w:val="24"/>
          <w:szCs w:val="24"/>
        </w:rPr>
      </w:pPr>
      <w:r w:rsidRPr="00C46F29">
        <w:rPr>
          <w:color w:val="000000"/>
          <w:sz w:val="24"/>
          <w:szCs w:val="24"/>
        </w:rPr>
        <w:t>Interpretation: Confirms that observed effect is causal, not spurious.</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5. Discussion</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This study provides strong evidence that migration status causally increases the likelihood of suspected COVID-19 cases in rural communities. Across IPW, AIPW, and Causal Forest models, the effect size consistently ranged between 5–6 percentage points, con</w:t>
      </w:r>
      <w:r w:rsidRPr="00C46F29">
        <w:rPr>
          <w:color w:val="000000"/>
          <w:sz w:val="24"/>
          <w:szCs w:val="24"/>
        </w:rPr>
        <w:t>firming robustness.</w:t>
      </w: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5.1 Key Findings</w:t>
      </w:r>
    </w:p>
    <w:p w:rsidR="00EA4DC5" w:rsidRPr="00C46F29" w:rsidRDefault="00EA0315">
      <w:pPr>
        <w:numPr>
          <w:ilvl w:val="0"/>
          <w:numId w:val="12"/>
        </w:numPr>
        <w:pBdr>
          <w:top w:val="nil"/>
          <w:left w:val="nil"/>
          <w:bottom w:val="nil"/>
          <w:right w:val="nil"/>
          <w:between w:val="nil"/>
        </w:pBdr>
        <w:rPr>
          <w:color w:val="000000"/>
          <w:sz w:val="24"/>
          <w:szCs w:val="24"/>
        </w:rPr>
      </w:pPr>
      <w:r w:rsidRPr="00C46F29">
        <w:rPr>
          <w:color w:val="000000"/>
          <w:sz w:val="24"/>
          <w:szCs w:val="24"/>
        </w:rPr>
        <w:t>Migrants had higher COVID-19 risk even after controlling for confounders.</w:t>
      </w:r>
    </w:p>
    <w:p w:rsidR="00EA4DC5" w:rsidRPr="00C46F29" w:rsidRDefault="00EA0315">
      <w:pPr>
        <w:numPr>
          <w:ilvl w:val="0"/>
          <w:numId w:val="12"/>
        </w:numPr>
        <w:pBdr>
          <w:top w:val="nil"/>
          <w:left w:val="nil"/>
          <w:bottom w:val="nil"/>
          <w:right w:val="nil"/>
          <w:between w:val="nil"/>
        </w:pBdr>
        <w:rPr>
          <w:color w:val="000000"/>
          <w:sz w:val="24"/>
          <w:szCs w:val="24"/>
        </w:rPr>
      </w:pPr>
      <w:r w:rsidRPr="00C46F29">
        <w:rPr>
          <w:color w:val="000000"/>
          <w:sz w:val="24"/>
          <w:szCs w:val="24"/>
        </w:rPr>
        <w:t>Subgroup analysis showed low-income and marginalized caste households faced the strongest effects (up to +10%).</w:t>
      </w:r>
    </w:p>
    <w:p w:rsidR="00EA4DC5" w:rsidRPr="00C46F29" w:rsidRDefault="00EA0315">
      <w:pPr>
        <w:numPr>
          <w:ilvl w:val="0"/>
          <w:numId w:val="12"/>
        </w:numPr>
        <w:pBdr>
          <w:top w:val="nil"/>
          <w:left w:val="nil"/>
          <w:bottom w:val="nil"/>
          <w:right w:val="nil"/>
          <w:between w:val="nil"/>
        </w:pBdr>
        <w:rPr>
          <w:color w:val="000000"/>
          <w:sz w:val="24"/>
          <w:szCs w:val="24"/>
        </w:rPr>
      </w:pPr>
      <w:r w:rsidRPr="00C46F29">
        <w:rPr>
          <w:color w:val="000000"/>
          <w:sz w:val="24"/>
          <w:szCs w:val="24"/>
        </w:rPr>
        <w:t xml:space="preserve">Higher-income groups experienced </w:t>
      </w:r>
      <w:r w:rsidRPr="00C46F29">
        <w:rPr>
          <w:color w:val="000000"/>
          <w:sz w:val="24"/>
          <w:szCs w:val="24"/>
        </w:rPr>
        <w:t>minimal or no effect, suggesting that structural disadvantages amplify vulnerability.</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These findings align with prior literature that highlights overcrowded housing, high-risk jobs, and healthcare barriers among migrants [6–9], but our causal ML approach s</w:t>
      </w:r>
      <w:r w:rsidRPr="00C46F29">
        <w:rPr>
          <w:color w:val="000000"/>
          <w:sz w:val="24"/>
          <w:szCs w:val="24"/>
        </w:rPr>
        <w:t>trengthens the claim by proving a cause-effect link.</w:t>
      </w: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5.2 Policy Implications</w:t>
      </w:r>
    </w:p>
    <w:p w:rsidR="00EA4DC5" w:rsidRPr="00C46F29" w:rsidRDefault="00EA0315">
      <w:pPr>
        <w:numPr>
          <w:ilvl w:val="0"/>
          <w:numId w:val="13"/>
        </w:numPr>
        <w:pBdr>
          <w:top w:val="nil"/>
          <w:left w:val="nil"/>
          <w:bottom w:val="nil"/>
          <w:right w:val="nil"/>
          <w:between w:val="nil"/>
        </w:pBdr>
        <w:rPr>
          <w:color w:val="000000"/>
          <w:sz w:val="24"/>
          <w:szCs w:val="24"/>
        </w:rPr>
      </w:pPr>
      <w:r w:rsidRPr="00C46F29">
        <w:rPr>
          <w:color w:val="000000"/>
          <w:sz w:val="24"/>
          <w:szCs w:val="24"/>
        </w:rPr>
        <w:t>Prioritize migrants for testing, vaccination, and welfare support during health crises.</w:t>
      </w:r>
    </w:p>
    <w:p w:rsidR="00EA4DC5" w:rsidRPr="00C46F29" w:rsidRDefault="00EA0315">
      <w:pPr>
        <w:numPr>
          <w:ilvl w:val="0"/>
          <w:numId w:val="13"/>
        </w:numPr>
        <w:pBdr>
          <w:top w:val="nil"/>
          <w:left w:val="nil"/>
          <w:bottom w:val="nil"/>
          <w:right w:val="nil"/>
          <w:between w:val="nil"/>
        </w:pBdr>
        <w:rPr>
          <w:color w:val="000000"/>
          <w:sz w:val="24"/>
          <w:szCs w:val="24"/>
        </w:rPr>
      </w:pPr>
      <w:r w:rsidRPr="00C46F29">
        <w:rPr>
          <w:color w:val="000000"/>
          <w:sz w:val="24"/>
          <w:szCs w:val="24"/>
        </w:rPr>
        <w:t>Address structural inequities in housing, sanitation, and workplace safety.</w:t>
      </w:r>
    </w:p>
    <w:p w:rsidR="00EA4DC5" w:rsidRPr="00C46F29" w:rsidRDefault="00EA0315">
      <w:pPr>
        <w:numPr>
          <w:ilvl w:val="0"/>
          <w:numId w:val="13"/>
        </w:numPr>
        <w:pBdr>
          <w:top w:val="nil"/>
          <w:left w:val="nil"/>
          <w:bottom w:val="nil"/>
          <w:right w:val="nil"/>
          <w:between w:val="nil"/>
        </w:pBdr>
        <w:rPr>
          <w:color w:val="000000"/>
          <w:sz w:val="24"/>
          <w:szCs w:val="24"/>
        </w:rPr>
      </w:pPr>
      <w:r w:rsidRPr="00C46F29">
        <w:rPr>
          <w:color w:val="000000"/>
          <w:sz w:val="24"/>
          <w:szCs w:val="24"/>
        </w:rPr>
        <w:t>Improve healthc</w:t>
      </w:r>
      <w:r w:rsidRPr="00C46F29">
        <w:rPr>
          <w:color w:val="000000"/>
          <w:sz w:val="24"/>
          <w:szCs w:val="24"/>
        </w:rPr>
        <w:t>are accessibility through mobile clinics and culturally sensitive services.</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Causal insights allow policies to move from correlation-based targeting to evidence-based interventions.</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5.3 Methodological Contributions</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 xml:space="preserve">This study shows how Causal Machine Learning (IPW, AIPW, </w:t>
      </w:r>
      <w:proofErr w:type="gramStart"/>
      <w:r w:rsidRPr="00C46F29">
        <w:rPr>
          <w:color w:val="000000"/>
          <w:sz w:val="24"/>
          <w:szCs w:val="24"/>
        </w:rPr>
        <w:t>Causal</w:t>
      </w:r>
      <w:proofErr w:type="gramEnd"/>
      <w:r w:rsidRPr="00C46F29">
        <w:rPr>
          <w:color w:val="000000"/>
          <w:sz w:val="24"/>
          <w:szCs w:val="24"/>
        </w:rPr>
        <w:t xml:space="preserve"> Forests) can be applied to public health. Unlike traditional regression, these methods provide robust causal estimates and reveal heterogeneous treatment effects, making findings more actionab</w:t>
      </w:r>
      <w:r w:rsidRPr="00C46F29">
        <w:rPr>
          <w:color w:val="000000"/>
          <w:sz w:val="24"/>
          <w:szCs w:val="24"/>
        </w:rPr>
        <w:t>le for policy.</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5.4 Limitations &amp; Future Work</w:t>
      </w:r>
    </w:p>
    <w:p w:rsidR="00EA4DC5" w:rsidRPr="00C46F29" w:rsidRDefault="00EA0315">
      <w:pPr>
        <w:numPr>
          <w:ilvl w:val="0"/>
          <w:numId w:val="14"/>
        </w:numPr>
        <w:pBdr>
          <w:top w:val="nil"/>
          <w:left w:val="nil"/>
          <w:bottom w:val="nil"/>
          <w:right w:val="nil"/>
          <w:between w:val="nil"/>
        </w:pBdr>
        <w:rPr>
          <w:color w:val="000000"/>
          <w:sz w:val="24"/>
          <w:szCs w:val="24"/>
        </w:rPr>
      </w:pPr>
      <w:r w:rsidRPr="00C46F29">
        <w:rPr>
          <w:color w:val="000000"/>
          <w:sz w:val="24"/>
          <w:szCs w:val="24"/>
        </w:rPr>
        <w:t>Reliance on self-reported COVID status may introduce bias.</w:t>
      </w:r>
    </w:p>
    <w:p w:rsidR="00EA4DC5" w:rsidRPr="00C46F29" w:rsidRDefault="00EA0315">
      <w:pPr>
        <w:numPr>
          <w:ilvl w:val="0"/>
          <w:numId w:val="14"/>
        </w:numPr>
        <w:pBdr>
          <w:top w:val="nil"/>
          <w:left w:val="nil"/>
          <w:bottom w:val="nil"/>
          <w:right w:val="nil"/>
          <w:between w:val="nil"/>
        </w:pBdr>
        <w:rPr>
          <w:color w:val="000000"/>
          <w:sz w:val="24"/>
          <w:szCs w:val="24"/>
        </w:rPr>
      </w:pPr>
      <w:r w:rsidRPr="00C46F29">
        <w:rPr>
          <w:color w:val="000000"/>
          <w:sz w:val="24"/>
          <w:szCs w:val="24"/>
        </w:rPr>
        <w:t>Unobserved confounders (e.g., comorbidities) cannot be fully ruled out.</w:t>
      </w:r>
    </w:p>
    <w:p w:rsidR="00EA4DC5" w:rsidRPr="00C46F29" w:rsidRDefault="00EA0315">
      <w:pPr>
        <w:numPr>
          <w:ilvl w:val="0"/>
          <w:numId w:val="14"/>
        </w:numPr>
        <w:pBdr>
          <w:top w:val="nil"/>
          <w:left w:val="nil"/>
          <w:bottom w:val="nil"/>
          <w:right w:val="nil"/>
          <w:between w:val="nil"/>
        </w:pBdr>
        <w:rPr>
          <w:color w:val="000000"/>
          <w:sz w:val="24"/>
          <w:szCs w:val="24"/>
        </w:rPr>
      </w:pPr>
      <w:r w:rsidRPr="00C46F29">
        <w:rPr>
          <w:color w:val="000000"/>
          <w:sz w:val="24"/>
          <w:szCs w:val="24"/>
        </w:rPr>
        <w:t>Data is region-specific and may not represent all migrant groups.</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Future research should apply this framework to larger, multi-state datasets, other diseases (TB, dengue), and explore instrumental variable approaches for stronger identification.</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4DC5">
      <w:pPr>
        <w:pBdr>
          <w:top w:val="nil"/>
          <w:left w:val="nil"/>
          <w:bottom w:val="nil"/>
          <w:right w:val="nil"/>
          <w:between w:val="nil"/>
        </w:pBdr>
        <w:ind w:firstLine="0"/>
        <w:rPr>
          <w:sz w:val="24"/>
          <w:szCs w:val="24"/>
        </w:rPr>
      </w:pPr>
    </w:p>
    <w:p w:rsidR="00EA4DC5" w:rsidRPr="00C46F29" w:rsidRDefault="00EA4DC5">
      <w:pPr>
        <w:pBdr>
          <w:top w:val="nil"/>
          <w:left w:val="nil"/>
          <w:bottom w:val="nil"/>
          <w:right w:val="nil"/>
          <w:between w:val="nil"/>
        </w:pBdr>
        <w:ind w:firstLine="0"/>
        <w:rPr>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6. Conclusion and Future Scope</w:t>
      </w:r>
    </w:p>
    <w:p w:rsidR="00EA4DC5" w:rsidRPr="00C46F29" w:rsidRDefault="00EA4DC5">
      <w:pPr>
        <w:pBdr>
          <w:top w:val="nil"/>
          <w:left w:val="nil"/>
          <w:bottom w:val="nil"/>
          <w:right w:val="nil"/>
          <w:between w:val="nil"/>
        </w:pBdr>
        <w:ind w:firstLine="0"/>
        <w:rPr>
          <w:b/>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6.1 Conclusion</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This study applied causa</w:t>
      </w:r>
      <w:r w:rsidRPr="00C46F29">
        <w:rPr>
          <w:color w:val="000000"/>
          <w:sz w:val="24"/>
          <w:szCs w:val="24"/>
        </w:rPr>
        <w:t>l machine learning methods to investigate the impact of migration status on suspected COVID-19 risk in rural Indian communities. Unlike traditional machine learning models that focus primarily on prediction, our approach employed Inverse Probability Weight</w:t>
      </w:r>
      <w:r w:rsidRPr="00C46F29">
        <w:rPr>
          <w:color w:val="000000"/>
          <w:sz w:val="24"/>
          <w:szCs w:val="24"/>
        </w:rPr>
        <w:t>ing (IPW), Augmented IPW (AIPW), and Causal Forests to estimate the true causal effect of migration, while controlling for key confounders such as age, caste, household size, and socioeconomic status.</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The results were consistent across all estimation strat</w:t>
      </w:r>
      <w:r w:rsidRPr="00C46F29">
        <w:rPr>
          <w:color w:val="000000"/>
          <w:sz w:val="24"/>
          <w:szCs w:val="24"/>
        </w:rPr>
        <w:t>egies, showing that migration status increased the probability of suspected COVID-19 cases by 5–6 percentage points. Importantly, subgroup analysis revealed heterogeneity in effects, with the strongest impacts observed among low-income and marginalized cas</w:t>
      </w:r>
      <w:r w:rsidRPr="00C46F29">
        <w:rPr>
          <w:color w:val="000000"/>
          <w:sz w:val="24"/>
          <w:szCs w:val="24"/>
        </w:rPr>
        <w:t>te households, while higher-income groups were largely unaffected. These findings underscore the role of structural and socio-economic inequalities in shaping health outcomes during pandemics.</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The study contributes to both methodology and policy. Methodologically, it demonstrates the utility of causal ML techniques in public health research, bridging the gap between correlation and causation. From a policy perspective, the findings highlight the</w:t>
      </w:r>
      <w:r w:rsidRPr="00C46F29">
        <w:rPr>
          <w:color w:val="000000"/>
          <w:sz w:val="24"/>
          <w:szCs w:val="24"/>
        </w:rPr>
        <w:t xml:space="preserve"> urgent need for targeted interventions for migrant communities, such as improved healthcare access, safer working conditions, and stronger social support systems.</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In essence, migration is not just correlated with increased health risk but acts as a causal</w:t>
      </w:r>
      <w:r w:rsidRPr="00C46F29">
        <w:rPr>
          <w:color w:val="000000"/>
          <w:sz w:val="24"/>
          <w:szCs w:val="24"/>
        </w:rPr>
        <w:t xml:space="preserve"> driver of vulnerability—a conclusion that carries significant weight for both researchers and policymakers.</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6.2 Future Scope</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While this study provides important insights, it also opens avenues for further research and application:</w:t>
      </w:r>
    </w:p>
    <w:p w:rsidR="00EA4DC5" w:rsidRPr="00C46F29" w:rsidRDefault="00EA0315">
      <w:pPr>
        <w:numPr>
          <w:ilvl w:val="0"/>
          <w:numId w:val="15"/>
        </w:numPr>
        <w:pBdr>
          <w:top w:val="nil"/>
          <w:left w:val="nil"/>
          <w:bottom w:val="nil"/>
          <w:right w:val="nil"/>
          <w:between w:val="nil"/>
        </w:pBdr>
        <w:jc w:val="left"/>
        <w:rPr>
          <w:color w:val="000000"/>
          <w:sz w:val="24"/>
          <w:szCs w:val="24"/>
        </w:rPr>
      </w:pPr>
      <w:r w:rsidRPr="00C46F29">
        <w:rPr>
          <w:b/>
          <w:color w:val="000000"/>
          <w:sz w:val="24"/>
          <w:szCs w:val="24"/>
        </w:rPr>
        <w:t>Expanding Data Coverage</w:t>
      </w:r>
      <w:proofErr w:type="gramStart"/>
      <w:r w:rsidRPr="00C46F29">
        <w:rPr>
          <w:b/>
          <w:color w:val="000000"/>
          <w:sz w:val="24"/>
          <w:szCs w:val="24"/>
        </w:rPr>
        <w:t>:</w:t>
      </w:r>
      <w:proofErr w:type="gramEnd"/>
      <w:r w:rsidRPr="00C46F29">
        <w:rPr>
          <w:color w:val="000000"/>
          <w:sz w:val="24"/>
          <w:szCs w:val="24"/>
        </w:rPr>
        <w:br/>
        <w:t>The dataset used in this study is region-specific. Future research should extend to multi-state or national-level surveys to enhance generalizability. This would allow policymakers to design interventions applicable across diverse rural contexts.</w:t>
      </w:r>
    </w:p>
    <w:p w:rsidR="00EA4DC5" w:rsidRPr="00C46F29" w:rsidRDefault="00EA0315">
      <w:pPr>
        <w:numPr>
          <w:ilvl w:val="0"/>
          <w:numId w:val="15"/>
        </w:numPr>
        <w:pBdr>
          <w:top w:val="nil"/>
          <w:left w:val="nil"/>
          <w:bottom w:val="nil"/>
          <w:right w:val="nil"/>
          <w:between w:val="nil"/>
        </w:pBdr>
        <w:jc w:val="left"/>
        <w:rPr>
          <w:color w:val="000000"/>
          <w:sz w:val="24"/>
          <w:szCs w:val="24"/>
        </w:rPr>
      </w:pPr>
      <w:r w:rsidRPr="00C46F29">
        <w:rPr>
          <w:b/>
          <w:color w:val="000000"/>
          <w:sz w:val="24"/>
          <w:szCs w:val="24"/>
        </w:rPr>
        <w:t>Integra</w:t>
      </w:r>
      <w:r w:rsidRPr="00C46F29">
        <w:rPr>
          <w:b/>
          <w:color w:val="000000"/>
          <w:sz w:val="24"/>
          <w:szCs w:val="24"/>
        </w:rPr>
        <w:t>tion with Longitudinal Data</w:t>
      </w:r>
      <w:proofErr w:type="gramStart"/>
      <w:r w:rsidRPr="00C46F29">
        <w:rPr>
          <w:b/>
          <w:color w:val="000000"/>
          <w:sz w:val="24"/>
          <w:szCs w:val="24"/>
        </w:rPr>
        <w:t>:</w:t>
      </w:r>
      <w:proofErr w:type="gramEnd"/>
      <w:r w:rsidRPr="00C46F29">
        <w:rPr>
          <w:color w:val="000000"/>
          <w:sz w:val="24"/>
          <w:szCs w:val="24"/>
        </w:rPr>
        <w:br/>
        <w:t>The present study captures a snapshot during the pandemic. Longitudinal datasets tracking migrant households across different waves of COVID-19 (or other crises) would allow researchers to measure dynamic causal effects over ti</w:t>
      </w:r>
      <w:r w:rsidRPr="00C46F29">
        <w:rPr>
          <w:color w:val="000000"/>
          <w:sz w:val="24"/>
          <w:szCs w:val="24"/>
        </w:rPr>
        <w:t>me.</w:t>
      </w:r>
    </w:p>
    <w:p w:rsidR="00EA4DC5" w:rsidRPr="00C46F29" w:rsidRDefault="00EA0315">
      <w:pPr>
        <w:numPr>
          <w:ilvl w:val="0"/>
          <w:numId w:val="15"/>
        </w:numPr>
        <w:pBdr>
          <w:top w:val="nil"/>
          <w:left w:val="nil"/>
          <w:bottom w:val="nil"/>
          <w:right w:val="nil"/>
          <w:between w:val="nil"/>
        </w:pBdr>
        <w:jc w:val="left"/>
        <w:rPr>
          <w:color w:val="000000"/>
          <w:sz w:val="24"/>
          <w:szCs w:val="24"/>
        </w:rPr>
      </w:pPr>
      <w:r w:rsidRPr="00C46F29">
        <w:rPr>
          <w:b/>
          <w:color w:val="000000"/>
          <w:sz w:val="24"/>
          <w:szCs w:val="24"/>
        </w:rPr>
        <w:t>Application to Other Diseases</w:t>
      </w:r>
      <w:proofErr w:type="gramStart"/>
      <w:r w:rsidRPr="00C46F29">
        <w:rPr>
          <w:b/>
          <w:color w:val="000000"/>
          <w:sz w:val="24"/>
          <w:szCs w:val="24"/>
        </w:rPr>
        <w:t>:</w:t>
      </w:r>
      <w:proofErr w:type="gramEnd"/>
      <w:r w:rsidRPr="00C46F29">
        <w:rPr>
          <w:color w:val="000000"/>
          <w:sz w:val="24"/>
          <w:szCs w:val="24"/>
        </w:rPr>
        <w:br/>
        <w:t>Migrants face vulnerabilities not only to COVID-19 but also to infectious diseases like tuberculosis, dengue, and malaria. Applying causal ML frameworks to these conditions could provide a more holistic understanding of m</w:t>
      </w:r>
      <w:r w:rsidRPr="00C46F29">
        <w:rPr>
          <w:color w:val="000000"/>
          <w:sz w:val="24"/>
          <w:szCs w:val="24"/>
        </w:rPr>
        <w:t>igrant health risks.</w:t>
      </w:r>
    </w:p>
    <w:p w:rsidR="00EA4DC5" w:rsidRPr="00C46F29" w:rsidRDefault="00EA0315">
      <w:pPr>
        <w:numPr>
          <w:ilvl w:val="0"/>
          <w:numId w:val="15"/>
        </w:numPr>
        <w:pBdr>
          <w:top w:val="nil"/>
          <w:left w:val="nil"/>
          <w:bottom w:val="nil"/>
          <w:right w:val="nil"/>
          <w:between w:val="nil"/>
        </w:pBdr>
        <w:jc w:val="left"/>
        <w:rPr>
          <w:color w:val="000000"/>
          <w:sz w:val="24"/>
          <w:szCs w:val="24"/>
        </w:rPr>
      </w:pPr>
      <w:r w:rsidRPr="00C46F29">
        <w:rPr>
          <w:b/>
          <w:color w:val="000000"/>
          <w:sz w:val="24"/>
          <w:szCs w:val="24"/>
        </w:rPr>
        <w:t>Advanced Causal Techniques</w:t>
      </w:r>
      <w:proofErr w:type="gramStart"/>
      <w:r w:rsidRPr="00C46F29">
        <w:rPr>
          <w:b/>
          <w:color w:val="000000"/>
          <w:sz w:val="24"/>
          <w:szCs w:val="24"/>
        </w:rPr>
        <w:t>:</w:t>
      </w:r>
      <w:proofErr w:type="gramEnd"/>
      <w:r w:rsidRPr="00C46F29">
        <w:rPr>
          <w:color w:val="000000"/>
          <w:sz w:val="24"/>
          <w:szCs w:val="24"/>
        </w:rPr>
        <w:br/>
        <w:t xml:space="preserve">Future work could explore instrumental variables (IV) (e.g., distance to urban </w:t>
      </w:r>
      <w:proofErr w:type="spellStart"/>
      <w:r w:rsidRPr="00C46F29">
        <w:rPr>
          <w:color w:val="000000"/>
          <w:sz w:val="24"/>
          <w:szCs w:val="24"/>
        </w:rPr>
        <w:t>centers</w:t>
      </w:r>
      <w:proofErr w:type="spellEnd"/>
      <w:r w:rsidRPr="00C46F29">
        <w:rPr>
          <w:color w:val="000000"/>
          <w:sz w:val="24"/>
          <w:szCs w:val="24"/>
        </w:rPr>
        <w:t>, state migration policies) to further reduce bias from unobserved confounders. Similarly, causal discovery algorithms co</w:t>
      </w:r>
      <w:r w:rsidRPr="00C46F29">
        <w:rPr>
          <w:color w:val="000000"/>
          <w:sz w:val="24"/>
          <w:szCs w:val="24"/>
        </w:rPr>
        <w:t>uld be applied to uncover unknown relationships in health data.</w:t>
      </w:r>
    </w:p>
    <w:p w:rsidR="00EA4DC5" w:rsidRPr="00C46F29" w:rsidRDefault="00EA0315">
      <w:pPr>
        <w:numPr>
          <w:ilvl w:val="0"/>
          <w:numId w:val="15"/>
        </w:numPr>
        <w:pBdr>
          <w:top w:val="nil"/>
          <w:left w:val="nil"/>
          <w:bottom w:val="nil"/>
          <w:right w:val="nil"/>
          <w:between w:val="nil"/>
        </w:pBdr>
        <w:jc w:val="left"/>
        <w:rPr>
          <w:color w:val="000000"/>
          <w:sz w:val="24"/>
          <w:szCs w:val="24"/>
        </w:rPr>
      </w:pPr>
      <w:r w:rsidRPr="00C46F29">
        <w:rPr>
          <w:b/>
          <w:color w:val="000000"/>
          <w:sz w:val="24"/>
          <w:szCs w:val="24"/>
        </w:rPr>
        <w:t>Real-Time Causal Monitoring</w:t>
      </w:r>
      <w:proofErr w:type="gramStart"/>
      <w:r w:rsidRPr="00C46F29">
        <w:rPr>
          <w:b/>
          <w:color w:val="000000"/>
          <w:sz w:val="24"/>
          <w:szCs w:val="24"/>
        </w:rPr>
        <w:t>:</w:t>
      </w:r>
      <w:proofErr w:type="gramEnd"/>
      <w:r w:rsidRPr="00C46F29">
        <w:rPr>
          <w:color w:val="000000"/>
          <w:sz w:val="24"/>
          <w:szCs w:val="24"/>
        </w:rPr>
        <w:br/>
        <w:t>With the increasing availability of mobile health data and digital surveillance systems, real-time causal inference models could be developed to provide early warn</w:t>
      </w:r>
      <w:r w:rsidRPr="00C46F29">
        <w:rPr>
          <w:color w:val="000000"/>
          <w:sz w:val="24"/>
          <w:szCs w:val="24"/>
        </w:rPr>
        <w:t>ings for outbreaks among vulnerable groups like migrants.</w:t>
      </w:r>
    </w:p>
    <w:p w:rsidR="00EA4DC5" w:rsidRPr="00C46F29" w:rsidRDefault="00EA0315">
      <w:pPr>
        <w:numPr>
          <w:ilvl w:val="0"/>
          <w:numId w:val="15"/>
        </w:numPr>
        <w:pBdr>
          <w:top w:val="nil"/>
          <w:left w:val="nil"/>
          <w:bottom w:val="nil"/>
          <w:right w:val="nil"/>
          <w:between w:val="nil"/>
        </w:pBdr>
        <w:jc w:val="left"/>
        <w:rPr>
          <w:color w:val="000000"/>
          <w:sz w:val="24"/>
          <w:szCs w:val="24"/>
        </w:rPr>
      </w:pPr>
      <w:r w:rsidRPr="00C46F29">
        <w:rPr>
          <w:b/>
          <w:color w:val="000000"/>
          <w:sz w:val="24"/>
          <w:szCs w:val="24"/>
        </w:rPr>
        <w:t>Policy Simulation Models</w:t>
      </w:r>
      <w:proofErr w:type="gramStart"/>
      <w:r w:rsidRPr="00C46F29">
        <w:rPr>
          <w:b/>
          <w:color w:val="000000"/>
          <w:sz w:val="24"/>
          <w:szCs w:val="24"/>
        </w:rPr>
        <w:t>:</w:t>
      </w:r>
      <w:proofErr w:type="gramEnd"/>
      <w:r w:rsidRPr="00C46F29">
        <w:rPr>
          <w:color w:val="000000"/>
          <w:sz w:val="24"/>
          <w:szCs w:val="24"/>
        </w:rPr>
        <w:br/>
        <w:t xml:space="preserve">Combining causal ML with simulation approaches (e.g., agent-based </w:t>
      </w:r>
      <w:proofErr w:type="spellStart"/>
      <w:r w:rsidRPr="00C46F29">
        <w:rPr>
          <w:color w:val="000000"/>
          <w:sz w:val="24"/>
          <w:szCs w:val="24"/>
        </w:rPr>
        <w:t>modeling</w:t>
      </w:r>
      <w:proofErr w:type="spellEnd"/>
      <w:r w:rsidRPr="00C46F29">
        <w:rPr>
          <w:color w:val="000000"/>
          <w:sz w:val="24"/>
          <w:szCs w:val="24"/>
        </w:rPr>
        <w:t xml:space="preserve">) could help policymakers test hypothetical interventions—such as improving housing conditions or </w:t>
      </w:r>
      <w:r w:rsidRPr="00C46F29">
        <w:rPr>
          <w:color w:val="000000"/>
          <w:sz w:val="24"/>
          <w:szCs w:val="24"/>
        </w:rPr>
        <w:t>increasing healthcare accessibility—before implementation in the real world.</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b/>
          <w:color w:val="000000"/>
          <w:sz w:val="24"/>
          <w:szCs w:val="24"/>
        </w:rPr>
      </w:pPr>
      <w:r w:rsidRPr="00C46F29">
        <w:rPr>
          <w:b/>
          <w:color w:val="000000"/>
          <w:sz w:val="24"/>
          <w:szCs w:val="24"/>
        </w:rPr>
        <w:t>6.3 Closing Statement</w:t>
      </w:r>
    </w:p>
    <w:p w:rsidR="00EA4DC5" w:rsidRPr="00C46F29" w:rsidRDefault="00EA0315">
      <w:pPr>
        <w:pBdr>
          <w:top w:val="nil"/>
          <w:left w:val="nil"/>
          <w:bottom w:val="nil"/>
          <w:right w:val="nil"/>
          <w:between w:val="nil"/>
        </w:pBdr>
        <w:ind w:firstLine="0"/>
        <w:rPr>
          <w:color w:val="000000"/>
          <w:sz w:val="24"/>
          <w:szCs w:val="24"/>
        </w:rPr>
      </w:pPr>
      <w:r w:rsidRPr="00C46F29">
        <w:rPr>
          <w:color w:val="000000"/>
          <w:sz w:val="24"/>
          <w:szCs w:val="24"/>
        </w:rPr>
        <w:t>By combining rigorous causal inference with machine learning, this research highlights both the scientific importance of identifying true causal relationshi</w:t>
      </w:r>
      <w:r w:rsidRPr="00C46F29">
        <w:rPr>
          <w:color w:val="000000"/>
          <w:sz w:val="24"/>
          <w:szCs w:val="24"/>
        </w:rPr>
        <w:t>ps and the practical necessity of addressing structural inequities. The findings provide a strong foundation for future studies and offer actionable insights for building more resilient and equitable public health systems.</w:t>
      </w: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4DC5">
      <w:pPr>
        <w:pBdr>
          <w:top w:val="nil"/>
          <w:left w:val="nil"/>
          <w:bottom w:val="nil"/>
          <w:right w:val="nil"/>
          <w:between w:val="nil"/>
        </w:pBdr>
        <w:ind w:firstLine="0"/>
        <w:rPr>
          <w:color w:val="000000"/>
          <w:sz w:val="24"/>
          <w:szCs w:val="24"/>
        </w:rPr>
      </w:pPr>
    </w:p>
    <w:p w:rsidR="00EA4DC5" w:rsidRPr="00C46F29" w:rsidRDefault="00EA0315">
      <w:pPr>
        <w:pBdr>
          <w:top w:val="nil"/>
          <w:left w:val="nil"/>
          <w:bottom w:val="nil"/>
          <w:right w:val="nil"/>
          <w:between w:val="nil"/>
        </w:pBdr>
        <w:ind w:firstLine="0"/>
        <w:rPr>
          <w:color w:val="000000"/>
          <w:sz w:val="24"/>
          <w:szCs w:val="24"/>
        </w:rPr>
      </w:pPr>
      <w:r w:rsidRPr="00C46F29">
        <w:rPr>
          <w:b/>
          <w:color w:val="000000"/>
          <w:sz w:val="24"/>
          <w:szCs w:val="24"/>
        </w:rPr>
        <w:t>References</w:t>
      </w:r>
    </w:p>
    <w:p w:rsidR="00EA4DC5" w:rsidRPr="00C46F29" w:rsidRDefault="00EA0315" w:rsidP="00C46F29">
      <w:pPr>
        <w:numPr>
          <w:ilvl w:val="0"/>
          <w:numId w:val="21"/>
        </w:numPr>
        <w:pBdr>
          <w:top w:val="nil"/>
          <w:left w:val="nil"/>
          <w:bottom w:val="nil"/>
          <w:right w:val="nil"/>
          <w:between w:val="nil"/>
        </w:pBdr>
        <w:rPr>
          <w:color w:val="000000"/>
          <w:sz w:val="24"/>
          <w:szCs w:val="24"/>
        </w:rPr>
      </w:pPr>
      <w:proofErr w:type="spellStart"/>
      <w:r w:rsidRPr="00C46F29">
        <w:rPr>
          <w:color w:val="000000"/>
          <w:sz w:val="24"/>
          <w:szCs w:val="24"/>
        </w:rPr>
        <w:t>Sujath</w:t>
      </w:r>
      <w:proofErr w:type="spellEnd"/>
      <w:r w:rsidRPr="00C46F29">
        <w:rPr>
          <w:color w:val="000000"/>
          <w:sz w:val="24"/>
          <w:szCs w:val="24"/>
        </w:rPr>
        <w:t xml:space="preserve">, R., et al. (2020). COVID-19 patient health prediction using boosted random forest algorithm. </w:t>
      </w:r>
      <w:r w:rsidRPr="00C46F29">
        <w:rPr>
          <w:i/>
          <w:color w:val="000000"/>
          <w:sz w:val="24"/>
          <w:szCs w:val="24"/>
        </w:rPr>
        <w:t>Frontiers in Public Health</w:t>
      </w:r>
      <w:r w:rsidRPr="00C46F29">
        <w:rPr>
          <w:color w:val="000000"/>
          <w:sz w:val="24"/>
          <w:szCs w:val="24"/>
        </w:rPr>
        <w:t xml:space="preserve">, </w:t>
      </w:r>
      <w:r w:rsidRPr="00C46F29">
        <w:rPr>
          <w:i/>
          <w:color w:val="000000"/>
          <w:sz w:val="24"/>
          <w:szCs w:val="24"/>
        </w:rPr>
        <w:t>8</w:t>
      </w:r>
      <w:r w:rsidRPr="00C46F29">
        <w:rPr>
          <w:color w:val="000000"/>
          <w:sz w:val="24"/>
          <w:szCs w:val="24"/>
        </w:rPr>
        <w:t>, 357.</w:t>
      </w:r>
    </w:p>
    <w:p w:rsidR="00EA4DC5" w:rsidRPr="00C46F29" w:rsidRDefault="00EA0315" w:rsidP="00C46F29">
      <w:pPr>
        <w:numPr>
          <w:ilvl w:val="0"/>
          <w:numId w:val="21"/>
        </w:numPr>
        <w:pBdr>
          <w:top w:val="nil"/>
          <w:left w:val="nil"/>
          <w:bottom w:val="nil"/>
          <w:right w:val="nil"/>
          <w:between w:val="nil"/>
        </w:pBdr>
        <w:rPr>
          <w:color w:val="000000"/>
          <w:sz w:val="24"/>
          <w:szCs w:val="24"/>
        </w:rPr>
      </w:pPr>
      <w:r w:rsidRPr="00C46F29">
        <w:rPr>
          <w:color w:val="000000"/>
          <w:sz w:val="24"/>
          <w:szCs w:val="24"/>
        </w:rPr>
        <w:t>Ibrahim, S. I., &amp; El-</w:t>
      </w:r>
      <w:proofErr w:type="spellStart"/>
      <w:r w:rsidRPr="00C46F29">
        <w:rPr>
          <w:color w:val="000000"/>
          <w:sz w:val="24"/>
          <w:szCs w:val="24"/>
        </w:rPr>
        <w:t>Kafrawy</w:t>
      </w:r>
      <w:proofErr w:type="spellEnd"/>
      <w:r w:rsidRPr="00C46F29">
        <w:rPr>
          <w:color w:val="000000"/>
          <w:sz w:val="24"/>
          <w:szCs w:val="24"/>
        </w:rPr>
        <w:t xml:space="preserve">, S. M. (2021). A study of using machine learning in predicting COVID-19 cases. </w:t>
      </w:r>
      <w:proofErr w:type="spellStart"/>
      <w:r w:rsidRPr="00C46F29">
        <w:rPr>
          <w:i/>
          <w:color w:val="000000"/>
          <w:sz w:val="24"/>
          <w:szCs w:val="24"/>
        </w:rPr>
        <w:t>ResearchGat</w:t>
      </w:r>
      <w:r w:rsidRPr="00C46F29">
        <w:rPr>
          <w:i/>
          <w:color w:val="000000"/>
          <w:sz w:val="24"/>
          <w:szCs w:val="24"/>
        </w:rPr>
        <w:t>e</w:t>
      </w:r>
      <w:proofErr w:type="spellEnd"/>
      <w:r w:rsidRPr="00C46F29">
        <w:rPr>
          <w:color w:val="000000"/>
          <w:sz w:val="24"/>
          <w:szCs w:val="24"/>
        </w:rPr>
        <w:t>.</w:t>
      </w:r>
    </w:p>
    <w:p w:rsidR="00EA4DC5" w:rsidRPr="00C46F29" w:rsidRDefault="00EA0315" w:rsidP="00C46F29">
      <w:pPr>
        <w:numPr>
          <w:ilvl w:val="0"/>
          <w:numId w:val="21"/>
        </w:numPr>
        <w:pBdr>
          <w:top w:val="nil"/>
          <w:left w:val="nil"/>
          <w:bottom w:val="nil"/>
          <w:right w:val="nil"/>
          <w:between w:val="nil"/>
        </w:pBdr>
        <w:rPr>
          <w:color w:val="000000"/>
          <w:sz w:val="24"/>
          <w:szCs w:val="24"/>
        </w:rPr>
      </w:pPr>
      <w:proofErr w:type="spellStart"/>
      <w:r w:rsidRPr="00C46F29">
        <w:rPr>
          <w:color w:val="000000"/>
          <w:sz w:val="24"/>
          <w:szCs w:val="24"/>
        </w:rPr>
        <w:t>Spirtes</w:t>
      </w:r>
      <w:proofErr w:type="spellEnd"/>
      <w:r w:rsidRPr="00C46F29">
        <w:rPr>
          <w:color w:val="000000"/>
          <w:sz w:val="24"/>
          <w:szCs w:val="24"/>
        </w:rPr>
        <w:t xml:space="preserve">, P., </w:t>
      </w:r>
      <w:proofErr w:type="spellStart"/>
      <w:r w:rsidRPr="00C46F29">
        <w:rPr>
          <w:color w:val="000000"/>
          <w:sz w:val="24"/>
          <w:szCs w:val="24"/>
        </w:rPr>
        <w:t>Glymour</w:t>
      </w:r>
      <w:proofErr w:type="spellEnd"/>
      <w:r w:rsidRPr="00C46F29">
        <w:rPr>
          <w:color w:val="000000"/>
          <w:sz w:val="24"/>
          <w:szCs w:val="24"/>
        </w:rPr>
        <w:t xml:space="preserve">, C., &amp; </w:t>
      </w:r>
      <w:proofErr w:type="spellStart"/>
      <w:r w:rsidRPr="00C46F29">
        <w:rPr>
          <w:color w:val="000000"/>
          <w:sz w:val="24"/>
          <w:szCs w:val="24"/>
        </w:rPr>
        <w:t>Scheines</w:t>
      </w:r>
      <w:proofErr w:type="spellEnd"/>
      <w:r w:rsidRPr="00C46F29">
        <w:rPr>
          <w:color w:val="000000"/>
          <w:sz w:val="24"/>
          <w:szCs w:val="24"/>
        </w:rPr>
        <w:t xml:space="preserve">, R. (1993). </w:t>
      </w:r>
      <w:r w:rsidRPr="00C46F29">
        <w:rPr>
          <w:i/>
          <w:color w:val="000000"/>
          <w:sz w:val="24"/>
          <w:szCs w:val="24"/>
        </w:rPr>
        <w:t>Causation, prediction, and search</w:t>
      </w:r>
      <w:r w:rsidRPr="00C46F29">
        <w:rPr>
          <w:color w:val="000000"/>
          <w:sz w:val="24"/>
          <w:szCs w:val="24"/>
        </w:rPr>
        <w:t>. Springer.</w:t>
      </w:r>
    </w:p>
    <w:p w:rsidR="00EA4DC5" w:rsidRPr="00C46F29" w:rsidRDefault="00EA0315" w:rsidP="00C46F29">
      <w:pPr>
        <w:numPr>
          <w:ilvl w:val="0"/>
          <w:numId w:val="21"/>
        </w:numPr>
        <w:pBdr>
          <w:top w:val="nil"/>
          <w:left w:val="nil"/>
          <w:bottom w:val="nil"/>
          <w:right w:val="nil"/>
          <w:between w:val="nil"/>
        </w:pBdr>
        <w:rPr>
          <w:color w:val="000000"/>
          <w:sz w:val="24"/>
          <w:szCs w:val="24"/>
        </w:rPr>
      </w:pPr>
      <w:r w:rsidRPr="00C46F29">
        <w:rPr>
          <w:color w:val="000000"/>
          <w:sz w:val="24"/>
          <w:szCs w:val="24"/>
        </w:rPr>
        <w:t xml:space="preserve">Scutari, M. (2021). </w:t>
      </w:r>
      <w:r w:rsidRPr="00C46F29">
        <w:rPr>
          <w:i/>
          <w:color w:val="000000"/>
          <w:sz w:val="24"/>
          <w:szCs w:val="24"/>
        </w:rPr>
        <w:t>Bayesian networks: With examples in R</w:t>
      </w:r>
      <w:r w:rsidRPr="00C46F29">
        <w:rPr>
          <w:color w:val="000000"/>
          <w:sz w:val="24"/>
          <w:szCs w:val="24"/>
        </w:rPr>
        <w:t>. Chapman and Hall/CRC.</w:t>
      </w:r>
    </w:p>
    <w:p w:rsidR="00EA4DC5" w:rsidRPr="00C46F29" w:rsidRDefault="00EA0315" w:rsidP="00C46F29">
      <w:pPr>
        <w:numPr>
          <w:ilvl w:val="0"/>
          <w:numId w:val="21"/>
        </w:numPr>
        <w:pBdr>
          <w:top w:val="nil"/>
          <w:left w:val="nil"/>
          <w:bottom w:val="nil"/>
          <w:right w:val="nil"/>
          <w:between w:val="nil"/>
        </w:pBdr>
        <w:rPr>
          <w:color w:val="000000"/>
          <w:sz w:val="24"/>
          <w:szCs w:val="24"/>
        </w:rPr>
      </w:pPr>
      <w:proofErr w:type="spellStart"/>
      <w:r w:rsidRPr="00C46F29">
        <w:rPr>
          <w:color w:val="000000"/>
          <w:sz w:val="24"/>
          <w:szCs w:val="24"/>
        </w:rPr>
        <w:t>Festa</w:t>
      </w:r>
      <w:proofErr w:type="spellEnd"/>
      <w:r w:rsidRPr="00C46F29">
        <w:rPr>
          <w:color w:val="000000"/>
          <w:sz w:val="24"/>
          <w:szCs w:val="24"/>
        </w:rPr>
        <w:t xml:space="preserve">, R., et al. (2022). A causal learning framework for the analysis and interpretation of COVID-19 clinical data. </w:t>
      </w:r>
      <w:proofErr w:type="spellStart"/>
      <w:r w:rsidRPr="00C46F29">
        <w:rPr>
          <w:i/>
          <w:color w:val="000000"/>
          <w:sz w:val="24"/>
          <w:szCs w:val="24"/>
        </w:rPr>
        <w:t>PLoS</w:t>
      </w:r>
      <w:proofErr w:type="spellEnd"/>
      <w:r w:rsidRPr="00C46F29">
        <w:rPr>
          <w:i/>
          <w:color w:val="000000"/>
          <w:sz w:val="24"/>
          <w:szCs w:val="24"/>
        </w:rPr>
        <w:t xml:space="preserve"> ONE</w:t>
      </w:r>
      <w:r w:rsidRPr="00C46F29">
        <w:rPr>
          <w:color w:val="000000"/>
          <w:sz w:val="24"/>
          <w:szCs w:val="24"/>
        </w:rPr>
        <w:t xml:space="preserve">, </w:t>
      </w:r>
      <w:r w:rsidRPr="00C46F29">
        <w:rPr>
          <w:i/>
          <w:color w:val="000000"/>
          <w:sz w:val="24"/>
          <w:szCs w:val="24"/>
        </w:rPr>
        <w:t>17</w:t>
      </w:r>
      <w:r w:rsidRPr="00C46F29">
        <w:rPr>
          <w:color w:val="000000"/>
          <w:sz w:val="24"/>
          <w:szCs w:val="24"/>
        </w:rPr>
        <w:t>(5), e0268327.</w:t>
      </w:r>
    </w:p>
    <w:p w:rsidR="00EA4DC5" w:rsidRPr="00C46F29" w:rsidRDefault="00EA0315" w:rsidP="00C46F29">
      <w:pPr>
        <w:numPr>
          <w:ilvl w:val="0"/>
          <w:numId w:val="21"/>
        </w:numPr>
        <w:pBdr>
          <w:top w:val="nil"/>
          <w:left w:val="nil"/>
          <w:bottom w:val="nil"/>
          <w:right w:val="nil"/>
          <w:between w:val="nil"/>
        </w:pBdr>
        <w:rPr>
          <w:color w:val="000000"/>
          <w:sz w:val="24"/>
          <w:szCs w:val="24"/>
        </w:rPr>
      </w:pPr>
      <w:proofErr w:type="spellStart"/>
      <w:r w:rsidRPr="00C46F29">
        <w:rPr>
          <w:color w:val="000000"/>
          <w:sz w:val="24"/>
          <w:szCs w:val="24"/>
        </w:rPr>
        <w:t>Gushulak</w:t>
      </w:r>
      <w:proofErr w:type="spellEnd"/>
      <w:r w:rsidRPr="00C46F29">
        <w:rPr>
          <w:color w:val="000000"/>
          <w:sz w:val="24"/>
          <w:szCs w:val="24"/>
        </w:rPr>
        <w:t>, B. D., &amp; MacPherson, D. W. (2011). Globalization of infectious diseases: The role of travel and migrat</w:t>
      </w:r>
      <w:r w:rsidRPr="00C46F29">
        <w:rPr>
          <w:color w:val="000000"/>
          <w:sz w:val="24"/>
          <w:szCs w:val="24"/>
        </w:rPr>
        <w:t xml:space="preserve">ion. </w:t>
      </w:r>
      <w:r w:rsidRPr="00C46F29">
        <w:rPr>
          <w:i/>
          <w:color w:val="000000"/>
          <w:sz w:val="24"/>
          <w:szCs w:val="24"/>
        </w:rPr>
        <w:t>Infectious Disease Clinics of North America</w:t>
      </w:r>
      <w:r w:rsidRPr="00C46F29">
        <w:rPr>
          <w:color w:val="000000"/>
          <w:sz w:val="24"/>
          <w:szCs w:val="24"/>
        </w:rPr>
        <w:t xml:space="preserve">, </w:t>
      </w:r>
      <w:r w:rsidRPr="00C46F29">
        <w:rPr>
          <w:i/>
          <w:color w:val="000000"/>
          <w:sz w:val="24"/>
          <w:szCs w:val="24"/>
        </w:rPr>
        <w:t>25</w:t>
      </w:r>
      <w:r w:rsidRPr="00C46F29">
        <w:rPr>
          <w:color w:val="000000"/>
          <w:sz w:val="24"/>
          <w:szCs w:val="24"/>
        </w:rPr>
        <w:t>(3), 537-553.</w:t>
      </w:r>
    </w:p>
    <w:p w:rsidR="00EA4DC5" w:rsidRPr="00C46F29" w:rsidRDefault="00EA0315" w:rsidP="00C46F29">
      <w:pPr>
        <w:numPr>
          <w:ilvl w:val="0"/>
          <w:numId w:val="21"/>
        </w:numPr>
        <w:pBdr>
          <w:top w:val="nil"/>
          <w:left w:val="nil"/>
          <w:bottom w:val="nil"/>
          <w:right w:val="nil"/>
          <w:between w:val="nil"/>
        </w:pBdr>
        <w:rPr>
          <w:color w:val="000000"/>
          <w:sz w:val="24"/>
          <w:szCs w:val="24"/>
        </w:rPr>
      </w:pPr>
      <w:r w:rsidRPr="00C46F29">
        <w:rPr>
          <w:color w:val="000000"/>
          <w:sz w:val="24"/>
          <w:szCs w:val="24"/>
        </w:rPr>
        <w:t xml:space="preserve">Del </w:t>
      </w:r>
      <w:proofErr w:type="spellStart"/>
      <w:r w:rsidRPr="00C46F29">
        <w:rPr>
          <w:color w:val="000000"/>
          <w:sz w:val="24"/>
          <w:szCs w:val="24"/>
        </w:rPr>
        <w:t>Sole</w:t>
      </w:r>
      <w:proofErr w:type="spellEnd"/>
      <w:r w:rsidRPr="00C46F29">
        <w:rPr>
          <w:color w:val="000000"/>
          <w:sz w:val="24"/>
          <w:szCs w:val="24"/>
        </w:rPr>
        <w:t xml:space="preserve">, F., et al. (2020). Features of severe COVID-19: A systematic review and meta-analysis. </w:t>
      </w:r>
      <w:r w:rsidRPr="00C46F29">
        <w:rPr>
          <w:i/>
          <w:color w:val="000000"/>
          <w:sz w:val="24"/>
          <w:szCs w:val="24"/>
        </w:rPr>
        <w:t>European Journal of Clinical Investigation</w:t>
      </w:r>
      <w:r w:rsidRPr="00C46F29">
        <w:rPr>
          <w:color w:val="000000"/>
          <w:sz w:val="24"/>
          <w:szCs w:val="24"/>
        </w:rPr>
        <w:t xml:space="preserve">, </w:t>
      </w:r>
      <w:r w:rsidRPr="00C46F29">
        <w:rPr>
          <w:i/>
          <w:color w:val="000000"/>
          <w:sz w:val="24"/>
          <w:szCs w:val="24"/>
        </w:rPr>
        <w:t>50</w:t>
      </w:r>
      <w:r w:rsidRPr="00C46F29">
        <w:rPr>
          <w:color w:val="000000"/>
          <w:sz w:val="24"/>
          <w:szCs w:val="24"/>
        </w:rPr>
        <w:t>(9), e13378.</w:t>
      </w:r>
    </w:p>
    <w:p w:rsidR="00EA4DC5" w:rsidRPr="00C46F29" w:rsidRDefault="00EA0315" w:rsidP="00C46F29">
      <w:pPr>
        <w:numPr>
          <w:ilvl w:val="0"/>
          <w:numId w:val="21"/>
        </w:numPr>
        <w:pBdr>
          <w:top w:val="nil"/>
          <w:left w:val="nil"/>
          <w:bottom w:val="nil"/>
          <w:right w:val="nil"/>
          <w:between w:val="nil"/>
        </w:pBdr>
        <w:rPr>
          <w:color w:val="000000"/>
          <w:sz w:val="24"/>
          <w:szCs w:val="24"/>
        </w:rPr>
      </w:pPr>
      <w:proofErr w:type="spellStart"/>
      <w:r w:rsidRPr="00C46F29">
        <w:rPr>
          <w:color w:val="000000"/>
          <w:sz w:val="24"/>
          <w:szCs w:val="24"/>
        </w:rPr>
        <w:t>Rechel</w:t>
      </w:r>
      <w:proofErr w:type="spellEnd"/>
      <w:r w:rsidRPr="00C46F29">
        <w:rPr>
          <w:color w:val="000000"/>
          <w:sz w:val="24"/>
          <w:szCs w:val="24"/>
        </w:rPr>
        <w:t xml:space="preserve">, B., et al. (2013). </w:t>
      </w:r>
      <w:r w:rsidRPr="00C46F29">
        <w:rPr>
          <w:i/>
          <w:color w:val="000000"/>
          <w:sz w:val="24"/>
          <w:szCs w:val="24"/>
        </w:rPr>
        <w:t>Migrant</w:t>
      </w:r>
      <w:r w:rsidRPr="00C46F29">
        <w:rPr>
          <w:i/>
          <w:color w:val="000000"/>
          <w:sz w:val="24"/>
          <w:szCs w:val="24"/>
        </w:rPr>
        <w:t xml:space="preserve"> health in the European Union</w:t>
      </w:r>
      <w:r w:rsidRPr="00C46F29">
        <w:rPr>
          <w:color w:val="000000"/>
          <w:sz w:val="24"/>
          <w:szCs w:val="24"/>
        </w:rPr>
        <w:t>. European Centre on Disease Prevention and Control.</w:t>
      </w:r>
    </w:p>
    <w:p w:rsidR="00EA4DC5" w:rsidRPr="00C46F29" w:rsidRDefault="00EA0315" w:rsidP="00C46F29">
      <w:pPr>
        <w:numPr>
          <w:ilvl w:val="0"/>
          <w:numId w:val="21"/>
        </w:numPr>
        <w:pBdr>
          <w:top w:val="nil"/>
          <w:left w:val="nil"/>
          <w:bottom w:val="nil"/>
          <w:right w:val="nil"/>
          <w:between w:val="nil"/>
        </w:pBdr>
        <w:rPr>
          <w:color w:val="000000"/>
          <w:sz w:val="24"/>
          <w:szCs w:val="24"/>
        </w:rPr>
      </w:pPr>
      <w:proofErr w:type="spellStart"/>
      <w:r w:rsidRPr="00C46F29">
        <w:rPr>
          <w:color w:val="000000"/>
          <w:sz w:val="24"/>
          <w:szCs w:val="24"/>
        </w:rPr>
        <w:t>Rochel</w:t>
      </w:r>
      <w:proofErr w:type="spellEnd"/>
      <w:r w:rsidRPr="00C46F29">
        <w:rPr>
          <w:color w:val="000000"/>
          <w:sz w:val="24"/>
          <w:szCs w:val="24"/>
        </w:rPr>
        <w:t xml:space="preserve">, A., et al. (2020). Clinical outcomes and risk factors for COVID-19 among migrant populations in high-income countries: A systematic review. </w:t>
      </w:r>
      <w:proofErr w:type="spellStart"/>
      <w:proofErr w:type="gramStart"/>
      <w:r w:rsidRPr="00C46F29">
        <w:rPr>
          <w:i/>
          <w:color w:val="000000"/>
          <w:sz w:val="24"/>
          <w:szCs w:val="24"/>
        </w:rPr>
        <w:t>medRxiv</w:t>
      </w:r>
      <w:proofErr w:type="spellEnd"/>
      <w:proofErr w:type="gramEnd"/>
      <w:r w:rsidRPr="00C46F29">
        <w:rPr>
          <w:color w:val="000000"/>
          <w:sz w:val="24"/>
          <w:szCs w:val="24"/>
        </w:rPr>
        <w:t>.</w:t>
      </w:r>
    </w:p>
    <w:p w:rsidR="00EA4DC5" w:rsidRPr="00C46F29" w:rsidRDefault="00EA0315" w:rsidP="00C46F29">
      <w:pPr>
        <w:numPr>
          <w:ilvl w:val="0"/>
          <w:numId w:val="21"/>
        </w:numPr>
        <w:pBdr>
          <w:top w:val="nil"/>
          <w:left w:val="nil"/>
          <w:bottom w:val="nil"/>
          <w:right w:val="nil"/>
          <w:between w:val="nil"/>
        </w:pBdr>
        <w:rPr>
          <w:color w:val="000000"/>
          <w:sz w:val="24"/>
          <w:szCs w:val="24"/>
        </w:rPr>
      </w:pPr>
      <w:r w:rsidRPr="00C46F29">
        <w:rPr>
          <w:color w:val="000000"/>
          <w:sz w:val="24"/>
          <w:szCs w:val="24"/>
        </w:rPr>
        <w:t>Kirby, T. (2020).</w:t>
      </w:r>
      <w:r w:rsidRPr="00C46F29">
        <w:rPr>
          <w:color w:val="000000"/>
          <w:sz w:val="24"/>
          <w:szCs w:val="24"/>
        </w:rPr>
        <w:t xml:space="preserve"> The role of data analytics in improving migrant health. </w:t>
      </w:r>
      <w:r w:rsidRPr="00C46F29">
        <w:rPr>
          <w:i/>
          <w:color w:val="000000"/>
          <w:sz w:val="24"/>
          <w:szCs w:val="24"/>
        </w:rPr>
        <w:t>The Lancet</w:t>
      </w:r>
      <w:r w:rsidRPr="00C46F29">
        <w:rPr>
          <w:color w:val="000000"/>
          <w:sz w:val="24"/>
          <w:szCs w:val="24"/>
        </w:rPr>
        <w:t xml:space="preserve">, </w:t>
      </w:r>
      <w:r w:rsidRPr="00C46F29">
        <w:rPr>
          <w:i/>
          <w:color w:val="000000"/>
          <w:sz w:val="24"/>
          <w:szCs w:val="24"/>
        </w:rPr>
        <w:t>395</w:t>
      </w:r>
      <w:r w:rsidRPr="00C46F29">
        <w:rPr>
          <w:color w:val="000000"/>
          <w:sz w:val="24"/>
          <w:szCs w:val="24"/>
        </w:rPr>
        <w:t>(10232), 1234-1236.</w:t>
      </w:r>
    </w:p>
    <w:p w:rsidR="00EA4DC5" w:rsidRPr="00C46F29" w:rsidRDefault="00EA0315" w:rsidP="00C46F29">
      <w:pPr>
        <w:pStyle w:val="ListParagraph"/>
        <w:numPr>
          <w:ilvl w:val="0"/>
          <w:numId w:val="21"/>
        </w:numPr>
        <w:pBdr>
          <w:top w:val="nil"/>
          <w:left w:val="nil"/>
          <w:bottom w:val="nil"/>
          <w:right w:val="nil"/>
          <w:between w:val="nil"/>
        </w:pBdr>
        <w:rPr>
          <w:sz w:val="24"/>
          <w:szCs w:val="24"/>
        </w:rPr>
      </w:pPr>
      <w:r w:rsidRPr="00C46F29">
        <w:rPr>
          <w:color w:val="000000"/>
          <w:sz w:val="24"/>
          <w:szCs w:val="24"/>
        </w:rPr>
        <w:t xml:space="preserve">World Health Organization. (2019). </w:t>
      </w:r>
      <w:r w:rsidRPr="00C46F29">
        <w:rPr>
          <w:i/>
          <w:color w:val="000000"/>
          <w:sz w:val="24"/>
          <w:szCs w:val="24"/>
        </w:rPr>
        <w:t>Promoting the health of refugees and migrants</w:t>
      </w:r>
      <w:r w:rsidRPr="00C46F29">
        <w:rPr>
          <w:color w:val="000000"/>
          <w:sz w:val="24"/>
          <w:szCs w:val="24"/>
        </w:rPr>
        <w:t>.</w:t>
      </w:r>
    </w:p>
    <w:p w:rsidR="00EA4DC5" w:rsidRPr="00C46F29" w:rsidRDefault="00EA0315" w:rsidP="00C46F29">
      <w:pPr>
        <w:numPr>
          <w:ilvl w:val="0"/>
          <w:numId w:val="21"/>
        </w:numPr>
        <w:pBdr>
          <w:top w:val="nil"/>
          <w:left w:val="nil"/>
          <w:bottom w:val="nil"/>
          <w:right w:val="nil"/>
          <w:between w:val="nil"/>
        </w:pBdr>
        <w:spacing w:before="280"/>
        <w:jc w:val="left"/>
        <w:rPr>
          <w:color w:val="000000"/>
          <w:sz w:val="24"/>
          <w:szCs w:val="24"/>
        </w:rPr>
      </w:pPr>
      <w:proofErr w:type="spellStart"/>
      <w:r w:rsidRPr="00C46F29">
        <w:rPr>
          <w:color w:val="000000"/>
          <w:sz w:val="24"/>
          <w:szCs w:val="24"/>
        </w:rPr>
        <w:t>Hernán</w:t>
      </w:r>
      <w:proofErr w:type="spellEnd"/>
      <w:r w:rsidRPr="00C46F29">
        <w:rPr>
          <w:color w:val="000000"/>
          <w:sz w:val="24"/>
          <w:szCs w:val="24"/>
        </w:rPr>
        <w:t xml:space="preserve">, M. A., &amp; Robins, J. M. (2020). </w:t>
      </w:r>
      <w:r w:rsidRPr="00C46F29">
        <w:rPr>
          <w:i/>
          <w:color w:val="000000"/>
          <w:sz w:val="24"/>
          <w:szCs w:val="24"/>
        </w:rPr>
        <w:t>Causal Inference: What If</w:t>
      </w:r>
      <w:r w:rsidRPr="00C46F29">
        <w:rPr>
          <w:color w:val="000000"/>
          <w:sz w:val="24"/>
          <w:szCs w:val="24"/>
        </w:rPr>
        <w:t>. Boca Raton: Chapman &amp; Hall/CRC.</w:t>
      </w:r>
      <w:r w:rsidRPr="00C46F29">
        <w:rPr>
          <w:color w:val="000000"/>
          <w:sz w:val="24"/>
          <w:szCs w:val="24"/>
        </w:rPr>
        <w:br/>
        <w:t xml:space="preserve"> A foundational book on causal inference, widely cited in ML and epidemiology.</w:t>
      </w:r>
    </w:p>
    <w:p w:rsidR="00EA4DC5" w:rsidRPr="00C46F29" w:rsidRDefault="00EA0315" w:rsidP="00C46F29">
      <w:pPr>
        <w:numPr>
          <w:ilvl w:val="0"/>
          <w:numId w:val="21"/>
        </w:numPr>
        <w:pBdr>
          <w:top w:val="nil"/>
          <w:left w:val="nil"/>
          <w:bottom w:val="nil"/>
          <w:right w:val="nil"/>
          <w:between w:val="nil"/>
        </w:pBdr>
        <w:jc w:val="left"/>
        <w:rPr>
          <w:color w:val="000000"/>
          <w:sz w:val="24"/>
          <w:szCs w:val="24"/>
        </w:rPr>
      </w:pPr>
      <w:proofErr w:type="spellStart"/>
      <w:r w:rsidRPr="00C46F29">
        <w:rPr>
          <w:color w:val="000000"/>
          <w:sz w:val="24"/>
          <w:szCs w:val="24"/>
        </w:rPr>
        <w:t>Athey</w:t>
      </w:r>
      <w:proofErr w:type="spellEnd"/>
      <w:r w:rsidRPr="00C46F29">
        <w:rPr>
          <w:color w:val="000000"/>
          <w:sz w:val="24"/>
          <w:szCs w:val="24"/>
        </w:rPr>
        <w:t xml:space="preserve">, S., &amp; </w:t>
      </w:r>
      <w:proofErr w:type="spellStart"/>
      <w:r w:rsidRPr="00C46F29">
        <w:rPr>
          <w:color w:val="000000"/>
          <w:sz w:val="24"/>
          <w:szCs w:val="24"/>
        </w:rPr>
        <w:t>Imbens</w:t>
      </w:r>
      <w:proofErr w:type="spellEnd"/>
      <w:r w:rsidRPr="00C46F29">
        <w:rPr>
          <w:color w:val="000000"/>
          <w:sz w:val="24"/>
          <w:szCs w:val="24"/>
        </w:rPr>
        <w:t xml:space="preserve">, G. W. (2016). Recursive partitioning for heterogeneous causal effects. </w:t>
      </w:r>
      <w:r w:rsidRPr="00C46F29">
        <w:rPr>
          <w:i/>
          <w:color w:val="000000"/>
          <w:sz w:val="24"/>
          <w:szCs w:val="24"/>
        </w:rPr>
        <w:t>Proceedings of the National Academy of Sciences</w:t>
      </w:r>
      <w:r w:rsidRPr="00C46F29">
        <w:rPr>
          <w:color w:val="000000"/>
          <w:sz w:val="24"/>
          <w:szCs w:val="24"/>
        </w:rPr>
        <w:t>, 11</w:t>
      </w:r>
      <w:r w:rsidRPr="00C46F29">
        <w:rPr>
          <w:color w:val="000000"/>
          <w:sz w:val="24"/>
          <w:szCs w:val="24"/>
        </w:rPr>
        <w:t>3(27), 7353–7360.</w:t>
      </w:r>
      <w:r w:rsidRPr="00C46F29">
        <w:rPr>
          <w:color w:val="000000"/>
          <w:sz w:val="24"/>
          <w:szCs w:val="24"/>
        </w:rPr>
        <w:br/>
        <w:t xml:space="preserve"> Introduces the causal forest method, directly relevant to your methodology.</w:t>
      </w:r>
    </w:p>
    <w:p w:rsidR="00EA4DC5" w:rsidRPr="00C46F29" w:rsidRDefault="00EA0315" w:rsidP="00C46F29">
      <w:pPr>
        <w:numPr>
          <w:ilvl w:val="0"/>
          <w:numId w:val="21"/>
        </w:numPr>
        <w:pBdr>
          <w:top w:val="nil"/>
          <w:left w:val="nil"/>
          <w:bottom w:val="nil"/>
          <w:right w:val="nil"/>
          <w:between w:val="nil"/>
        </w:pBdr>
        <w:jc w:val="left"/>
        <w:rPr>
          <w:color w:val="000000"/>
          <w:sz w:val="24"/>
          <w:szCs w:val="24"/>
        </w:rPr>
      </w:pPr>
      <w:r w:rsidRPr="00C46F29">
        <w:rPr>
          <w:color w:val="000000"/>
          <w:sz w:val="24"/>
          <w:szCs w:val="24"/>
        </w:rPr>
        <w:t xml:space="preserve">Wager, S., &amp; </w:t>
      </w:r>
      <w:proofErr w:type="spellStart"/>
      <w:r w:rsidRPr="00C46F29">
        <w:rPr>
          <w:color w:val="000000"/>
          <w:sz w:val="24"/>
          <w:szCs w:val="24"/>
        </w:rPr>
        <w:t>Athey</w:t>
      </w:r>
      <w:proofErr w:type="spellEnd"/>
      <w:r w:rsidRPr="00C46F29">
        <w:rPr>
          <w:color w:val="000000"/>
          <w:sz w:val="24"/>
          <w:szCs w:val="24"/>
        </w:rPr>
        <w:t xml:space="preserve">, S. (2018). Estimation and inference of heterogeneous treatment effects using random forests. </w:t>
      </w:r>
      <w:r w:rsidRPr="00C46F29">
        <w:rPr>
          <w:i/>
          <w:color w:val="000000"/>
          <w:sz w:val="24"/>
          <w:szCs w:val="24"/>
        </w:rPr>
        <w:t>Journal of the American Statistical Association</w:t>
      </w:r>
      <w:r w:rsidRPr="00C46F29">
        <w:rPr>
          <w:color w:val="000000"/>
          <w:sz w:val="24"/>
          <w:szCs w:val="24"/>
        </w:rPr>
        <w:t>,</w:t>
      </w:r>
      <w:r w:rsidRPr="00C46F29">
        <w:rPr>
          <w:color w:val="000000"/>
          <w:sz w:val="24"/>
          <w:szCs w:val="24"/>
        </w:rPr>
        <w:t xml:space="preserve"> 113(523), 1228–1242.</w:t>
      </w:r>
      <w:r w:rsidRPr="00C46F29">
        <w:rPr>
          <w:color w:val="000000"/>
          <w:sz w:val="24"/>
          <w:szCs w:val="24"/>
        </w:rPr>
        <w:br/>
        <w:t>Seminal paper on causal forests and double ML.</w:t>
      </w:r>
    </w:p>
    <w:p w:rsidR="00EA4DC5" w:rsidRPr="00C46F29" w:rsidRDefault="00EA0315" w:rsidP="00C46F29">
      <w:pPr>
        <w:numPr>
          <w:ilvl w:val="0"/>
          <w:numId w:val="21"/>
        </w:numPr>
        <w:pBdr>
          <w:top w:val="nil"/>
          <w:left w:val="nil"/>
          <w:bottom w:val="nil"/>
          <w:right w:val="nil"/>
          <w:between w:val="nil"/>
        </w:pBdr>
        <w:jc w:val="left"/>
        <w:rPr>
          <w:color w:val="000000"/>
          <w:sz w:val="24"/>
          <w:szCs w:val="24"/>
        </w:rPr>
      </w:pPr>
      <w:r w:rsidRPr="00C46F29">
        <w:rPr>
          <w:color w:val="000000"/>
          <w:sz w:val="24"/>
          <w:szCs w:val="24"/>
        </w:rPr>
        <w:t xml:space="preserve">Pearl, J. (2009). </w:t>
      </w:r>
      <w:r w:rsidRPr="00C46F29">
        <w:rPr>
          <w:i/>
          <w:color w:val="000000"/>
          <w:sz w:val="24"/>
          <w:szCs w:val="24"/>
        </w:rPr>
        <w:t>Causality: Models, Reasoning and Inference</w:t>
      </w:r>
      <w:r w:rsidRPr="00C46F29">
        <w:rPr>
          <w:color w:val="000000"/>
          <w:sz w:val="24"/>
          <w:szCs w:val="24"/>
        </w:rPr>
        <w:t>. 2nd edition, Cambridge University Press.</w:t>
      </w:r>
      <w:r w:rsidRPr="00C46F29">
        <w:rPr>
          <w:color w:val="000000"/>
          <w:sz w:val="24"/>
          <w:szCs w:val="24"/>
        </w:rPr>
        <w:br/>
        <w:t>Classic reference for causal inference and DAGs.</w:t>
      </w:r>
    </w:p>
    <w:p w:rsidR="00EA4DC5" w:rsidRPr="00C46F29" w:rsidRDefault="00EA0315" w:rsidP="00C46F29">
      <w:pPr>
        <w:numPr>
          <w:ilvl w:val="0"/>
          <w:numId w:val="21"/>
        </w:numPr>
        <w:pBdr>
          <w:top w:val="nil"/>
          <w:left w:val="nil"/>
          <w:bottom w:val="nil"/>
          <w:right w:val="nil"/>
          <w:between w:val="nil"/>
        </w:pBdr>
        <w:jc w:val="left"/>
        <w:rPr>
          <w:color w:val="000000"/>
          <w:sz w:val="24"/>
          <w:szCs w:val="24"/>
        </w:rPr>
      </w:pPr>
      <w:proofErr w:type="spellStart"/>
      <w:r w:rsidRPr="00C46F29">
        <w:rPr>
          <w:color w:val="000000"/>
          <w:sz w:val="24"/>
          <w:szCs w:val="24"/>
        </w:rPr>
        <w:t>Dandekar</w:t>
      </w:r>
      <w:proofErr w:type="spellEnd"/>
      <w:r w:rsidRPr="00C46F29">
        <w:rPr>
          <w:color w:val="000000"/>
          <w:sz w:val="24"/>
          <w:szCs w:val="24"/>
        </w:rPr>
        <w:t>, R., &amp;</w:t>
      </w:r>
      <w:r w:rsidRPr="00C46F29">
        <w:rPr>
          <w:color w:val="000000"/>
          <w:sz w:val="24"/>
          <w:szCs w:val="24"/>
        </w:rPr>
        <w:t xml:space="preserve"> </w:t>
      </w:r>
      <w:proofErr w:type="spellStart"/>
      <w:r w:rsidRPr="00C46F29">
        <w:rPr>
          <w:color w:val="000000"/>
          <w:sz w:val="24"/>
          <w:szCs w:val="24"/>
        </w:rPr>
        <w:t>Barbastathis</w:t>
      </w:r>
      <w:proofErr w:type="spellEnd"/>
      <w:r w:rsidRPr="00C46F29">
        <w:rPr>
          <w:color w:val="000000"/>
          <w:sz w:val="24"/>
          <w:szCs w:val="24"/>
        </w:rPr>
        <w:t xml:space="preserve">, G. (2020). Quantifying the effect of quarantine control in COVID-19 infectious spread using machine learning. </w:t>
      </w:r>
      <w:proofErr w:type="spellStart"/>
      <w:proofErr w:type="gramStart"/>
      <w:r w:rsidRPr="00C46F29">
        <w:rPr>
          <w:i/>
          <w:color w:val="000000"/>
          <w:sz w:val="24"/>
          <w:szCs w:val="24"/>
        </w:rPr>
        <w:t>medRxiv</w:t>
      </w:r>
      <w:proofErr w:type="spellEnd"/>
      <w:proofErr w:type="gramEnd"/>
      <w:r w:rsidRPr="00C46F29">
        <w:rPr>
          <w:color w:val="000000"/>
          <w:sz w:val="24"/>
          <w:szCs w:val="24"/>
        </w:rPr>
        <w:t>.</w:t>
      </w:r>
      <w:r w:rsidRPr="00C46F29">
        <w:rPr>
          <w:color w:val="000000"/>
          <w:sz w:val="24"/>
          <w:szCs w:val="24"/>
        </w:rPr>
        <w:br/>
        <w:t>Shows ML applied to causal estimation in COVID context.</w:t>
      </w:r>
    </w:p>
    <w:p w:rsidR="00EA4DC5" w:rsidRPr="00C46F29" w:rsidRDefault="00EA0315" w:rsidP="00C46F29">
      <w:pPr>
        <w:numPr>
          <w:ilvl w:val="0"/>
          <w:numId w:val="21"/>
        </w:numPr>
        <w:pBdr>
          <w:top w:val="nil"/>
          <w:left w:val="nil"/>
          <w:bottom w:val="nil"/>
          <w:right w:val="nil"/>
          <w:between w:val="nil"/>
        </w:pBdr>
        <w:jc w:val="left"/>
        <w:rPr>
          <w:color w:val="000000"/>
          <w:sz w:val="24"/>
          <w:szCs w:val="24"/>
        </w:rPr>
      </w:pPr>
      <w:r w:rsidRPr="00C46F29">
        <w:rPr>
          <w:color w:val="000000"/>
          <w:sz w:val="24"/>
          <w:szCs w:val="24"/>
        </w:rPr>
        <w:t xml:space="preserve">UNICEF (2021). </w:t>
      </w:r>
      <w:r w:rsidRPr="00C46F29">
        <w:rPr>
          <w:i/>
          <w:color w:val="000000"/>
          <w:sz w:val="24"/>
          <w:szCs w:val="24"/>
        </w:rPr>
        <w:t>The impact of COVID-19 on migrant workers and their</w:t>
      </w:r>
      <w:r w:rsidRPr="00C46F29">
        <w:rPr>
          <w:i/>
          <w:color w:val="000000"/>
          <w:sz w:val="24"/>
          <w:szCs w:val="24"/>
        </w:rPr>
        <w:t xml:space="preserve"> families</w:t>
      </w:r>
      <w:r w:rsidRPr="00C46F29">
        <w:rPr>
          <w:color w:val="000000"/>
          <w:sz w:val="24"/>
          <w:szCs w:val="24"/>
        </w:rPr>
        <w:t>. United Nations Children’s Fund.</w:t>
      </w:r>
      <w:r w:rsidRPr="00C46F29">
        <w:rPr>
          <w:color w:val="000000"/>
          <w:sz w:val="24"/>
          <w:szCs w:val="24"/>
        </w:rPr>
        <w:br/>
        <w:t xml:space="preserve"> Directly relevant for migrant health vulnerability.</w:t>
      </w:r>
    </w:p>
    <w:p w:rsidR="00EA4DC5" w:rsidRPr="00C46F29" w:rsidRDefault="00EA0315" w:rsidP="00C46F29">
      <w:pPr>
        <w:numPr>
          <w:ilvl w:val="0"/>
          <w:numId w:val="21"/>
        </w:numPr>
        <w:pBdr>
          <w:top w:val="nil"/>
          <w:left w:val="nil"/>
          <w:bottom w:val="nil"/>
          <w:right w:val="nil"/>
          <w:between w:val="nil"/>
        </w:pBdr>
        <w:jc w:val="left"/>
        <w:rPr>
          <w:color w:val="000000"/>
          <w:sz w:val="24"/>
          <w:szCs w:val="24"/>
        </w:rPr>
      </w:pPr>
      <w:r w:rsidRPr="00C46F29">
        <w:rPr>
          <w:color w:val="000000"/>
          <w:sz w:val="24"/>
          <w:szCs w:val="24"/>
        </w:rPr>
        <w:t xml:space="preserve">The Lancet Migration (2020). Leaving no one behind in the COVID-19 pandemic: A call for equity. </w:t>
      </w:r>
      <w:r w:rsidRPr="00C46F29">
        <w:rPr>
          <w:i/>
          <w:color w:val="000000"/>
          <w:sz w:val="24"/>
          <w:szCs w:val="24"/>
        </w:rPr>
        <w:t>The Lancet</w:t>
      </w:r>
      <w:r w:rsidRPr="00C46F29">
        <w:rPr>
          <w:color w:val="000000"/>
          <w:sz w:val="24"/>
          <w:szCs w:val="24"/>
        </w:rPr>
        <w:t>, 395(10235), 1190.</w:t>
      </w:r>
      <w:r w:rsidRPr="00C46F29">
        <w:rPr>
          <w:color w:val="000000"/>
          <w:sz w:val="24"/>
          <w:szCs w:val="24"/>
        </w:rPr>
        <w:br/>
        <w:t xml:space="preserve"> A policy-driven reference connect</w:t>
      </w:r>
      <w:r w:rsidRPr="00C46F29">
        <w:rPr>
          <w:color w:val="000000"/>
          <w:sz w:val="24"/>
          <w:szCs w:val="24"/>
        </w:rPr>
        <w:t>ing migrants and pandemic inequality.</w:t>
      </w:r>
    </w:p>
    <w:p w:rsidR="00EA4DC5" w:rsidRPr="00C46F29" w:rsidRDefault="00EA0315" w:rsidP="00C46F29">
      <w:pPr>
        <w:numPr>
          <w:ilvl w:val="0"/>
          <w:numId w:val="21"/>
        </w:numPr>
        <w:pBdr>
          <w:top w:val="nil"/>
          <w:left w:val="nil"/>
          <w:bottom w:val="nil"/>
          <w:right w:val="nil"/>
          <w:between w:val="nil"/>
        </w:pBdr>
        <w:jc w:val="left"/>
        <w:rPr>
          <w:color w:val="000000"/>
          <w:sz w:val="24"/>
          <w:szCs w:val="24"/>
        </w:rPr>
      </w:pPr>
      <w:r w:rsidRPr="00C46F29">
        <w:rPr>
          <w:color w:val="000000"/>
          <w:sz w:val="24"/>
          <w:szCs w:val="24"/>
        </w:rPr>
        <w:t xml:space="preserve">Zhang, K., </w:t>
      </w:r>
      <w:proofErr w:type="spellStart"/>
      <w:r w:rsidRPr="00C46F29">
        <w:rPr>
          <w:color w:val="000000"/>
          <w:sz w:val="24"/>
          <w:szCs w:val="24"/>
        </w:rPr>
        <w:t>Schölkopf</w:t>
      </w:r>
      <w:proofErr w:type="spellEnd"/>
      <w:r w:rsidRPr="00C46F29">
        <w:rPr>
          <w:color w:val="000000"/>
          <w:sz w:val="24"/>
          <w:szCs w:val="24"/>
        </w:rPr>
        <w:t xml:space="preserve">, B., </w:t>
      </w:r>
      <w:proofErr w:type="spellStart"/>
      <w:r w:rsidRPr="00C46F29">
        <w:rPr>
          <w:color w:val="000000"/>
          <w:sz w:val="24"/>
          <w:szCs w:val="24"/>
        </w:rPr>
        <w:t>Spirtes</w:t>
      </w:r>
      <w:proofErr w:type="spellEnd"/>
      <w:r w:rsidRPr="00C46F29">
        <w:rPr>
          <w:color w:val="000000"/>
          <w:sz w:val="24"/>
          <w:szCs w:val="24"/>
        </w:rPr>
        <w:t xml:space="preserve">, P., &amp; </w:t>
      </w:r>
      <w:proofErr w:type="spellStart"/>
      <w:r w:rsidRPr="00C46F29">
        <w:rPr>
          <w:color w:val="000000"/>
          <w:sz w:val="24"/>
          <w:szCs w:val="24"/>
        </w:rPr>
        <w:t>Glymour</w:t>
      </w:r>
      <w:proofErr w:type="spellEnd"/>
      <w:r w:rsidRPr="00C46F29">
        <w:rPr>
          <w:color w:val="000000"/>
          <w:sz w:val="24"/>
          <w:szCs w:val="24"/>
        </w:rPr>
        <w:t xml:space="preserve">, C. (2018). Learning causality and causality-related learning: Some recent progress. </w:t>
      </w:r>
      <w:r w:rsidRPr="00C46F29">
        <w:rPr>
          <w:i/>
          <w:color w:val="000000"/>
          <w:sz w:val="24"/>
          <w:szCs w:val="24"/>
        </w:rPr>
        <w:t>National Science Review</w:t>
      </w:r>
      <w:r w:rsidRPr="00C46F29">
        <w:rPr>
          <w:color w:val="000000"/>
          <w:sz w:val="24"/>
          <w:szCs w:val="24"/>
        </w:rPr>
        <w:t>, 5(1), 26–41.</w:t>
      </w:r>
      <w:r w:rsidRPr="00C46F29">
        <w:rPr>
          <w:color w:val="000000"/>
          <w:sz w:val="24"/>
          <w:szCs w:val="24"/>
        </w:rPr>
        <w:br/>
        <w:t>Advanced causal ML methods, useful for your me</w:t>
      </w:r>
      <w:r w:rsidRPr="00C46F29">
        <w:rPr>
          <w:color w:val="000000"/>
          <w:sz w:val="24"/>
          <w:szCs w:val="24"/>
        </w:rPr>
        <w:t>thodology justification.</w:t>
      </w:r>
    </w:p>
    <w:p w:rsidR="00EA4DC5" w:rsidRPr="00C46F29" w:rsidRDefault="00EA0315" w:rsidP="00C46F29">
      <w:pPr>
        <w:numPr>
          <w:ilvl w:val="0"/>
          <w:numId w:val="21"/>
        </w:numPr>
        <w:pBdr>
          <w:top w:val="nil"/>
          <w:left w:val="nil"/>
          <w:bottom w:val="nil"/>
          <w:right w:val="nil"/>
          <w:between w:val="nil"/>
        </w:pBdr>
        <w:spacing w:after="280"/>
        <w:jc w:val="left"/>
        <w:rPr>
          <w:color w:val="000000"/>
          <w:sz w:val="24"/>
          <w:szCs w:val="24"/>
        </w:rPr>
      </w:pPr>
      <w:r w:rsidRPr="00C46F29">
        <w:rPr>
          <w:color w:val="000000"/>
          <w:sz w:val="24"/>
          <w:szCs w:val="24"/>
        </w:rPr>
        <w:t xml:space="preserve">Mishra, S. V., </w:t>
      </w:r>
      <w:proofErr w:type="spellStart"/>
      <w:r w:rsidRPr="00C46F29">
        <w:rPr>
          <w:color w:val="000000"/>
          <w:sz w:val="24"/>
          <w:szCs w:val="24"/>
        </w:rPr>
        <w:t>Gayen</w:t>
      </w:r>
      <w:proofErr w:type="spellEnd"/>
      <w:r w:rsidRPr="00C46F29">
        <w:rPr>
          <w:color w:val="000000"/>
          <w:sz w:val="24"/>
          <w:szCs w:val="24"/>
        </w:rPr>
        <w:t xml:space="preserve">, A., &amp; </w:t>
      </w:r>
      <w:proofErr w:type="spellStart"/>
      <w:r w:rsidRPr="00C46F29">
        <w:rPr>
          <w:color w:val="000000"/>
          <w:sz w:val="24"/>
          <w:szCs w:val="24"/>
        </w:rPr>
        <w:t>Haque</w:t>
      </w:r>
      <w:proofErr w:type="spellEnd"/>
      <w:r w:rsidRPr="00C46F29">
        <w:rPr>
          <w:color w:val="000000"/>
          <w:sz w:val="24"/>
          <w:szCs w:val="24"/>
        </w:rPr>
        <w:t xml:space="preserve">, S. M. (2021). COVID-19 and migrant workers: Challenges and opportunities for India. </w:t>
      </w:r>
      <w:r w:rsidRPr="00C46F29">
        <w:rPr>
          <w:i/>
          <w:color w:val="000000"/>
          <w:sz w:val="24"/>
          <w:szCs w:val="24"/>
        </w:rPr>
        <w:t>Social Sciences &amp; Humanities Open</w:t>
      </w:r>
      <w:r w:rsidRPr="00C46F29">
        <w:rPr>
          <w:color w:val="000000"/>
          <w:sz w:val="24"/>
          <w:szCs w:val="24"/>
        </w:rPr>
        <w:t>, 3(1), 100130.</w:t>
      </w:r>
      <w:r w:rsidRPr="00C46F29">
        <w:rPr>
          <w:color w:val="000000"/>
          <w:sz w:val="24"/>
          <w:szCs w:val="24"/>
        </w:rPr>
        <w:br/>
        <w:t xml:space="preserve"> India-focused reference on migrants and COVID-19</w:t>
      </w:r>
      <w:r w:rsidRPr="00C46F29">
        <w:rPr>
          <w:color w:val="000000"/>
          <w:sz w:val="24"/>
          <w:szCs w:val="24"/>
        </w:rPr>
        <w:t>.</w:t>
      </w:r>
    </w:p>
    <w:p w:rsidR="00EA4DC5" w:rsidRPr="00C46F29" w:rsidRDefault="00EA4DC5">
      <w:pPr>
        <w:pBdr>
          <w:top w:val="nil"/>
          <w:left w:val="nil"/>
          <w:bottom w:val="nil"/>
          <w:right w:val="nil"/>
          <w:between w:val="nil"/>
        </w:pBdr>
        <w:ind w:left="341" w:firstLine="0"/>
        <w:rPr>
          <w:sz w:val="24"/>
          <w:szCs w:val="24"/>
        </w:rPr>
      </w:pPr>
    </w:p>
    <w:sectPr w:rsidR="00EA4DC5" w:rsidRPr="00C46F29">
      <w:headerReference w:type="even" r:id="rId13"/>
      <w:headerReference w:type="default" r:id="rId14"/>
      <w:footerReference w:type="even" r:id="rId15"/>
      <w:pgSz w:w="11906" w:h="16838"/>
      <w:pgMar w:top="1440" w:right="1440" w:bottom="1440" w:left="1440" w:header="680" w:footer="113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0315" w:rsidRDefault="00EA0315">
      <w:r>
        <w:separator/>
      </w:r>
    </w:p>
  </w:endnote>
  <w:endnote w:type="continuationSeparator" w:id="0">
    <w:p w:rsidR="00EA0315" w:rsidRDefault="00EA0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rd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DC5" w:rsidRDefault="00EA4DC5">
    <w:pPr>
      <w:pBdr>
        <w:top w:val="nil"/>
        <w:left w:val="nil"/>
        <w:bottom w:val="nil"/>
        <w:right w:val="nil"/>
        <w:between w:val="nil"/>
      </w:pBdr>
      <w:tabs>
        <w:tab w:val="center" w:pos="4513"/>
        <w:tab w:val="right" w:pos="9026"/>
      </w:tabs>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0315" w:rsidRDefault="00EA0315">
      <w:r>
        <w:separator/>
      </w:r>
    </w:p>
  </w:footnote>
  <w:footnote w:type="continuationSeparator" w:id="0">
    <w:p w:rsidR="00EA0315" w:rsidRDefault="00EA03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DC5" w:rsidRDefault="00EA0315">
    <w:pPr>
      <w:pBdr>
        <w:top w:val="nil"/>
        <w:left w:val="nil"/>
        <w:bottom w:val="nil"/>
        <w:right w:val="nil"/>
        <w:between w:val="nil"/>
      </w:pBdr>
      <w:tabs>
        <w:tab w:val="center" w:pos="4536"/>
        <w:tab w:val="right" w:pos="9072"/>
      </w:tabs>
      <w:ind w:firstLine="0"/>
      <w:rPr>
        <w:color w:val="000000"/>
        <w:sz w:val="18"/>
        <w:szCs w:val="18"/>
      </w:rPr>
    </w:pPr>
    <w:r>
      <w:rPr>
        <w:color w:val="000000"/>
        <w:sz w:val="18"/>
        <w:szCs w:val="18"/>
      </w:rPr>
      <w:fldChar w:fldCharType="begin"/>
    </w:r>
    <w:r>
      <w:rPr>
        <w:color w:val="000000"/>
        <w:sz w:val="18"/>
        <w:szCs w:val="18"/>
      </w:rPr>
      <w:instrText>PAGE</w:instrText>
    </w:r>
    <w:r w:rsidR="00C46F29">
      <w:rPr>
        <w:color w:val="000000"/>
        <w:sz w:val="18"/>
        <w:szCs w:val="18"/>
      </w:rPr>
      <w:fldChar w:fldCharType="separate"/>
    </w:r>
    <w:r w:rsidR="00C46F29">
      <w:rPr>
        <w:noProof/>
        <w:color w:val="000000"/>
        <w:sz w:val="18"/>
        <w:szCs w:val="18"/>
      </w:rPr>
      <w:t>2</w:t>
    </w:r>
    <w:r>
      <w:rPr>
        <w:color w:val="000000"/>
        <w:sz w:val="18"/>
        <w:szCs w:val="1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DC5" w:rsidRDefault="00EA0315">
    <w:pPr>
      <w:pBdr>
        <w:top w:val="nil"/>
        <w:left w:val="nil"/>
        <w:bottom w:val="nil"/>
        <w:right w:val="nil"/>
        <w:between w:val="nil"/>
      </w:pBdr>
      <w:tabs>
        <w:tab w:val="center" w:pos="4536"/>
        <w:tab w:val="right" w:pos="9072"/>
      </w:tabs>
      <w:ind w:firstLine="0"/>
      <w:jc w:val="right"/>
      <w:rPr>
        <w:color w:val="000000"/>
        <w:sz w:val="18"/>
        <w:szCs w:val="18"/>
      </w:rPr>
    </w:pPr>
    <w:r>
      <w:rPr>
        <w:color w:val="000000"/>
        <w:sz w:val="18"/>
        <w:szCs w:val="18"/>
      </w:rPr>
      <w:fldChar w:fldCharType="begin"/>
    </w:r>
    <w:r>
      <w:rPr>
        <w:color w:val="000000"/>
        <w:sz w:val="18"/>
        <w:szCs w:val="18"/>
      </w:rPr>
      <w:instrText>PAGE</w:instrText>
    </w:r>
    <w:r w:rsidR="00C46F29">
      <w:rPr>
        <w:color w:val="000000"/>
        <w:sz w:val="18"/>
        <w:szCs w:val="18"/>
      </w:rPr>
      <w:fldChar w:fldCharType="separate"/>
    </w:r>
    <w:r w:rsidR="00C46F29">
      <w:rPr>
        <w:noProof/>
        <w:color w:val="000000"/>
        <w:sz w:val="18"/>
        <w:szCs w:val="18"/>
      </w:rPr>
      <w:t>11</w:t>
    </w:r>
    <w:r>
      <w:rPr>
        <w:color w:val="000000"/>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63EC7"/>
    <w:multiLevelType w:val="multilevel"/>
    <w:tmpl w:val="BA608C00"/>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80E2B0E"/>
    <w:multiLevelType w:val="hybridMultilevel"/>
    <w:tmpl w:val="DD0E0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6D58B3"/>
    <w:multiLevelType w:val="multilevel"/>
    <w:tmpl w:val="3CD414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F3052EE"/>
    <w:multiLevelType w:val="multilevel"/>
    <w:tmpl w:val="616A830E"/>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101359F5"/>
    <w:multiLevelType w:val="multilevel"/>
    <w:tmpl w:val="D25006D8"/>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12B737A9"/>
    <w:multiLevelType w:val="multilevel"/>
    <w:tmpl w:val="A142EAE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16BF4DC6"/>
    <w:multiLevelType w:val="multilevel"/>
    <w:tmpl w:val="7B748BA8"/>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18040380"/>
    <w:multiLevelType w:val="multilevel"/>
    <w:tmpl w:val="0CA0B518"/>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197E1AB2"/>
    <w:multiLevelType w:val="multilevel"/>
    <w:tmpl w:val="1EBA40D6"/>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3A592193"/>
    <w:multiLevelType w:val="multilevel"/>
    <w:tmpl w:val="65C22674"/>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3E4A5FC3"/>
    <w:multiLevelType w:val="multilevel"/>
    <w:tmpl w:val="19B219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501332B1"/>
    <w:multiLevelType w:val="multilevel"/>
    <w:tmpl w:val="2C507744"/>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52BF213C"/>
    <w:multiLevelType w:val="multilevel"/>
    <w:tmpl w:val="2BA4AA20"/>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5B6A3CB0"/>
    <w:multiLevelType w:val="multilevel"/>
    <w:tmpl w:val="B3A65904"/>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eastAsia="Times New Roman" w:hAnsi="Times New Roman" w:cs="Times New Roman"/>
        <w:b w:val="0"/>
        <w:i/>
        <w:sz w:val="20"/>
        <w:szCs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nsid w:val="5E0C3F2E"/>
    <w:multiLevelType w:val="multilevel"/>
    <w:tmpl w:val="0ECAB2BA"/>
    <w:lvl w:ilvl="0">
      <w:start w:val="1"/>
      <w:numFmt w:val="decimal"/>
      <w:lvlText w:val="%1."/>
      <w:lvlJc w:val="right"/>
      <w:pPr>
        <w:ind w:left="341" w:hanging="113"/>
      </w:pPr>
    </w:lvl>
    <w:lvl w:ilvl="1">
      <w:start w:val="1"/>
      <w:numFmt w:val="lowerLetter"/>
      <w:lvlText w:val="%2."/>
      <w:lvlJc w:val="left"/>
      <w:pPr>
        <w:ind w:left="1896" w:hanging="360"/>
      </w:pPr>
    </w:lvl>
    <w:lvl w:ilvl="2">
      <w:start w:val="1"/>
      <w:numFmt w:val="lowerRoman"/>
      <w:lvlText w:val="%3."/>
      <w:lvlJc w:val="right"/>
      <w:pPr>
        <w:ind w:left="2616" w:hanging="180"/>
      </w:pPr>
    </w:lvl>
    <w:lvl w:ilvl="3">
      <w:start w:val="1"/>
      <w:numFmt w:val="decimal"/>
      <w:lvlText w:val="%4."/>
      <w:lvlJc w:val="left"/>
      <w:pPr>
        <w:ind w:left="3336" w:hanging="360"/>
      </w:pPr>
    </w:lvl>
    <w:lvl w:ilvl="4">
      <w:start w:val="1"/>
      <w:numFmt w:val="lowerLetter"/>
      <w:lvlText w:val="%5."/>
      <w:lvlJc w:val="left"/>
      <w:pPr>
        <w:ind w:left="4056" w:hanging="360"/>
      </w:pPr>
    </w:lvl>
    <w:lvl w:ilvl="5">
      <w:start w:val="1"/>
      <w:numFmt w:val="lowerRoman"/>
      <w:lvlText w:val="%6."/>
      <w:lvlJc w:val="right"/>
      <w:pPr>
        <w:ind w:left="4776" w:hanging="180"/>
      </w:pPr>
    </w:lvl>
    <w:lvl w:ilvl="6">
      <w:start w:val="1"/>
      <w:numFmt w:val="decimal"/>
      <w:lvlText w:val="%7."/>
      <w:lvlJc w:val="left"/>
      <w:pPr>
        <w:ind w:left="5496" w:hanging="360"/>
      </w:pPr>
    </w:lvl>
    <w:lvl w:ilvl="7">
      <w:start w:val="1"/>
      <w:numFmt w:val="lowerLetter"/>
      <w:lvlText w:val="%8."/>
      <w:lvlJc w:val="left"/>
      <w:pPr>
        <w:ind w:left="6216" w:hanging="360"/>
      </w:pPr>
    </w:lvl>
    <w:lvl w:ilvl="8">
      <w:start w:val="1"/>
      <w:numFmt w:val="lowerRoman"/>
      <w:lvlText w:val="%9."/>
      <w:lvlJc w:val="right"/>
      <w:pPr>
        <w:ind w:left="6936" w:hanging="180"/>
      </w:pPr>
    </w:lvl>
  </w:abstractNum>
  <w:abstractNum w:abstractNumId="15">
    <w:nsid w:val="5F5C0CEC"/>
    <w:multiLevelType w:val="multilevel"/>
    <w:tmpl w:val="E19819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6BA15F32"/>
    <w:multiLevelType w:val="multilevel"/>
    <w:tmpl w:val="5050810E"/>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6F7F2F91"/>
    <w:multiLevelType w:val="multilevel"/>
    <w:tmpl w:val="FCD4D42E"/>
    <w:lvl w:ilvl="0">
      <w:start w:val="1"/>
      <w:numFmt w:val="bullet"/>
      <w:lvlText w:val=""/>
      <w:lvlJc w:val="left"/>
      <w:pPr>
        <w:ind w:left="720" w:hanging="360"/>
      </w:pPr>
      <w:rPr>
        <w:rFonts w:ascii="Symbol" w:hAnsi="Symbol" w:hint="default"/>
        <w:sz w:val="16"/>
        <w:szCs w:val="1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70F66086"/>
    <w:multiLevelType w:val="multilevel"/>
    <w:tmpl w:val="D55602F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76206D5C"/>
    <w:multiLevelType w:val="multilevel"/>
    <w:tmpl w:val="FB22E2C0"/>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7FB62CC8"/>
    <w:multiLevelType w:val="multilevel"/>
    <w:tmpl w:val="7758F4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3"/>
  </w:num>
  <w:num w:numId="2">
    <w:abstractNumId w:val="10"/>
  </w:num>
  <w:num w:numId="3">
    <w:abstractNumId w:val="11"/>
  </w:num>
  <w:num w:numId="4">
    <w:abstractNumId w:val="6"/>
  </w:num>
  <w:num w:numId="5">
    <w:abstractNumId w:val="4"/>
  </w:num>
  <w:num w:numId="6">
    <w:abstractNumId w:val="19"/>
  </w:num>
  <w:num w:numId="7">
    <w:abstractNumId w:val="17"/>
  </w:num>
  <w:num w:numId="8">
    <w:abstractNumId w:val="16"/>
  </w:num>
  <w:num w:numId="9">
    <w:abstractNumId w:val="14"/>
  </w:num>
  <w:num w:numId="10">
    <w:abstractNumId w:val="0"/>
  </w:num>
  <w:num w:numId="11">
    <w:abstractNumId w:val="5"/>
  </w:num>
  <w:num w:numId="12">
    <w:abstractNumId w:val="9"/>
  </w:num>
  <w:num w:numId="13">
    <w:abstractNumId w:val="3"/>
  </w:num>
  <w:num w:numId="14">
    <w:abstractNumId w:val="12"/>
  </w:num>
  <w:num w:numId="15">
    <w:abstractNumId w:val="15"/>
  </w:num>
  <w:num w:numId="16">
    <w:abstractNumId w:val="7"/>
  </w:num>
  <w:num w:numId="17">
    <w:abstractNumId w:val="8"/>
  </w:num>
  <w:num w:numId="18">
    <w:abstractNumId w:val="20"/>
  </w:num>
  <w:num w:numId="19">
    <w:abstractNumId w:val="18"/>
  </w:num>
  <w:num w:numId="20">
    <w:abstractNumId w:val="2"/>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EA4DC5"/>
    <w:rsid w:val="00C46F29"/>
    <w:rsid w:val="00EA0315"/>
    <w:rsid w:val="00EA4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US" w:bidi="ar-SA"/>
      </w:rPr>
    </w:rPrDefault>
    <w:pPrDefault>
      <w:pPr>
        <w:ind w:firstLine="22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240"/>
      <w:ind w:left="567" w:hanging="567"/>
      <w:jc w:val="left"/>
      <w:outlineLvl w:val="0"/>
    </w:pPr>
    <w:rPr>
      <w:b/>
      <w:sz w:val="24"/>
      <w:szCs w:val="24"/>
    </w:rPr>
  </w:style>
  <w:style w:type="paragraph" w:styleId="Heading2">
    <w:name w:val="heading 2"/>
    <w:basedOn w:val="Normal"/>
    <w:next w:val="Normal"/>
    <w:pPr>
      <w:keepNext/>
      <w:keepLines/>
      <w:spacing w:before="360" w:after="160"/>
      <w:ind w:left="567" w:hanging="567"/>
      <w:jc w:val="left"/>
      <w:outlineLvl w:val="1"/>
    </w:pPr>
    <w:rPr>
      <w:b/>
    </w:rPr>
  </w:style>
  <w:style w:type="paragraph" w:styleId="Heading3">
    <w:name w:val="heading 3"/>
    <w:basedOn w:val="Normal"/>
    <w:next w:val="Normal"/>
    <w:pPr>
      <w:spacing w:before="360"/>
      <w:ind w:firstLine="0"/>
      <w:outlineLvl w:val="2"/>
    </w:pPr>
  </w:style>
  <w:style w:type="paragraph" w:styleId="Heading4">
    <w:name w:val="heading 4"/>
    <w:basedOn w:val="Normal"/>
    <w:next w:val="Normal"/>
    <w:pPr>
      <w:spacing w:before="240"/>
      <w:ind w:firstLine="0"/>
      <w:outlineLvl w:val="3"/>
    </w:p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70" w:type="dxa"/>
        <w:bottom w:w="0" w:type="dxa"/>
        <w:right w:w="70" w:type="dxa"/>
      </w:tblCellMar>
    </w:tblPr>
  </w:style>
  <w:style w:type="paragraph" w:styleId="NormalWeb">
    <w:name w:val="Normal (Web)"/>
    <w:basedOn w:val="Normal"/>
    <w:uiPriority w:val="99"/>
    <w:unhideWhenUsed/>
    <w:rsid w:val="00557EB3"/>
    <w:rPr>
      <w:sz w:val="24"/>
      <w:szCs w:val="24"/>
    </w:rPr>
  </w:style>
  <w:style w:type="paragraph" w:styleId="ListParagraph">
    <w:name w:val="List Paragraph"/>
    <w:basedOn w:val="Normal"/>
    <w:uiPriority w:val="34"/>
    <w:qFormat/>
    <w:rsid w:val="001240EB"/>
    <w:pPr>
      <w:ind w:left="720"/>
      <w:contextualSpacing/>
    </w:pPr>
  </w:style>
  <w:style w:type="paragraph" w:styleId="Footer">
    <w:name w:val="footer"/>
    <w:basedOn w:val="Normal"/>
    <w:link w:val="FooterChar"/>
    <w:uiPriority w:val="99"/>
    <w:unhideWhenUsed/>
    <w:rsid w:val="00C8139D"/>
    <w:pPr>
      <w:tabs>
        <w:tab w:val="center" w:pos="4513"/>
        <w:tab w:val="right" w:pos="9026"/>
      </w:tabs>
    </w:pPr>
  </w:style>
  <w:style w:type="character" w:customStyle="1" w:styleId="FooterChar">
    <w:name w:val="Footer Char"/>
    <w:basedOn w:val="DefaultParagraphFont"/>
    <w:link w:val="Footer"/>
    <w:uiPriority w:val="99"/>
    <w:rsid w:val="00C8139D"/>
  </w:style>
  <w:style w:type="paragraph" w:styleId="Header">
    <w:name w:val="header"/>
    <w:basedOn w:val="Normal"/>
    <w:link w:val="HeaderChar"/>
    <w:uiPriority w:val="99"/>
    <w:unhideWhenUsed/>
    <w:rsid w:val="00C8139D"/>
    <w:pPr>
      <w:tabs>
        <w:tab w:val="center" w:pos="4513"/>
        <w:tab w:val="right" w:pos="9026"/>
      </w:tabs>
    </w:pPr>
  </w:style>
  <w:style w:type="character" w:customStyle="1" w:styleId="HeaderChar">
    <w:name w:val="Header Char"/>
    <w:basedOn w:val="DefaultParagraphFont"/>
    <w:link w:val="Header"/>
    <w:uiPriority w:val="99"/>
    <w:rsid w:val="00C8139D"/>
  </w:style>
  <w:style w:type="character" w:styleId="PlaceholderText">
    <w:name w:val="Placeholder Text"/>
    <w:basedOn w:val="DefaultParagraphFont"/>
    <w:uiPriority w:val="99"/>
    <w:semiHidden/>
    <w:rsid w:val="00C8139D"/>
    <w:rPr>
      <w:color w:val="666666"/>
    </w:rPr>
  </w:style>
  <w:style w:type="character" w:styleId="Emphasis">
    <w:name w:val="Emphasis"/>
    <w:basedOn w:val="DefaultParagraphFont"/>
    <w:uiPriority w:val="20"/>
    <w:qFormat/>
    <w:rsid w:val="00470815"/>
    <w:rPr>
      <w:i/>
      <w:i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Ind w:w="0" w:type="dxa"/>
      <w:tblCellMar>
        <w:top w:w="15" w:type="dxa"/>
        <w:left w:w="15" w:type="dxa"/>
        <w:bottom w:w="15" w:type="dxa"/>
        <w:right w:w="15" w:type="dxa"/>
      </w:tblCellMar>
    </w:tblPr>
  </w:style>
  <w:style w:type="table" w:customStyle="1" w:styleId="a1">
    <w:basedOn w:val="TableNormal"/>
    <w:tblPr>
      <w:tblStyleRowBandSize w:val="1"/>
      <w:tblStyleColBandSize w:val="1"/>
      <w:tblInd w:w="0" w:type="dxa"/>
      <w:tblCellMar>
        <w:top w:w="15" w:type="dxa"/>
        <w:left w:w="15" w:type="dxa"/>
        <w:bottom w:w="15" w:type="dxa"/>
        <w:right w:w="15"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C46F29"/>
    <w:rPr>
      <w:rFonts w:ascii="Tahoma" w:hAnsi="Tahoma" w:cs="Tahoma"/>
      <w:sz w:val="16"/>
      <w:szCs w:val="16"/>
    </w:rPr>
  </w:style>
  <w:style w:type="character" w:customStyle="1" w:styleId="BalloonTextChar">
    <w:name w:val="Balloon Text Char"/>
    <w:basedOn w:val="DefaultParagraphFont"/>
    <w:link w:val="BalloonText"/>
    <w:uiPriority w:val="99"/>
    <w:semiHidden/>
    <w:rsid w:val="00C46F2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US" w:bidi="ar-SA"/>
      </w:rPr>
    </w:rPrDefault>
    <w:pPrDefault>
      <w:pPr>
        <w:ind w:firstLine="22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240"/>
      <w:ind w:left="567" w:hanging="567"/>
      <w:jc w:val="left"/>
      <w:outlineLvl w:val="0"/>
    </w:pPr>
    <w:rPr>
      <w:b/>
      <w:sz w:val="24"/>
      <w:szCs w:val="24"/>
    </w:rPr>
  </w:style>
  <w:style w:type="paragraph" w:styleId="Heading2">
    <w:name w:val="heading 2"/>
    <w:basedOn w:val="Normal"/>
    <w:next w:val="Normal"/>
    <w:pPr>
      <w:keepNext/>
      <w:keepLines/>
      <w:spacing w:before="360" w:after="160"/>
      <w:ind w:left="567" w:hanging="567"/>
      <w:jc w:val="left"/>
      <w:outlineLvl w:val="1"/>
    </w:pPr>
    <w:rPr>
      <w:b/>
    </w:rPr>
  </w:style>
  <w:style w:type="paragraph" w:styleId="Heading3">
    <w:name w:val="heading 3"/>
    <w:basedOn w:val="Normal"/>
    <w:next w:val="Normal"/>
    <w:pPr>
      <w:spacing w:before="360"/>
      <w:ind w:firstLine="0"/>
      <w:outlineLvl w:val="2"/>
    </w:pPr>
  </w:style>
  <w:style w:type="paragraph" w:styleId="Heading4">
    <w:name w:val="heading 4"/>
    <w:basedOn w:val="Normal"/>
    <w:next w:val="Normal"/>
    <w:pPr>
      <w:spacing w:before="240"/>
      <w:ind w:firstLine="0"/>
      <w:outlineLvl w:val="3"/>
    </w:p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70" w:type="dxa"/>
        <w:bottom w:w="0" w:type="dxa"/>
        <w:right w:w="70" w:type="dxa"/>
      </w:tblCellMar>
    </w:tblPr>
  </w:style>
  <w:style w:type="paragraph" w:styleId="NormalWeb">
    <w:name w:val="Normal (Web)"/>
    <w:basedOn w:val="Normal"/>
    <w:uiPriority w:val="99"/>
    <w:unhideWhenUsed/>
    <w:rsid w:val="00557EB3"/>
    <w:rPr>
      <w:sz w:val="24"/>
      <w:szCs w:val="24"/>
    </w:rPr>
  </w:style>
  <w:style w:type="paragraph" w:styleId="ListParagraph">
    <w:name w:val="List Paragraph"/>
    <w:basedOn w:val="Normal"/>
    <w:uiPriority w:val="34"/>
    <w:qFormat/>
    <w:rsid w:val="001240EB"/>
    <w:pPr>
      <w:ind w:left="720"/>
      <w:contextualSpacing/>
    </w:pPr>
  </w:style>
  <w:style w:type="paragraph" w:styleId="Footer">
    <w:name w:val="footer"/>
    <w:basedOn w:val="Normal"/>
    <w:link w:val="FooterChar"/>
    <w:uiPriority w:val="99"/>
    <w:unhideWhenUsed/>
    <w:rsid w:val="00C8139D"/>
    <w:pPr>
      <w:tabs>
        <w:tab w:val="center" w:pos="4513"/>
        <w:tab w:val="right" w:pos="9026"/>
      </w:tabs>
    </w:pPr>
  </w:style>
  <w:style w:type="character" w:customStyle="1" w:styleId="FooterChar">
    <w:name w:val="Footer Char"/>
    <w:basedOn w:val="DefaultParagraphFont"/>
    <w:link w:val="Footer"/>
    <w:uiPriority w:val="99"/>
    <w:rsid w:val="00C8139D"/>
  </w:style>
  <w:style w:type="paragraph" w:styleId="Header">
    <w:name w:val="header"/>
    <w:basedOn w:val="Normal"/>
    <w:link w:val="HeaderChar"/>
    <w:uiPriority w:val="99"/>
    <w:unhideWhenUsed/>
    <w:rsid w:val="00C8139D"/>
    <w:pPr>
      <w:tabs>
        <w:tab w:val="center" w:pos="4513"/>
        <w:tab w:val="right" w:pos="9026"/>
      </w:tabs>
    </w:pPr>
  </w:style>
  <w:style w:type="character" w:customStyle="1" w:styleId="HeaderChar">
    <w:name w:val="Header Char"/>
    <w:basedOn w:val="DefaultParagraphFont"/>
    <w:link w:val="Header"/>
    <w:uiPriority w:val="99"/>
    <w:rsid w:val="00C8139D"/>
  </w:style>
  <w:style w:type="character" w:styleId="PlaceholderText">
    <w:name w:val="Placeholder Text"/>
    <w:basedOn w:val="DefaultParagraphFont"/>
    <w:uiPriority w:val="99"/>
    <w:semiHidden/>
    <w:rsid w:val="00C8139D"/>
    <w:rPr>
      <w:color w:val="666666"/>
    </w:rPr>
  </w:style>
  <w:style w:type="character" w:styleId="Emphasis">
    <w:name w:val="Emphasis"/>
    <w:basedOn w:val="DefaultParagraphFont"/>
    <w:uiPriority w:val="20"/>
    <w:qFormat/>
    <w:rsid w:val="00470815"/>
    <w:rPr>
      <w:i/>
      <w:i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Ind w:w="0" w:type="dxa"/>
      <w:tblCellMar>
        <w:top w:w="15" w:type="dxa"/>
        <w:left w:w="15" w:type="dxa"/>
        <w:bottom w:w="15" w:type="dxa"/>
        <w:right w:w="15" w:type="dxa"/>
      </w:tblCellMar>
    </w:tblPr>
  </w:style>
  <w:style w:type="table" w:customStyle="1" w:styleId="a1">
    <w:basedOn w:val="TableNormal"/>
    <w:tblPr>
      <w:tblStyleRowBandSize w:val="1"/>
      <w:tblStyleColBandSize w:val="1"/>
      <w:tblInd w:w="0" w:type="dxa"/>
      <w:tblCellMar>
        <w:top w:w="15" w:type="dxa"/>
        <w:left w:w="15" w:type="dxa"/>
        <w:bottom w:w="15" w:type="dxa"/>
        <w:right w:w="15"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C46F29"/>
    <w:rPr>
      <w:rFonts w:ascii="Tahoma" w:hAnsi="Tahoma" w:cs="Tahoma"/>
      <w:sz w:val="16"/>
      <w:szCs w:val="16"/>
    </w:rPr>
  </w:style>
  <w:style w:type="character" w:customStyle="1" w:styleId="BalloonTextChar">
    <w:name w:val="Balloon Text Char"/>
    <w:basedOn w:val="DefaultParagraphFont"/>
    <w:link w:val="BalloonText"/>
    <w:uiPriority w:val="99"/>
    <w:semiHidden/>
    <w:rsid w:val="00C46F2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L0O6ZUaPj8nXWKFQ0zKjUPMeQ==">CgMxLjAaEgoBMBINCgsIB0IHEgVDYXJkbxoSCgExEg0KCwgHQgcSBUNhcmRvMg5oLjRjM2Q2NThkZ25hdjgAciExMlYzSVRMeWJEU21HTUtnLTRUNnVqM0FrX254LUVxLUE=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3817</Words>
  <Characters>21763</Characters>
  <Application>Microsoft Office Word</Application>
  <DocSecurity>0</DocSecurity>
  <Lines>181</Lines>
  <Paragraphs>51</Paragraphs>
  <ScaleCrop>false</ScaleCrop>
  <Company>by adguard</Company>
  <LinksUpToDate>false</LinksUpToDate>
  <CharactersWithSpaces>25529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Hinge</dc:creator>
  <cp:lastModifiedBy>Admin</cp:lastModifiedBy>
  <cp:revision>2</cp:revision>
  <dcterms:created xsi:type="dcterms:W3CDTF">2025-09-22T10:31:00Z</dcterms:created>
  <dcterms:modified xsi:type="dcterms:W3CDTF">2025-11-30T10:54:00Z</dcterms:modified>
</cp:coreProperties>
</file>