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FA6" w:rsidRPr="006F7FA6" w:rsidRDefault="006F7FA6" w:rsidP="006F7FA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F7FA6">
        <w:rPr>
          <w:rFonts w:ascii="Verdana" w:eastAsia="Times New Roman" w:hAnsi="Verdana" w:cs="Times New Roman"/>
          <w:color w:val="000000"/>
          <w:sz w:val="14"/>
          <w:szCs w:val="14"/>
        </w:rPr>
        <w:t>It has different values depending on where it is used:</w:t>
      </w:r>
    </w:p>
    <w:p w:rsidR="006F7FA6" w:rsidRPr="006F7FA6" w:rsidRDefault="006F7FA6" w:rsidP="006F7FA6">
      <w:pPr>
        <w:numPr>
          <w:ilvl w:val="0"/>
          <w:numId w:val="1"/>
        </w:numPr>
        <w:pBdr>
          <w:bottom w:val="single" w:sz="4" w:space="4" w:color="DDDDDD"/>
        </w:pBd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F7FA6">
        <w:rPr>
          <w:rFonts w:ascii="Verdana" w:eastAsia="Times New Roman" w:hAnsi="Verdana" w:cs="Times New Roman"/>
          <w:color w:val="000000"/>
          <w:sz w:val="14"/>
          <w:szCs w:val="14"/>
        </w:rPr>
        <w:t>In a method, </w:t>
      </w:r>
      <w:r w:rsidRPr="006F7FA6">
        <w:rPr>
          <w:rFonts w:ascii="Consolas" w:eastAsia="Times New Roman" w:hAnsi="Consolas" w:cs="Courier New"/>
          <w:color w:val="DC143C"/>
          <w:sz w:val="15"/>
        </w:rPr>
        <w:t>this</w:t>
      </w:r>
      <w:r w:rsidRPr="006F7FA6">
        <w:rPr>
          <w:rFonts w:ascii="Verdana" w:eastAsia="Times New Roman" w:hAnsi="Verdana" w:cs="Times New Roman"/>
          <w:color w:val="000000"/>
          <w:sz w:val="14"/>
          <w:szCs w:val="14"/>
        </w:rPr>
        <w:t> refers to the </w:t>
      </w:r>
      <w:r w:rsidRPr="006F7FA6">
        <w:rPr>
          <w:rFonts w:ascii="Verdana" w:eastAsia="Times New Roman" w:hAnsi="Verdana" w:cs="Times New Roman"/>
          <w:b/>
          <w:bCs/>
          <w:color w:val="000000"/>
          <w:sz w:val="14"/>
          <w:szCs w:val="14"/>
        </w:rPr>
        <w:t>owner object</w:t>
      </w:r>
      <w:r w:rsidRPr="006F7FA6">
        <w:rPr>
          <w:rFonts w:ascii="Verdana" w:eastAsia="Times New Roman" w:hAnsi="Verdana" w:cs="Times New Roman"/>
          <w:color w:val="000000"/>
          <w:sz w:val="14"/>
          <w:szCs w:val="14"/>
        </w:rPr>
        <w:t>.</w:t>
      </w:r>
    </w:p>
    <w:p w:rsidR="006F7FA6" w:rsidRPr="006F7FA6" w:rsidRDefault="006F7FA6" w:rsidP="006F7FA6">
      <w:pPr>
        <w:numPr>
          <w:ilvl w:val="0"/>
          <w:numId w:val="1"/>
        </w:numPr>
        <w:pBdr>
          <w:bottom w:val="single" w:sz="4" w:space="4" w:color="DDDDDD"/>
        </w:pBd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F7FA6">
        <w:rPr>
          <w:rFonts w:ascii="Verdana" w:eastAsia="Times New Roman" w:hAnsi="Verdana" w:cs="Times New Roman"/>
          <w:color w:val="000000"/>
          <w:sz w:val="14"/>
          <w:szCs w:val="14"/>
        </w:rPr>
        <w:t>Alone, </w:t>
      </w:r>
      <w:r w:rsidRPr="006F7FA6">
        <w:rPr>
          <w:rFonts w:ascii="Consolas" w:eastAsia="Times New Roman" w:hAnsi="Consolas" w:cs="Courier New"/>
          <w:color w:val="DC143C"/>
          <w:sz w:val="15"/>
        </w:rPr>
        <w:t>this</w:t>
      </w:r>
      <w:r w:rsidRPr="006F7FA6">
        <w:rPr>
          <w:rFonts w:ascii="Verdana" w:eastAsia="Times New Roman" w:hAnsi="Verdana" w:cs="Times New Roman"/>
          <w:color w:val="000000"/>
          <w:sz w:val="14"/>
          <w:szCs w:val="14"/>
        </w:rPr>
        <w:t> refers to the </w:t>
      </w:r>
      <w:r w:rsidRPr="006F7FA6">
        <w:rPr>
          <w:rFonts w:ascii="Verdana" w:eastAsia="Times New Roman" w:hAnsi="Verdana" w:cs="Times New Roman"/>
          <w:b/>
          <w:bCs/>
          <w:color w:val="000000"/>
          <w:sz w:val="14"/>
          <w:szCs w:val="14"/>
        </w:rPr>
        <w:t>global object</w:t>
      </w:r>
      <w:r w:rsidRPr="006F7FA6">
        <w:rPr>
          <w:rFonts w:ascii="Verdana" w:eastAsia="Times New Roman" w:hAnsi="Verdana" w:cs="Times New Roman"/>
          <w:color w:val="000000"/>
          <w:sz w:val="14"/>
          <w:szCs w:val="14"/>
        </w:rPr>
        <w:t>.</w:t>
      </w:r>
    </w:p>
    <w:p w:rsidR="006F7FA6" w:rsidRPr="006F7FA6" w:rsidRDefault="006F7FA6" w:rsidP="006F7FA6">
      <w:pPr>
        <w:numPr>
          <w:ilvl w:val="0"/>
          <w:numId w:val="1"/>
        </w:numPr>
        <w:pBdr>
          <w:bottom w:val="single" w:sz="4" w:space="4" w:color="DDDDDD"/>
        </w:pBd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F7FA6">
        <w:rPr>
          <w:rFonts w:ascii="Verdana" w:eastAsia="Times New Roman" w:hAnsi="Verdana" w:cs="Times New Roman"/>
          <w:color w:val="000000"/>
          <w:sz w:val="14"/>
          <w:szCs w:val="14"/>
        </w:rPr>
        <w:t>In a function, </w:t>
      </w:r>
      <w:r w:rsidRPr="006F7FA6">
        <w:rPr>
          <w:rFonts w:ascii="Consolas" w:eastAsia="Times New Roman" w:hAnsi="Consolas" w:cs="Courier New"/>
          <w:color w:val="DC143C"/>
          <w:sz w:val="15"/>
        </w:rPr>
        <w:t>this</w:t>
      </w:r>
      <w:r w:rsidRPr="006F7FA6">
        <w:rPr>
          <w:rFonts w:ascii="Verdana" w:eastAsia="Times New Roman" w:hAnsi="Verdana" w:cs="Times New Roman"/>
          <w:color w:val="000000"/>
          <w:sz w:val="14"/>
          <w:szCs w:val="14"/>
        </w:rPr>
        <w:t> refers to the </w:t>
      </w:r>
      <w:r w:rsidRPr="006F7FA6">
        <w:rPr>
          <w:rFonts w:ascii="Verdana" w:eastAsia="Times New Roman" w:hAnsi="Verdana" w:cs="Times New Roman"/>
          <w:b/>
          <w:bCs/>
          <w:color w:val="000000"/>
          <w:sz w:val="14"/>
          <w:szCs w:val="14"/>
        </w:rPr>
        <w:t>global object</w:t>
      </w:r>
      <w:r w:rsidRPr="006F7FA6">
        <w:rPr>
          <w:rFonts w:ascii="Verdana" w:eastAsia="Times New Roman" w:hAnsi="Verdana" w:cs="Times New Roman"/>
          <w:color w:val="000000"/>
          <w:sz w:val="14"/>
          <w:szCs w:val="14"/>
        </w:rPr>
        <w:t>.</w:t>
      </w:r>
    </w:p>
    <w:p w:rsidR="006F7FA6" w:rsidRPr="006F7FA6" w:rsidRDefault="006F7FA6" w:rsidP="006F7FA6">
      <w:pPr>
        <w:numPr>
          <w:ilvl w:val="0"/>
          <w:numId w:val="1"/>
        </w:numPr>
        <w:pBdr>
          <w:bottom w:val="single" w:sz="4" w:space="4" w:color="DDDDDD"/>
        </w:pBd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F7FA6">
        <w:rPr>
          <w:rFonts w:ascii="Verdana" w:eastAsia="Times New Roman" w:hAnsi="Verdana" w:cs="Times New Roman"/>
          <w:color w:val="000000"/>
          <w:sz w:val="14"/>
          <w:szCs w:val="14"/>
        </w:rPr>
        <w:t>In a function, in strict mode, </w:t>
      </w:r>
      <w:r w:rsidRPr="006F7FA6">
        <w:rPr>
          <w:rFonts w:ascii="Consolas" w:eastAsia="Times New Roman" w:hAnsi="Consolas" w:cs="Courier New"/>
          <w:color w:val="DC143C"/>
          <w:sz w:val="15"/>
        </w:rPr>
        <w:t>this</w:t>
      </w:r>
      <w:r w:rsidRPr="006F7FA6">
        <w:rPr>
          <w:rFonts w:ascii="Verdana" w:eastAsia="Times New Roman" w:hAnsi="Verdana" w:cs="Times New Roman"/>
          <w:color w:val="000000"/>
          <w:sz w:val="14"/>
          <w:szCs w:val="14"/>
        </w:rPr>
        <w:t> is </w:t>
      </w:r>
      <w:r w:rsidRPr="006F7FA6">
        <w:rPr>
          <w:rFonts w:ascii="Consolas" w:eastAsia="Times New Roman" w:hAnsi="Consolas" w:cs="Courier New"/>
          <w:color w:val="DC143C"/>
          <w:sz w:val="15"/>
        </w:rPr>
        <w:t>undefined</w:t>
      </w:r>
      <w:r w:rsidRPr="006F7FA6">
        <w:rPr>
          <w:rFonts w:ascii="Verdana" w:eastAsia="Times New Roman" w:hAnsi="Verdana" w:cs="Times New Roman"/>
          <w:color w:val="000000"/>
          <w:sz w:val="14"/>
          <w:szCs w:val="14"/>
        </w:rPr>
        <w:t>.</w:t>
      </w:r>
    </w:p>
    <w:p w:rsidR="006F7FA6" w:rsidRPr="006F7FA6" w:rsidRDefault="006F7FA6" w:rsidP="006F7FA6">
      <w:pPr>
        <w:numPr>
          <w:ilvl w:val="0"/>
          <w:numId w:val="1"/>
        </w:numPr>
        <w:pBdr>
          <w:bottom w:val="single" w:sz="4" w:space="4" w:color="DDDDDD"/>
        </w:pBd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F7FA6">
        <w:rPr>
          <w:rFonts w:ascii="Verdana" w:eastAsia="Times New Roman" w:hAnsi="Verdana" w:cs="Times New Roman"/>
          <w:color w:val="000000"/>
          <w:sz w:val="14"/>
          <w:szCs w:val="14"/>
        </w:rPr>
        <w:t>In an event, </w:t>
      </w:r>
      <w:r w:rsidRPr="006F7FA6">
        <w:rPr>
          <w:rFonts w:ascii="Consolas" w:eastAsia="Times New Roman" w:hAnsi="Consolas" w:cs="Courier New"/>
          <w:color w:val="DC143C"/>
          <w:sz w:val="15"/>
        </w:rPr>
        <w:t>this</w:t>
      </w:r>
      <w:r w:rsidRPr="006F7FA6">
        <w:rPr>
          <w:rFonts w:ascii="Verdana" w:eastAsia="Times New Roman" w:hAnsi="Verdana" w:cs="Times New Roman"/>
          <w:color w:val="000000"/>
          <w:sz w:val="14"/>
          <w:szCs w:val="14"/>
        </w:rPr>
        <w:t> refers to the </w:t>
      </w:r>
      <w:r w:rsidRPr="006F7FA6">
        <w:rPr>
          <w:rFonts w:ascii="Verdana" w:eastAsia="Times New Roman" w:hAnsi="Verdana" w:cs="Times New Roman"/>
          <w:b/>
          <w:bCs/>
          <w:color w:val="000000"/>
          <w:sz w:val="14"/>
          <w:szCs w:val="14"/>
        </w:rPr>
        <w:t>element</w:t>
      </w:r>
      <w:r w:rsidRPr="006F7FA6">
        <w:rPr>
          <w:rFonts w:ascii="Verdana" w:eastAsia="Times New Roman" w:hAnsi="Verdana" w:cs="Times New Roman"/>
          <w:color w:val="000000"/>
          <w:sz w:val="14"/>
          <w:szCs w:val="14"/>
        </w:rPr>
        <w:t> that received the event.</w:t>
      </w:r>
    </w:p>
    <w:p w:rsidR="006F7FA6" w:rsidRPr="006F7FA6" w:rsidRDefault="006F7FA6" w:rsidP="006F7FA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F7FA6">
        <w:rPr>
          <w:rFonts w:ascii="Verdana" w:eastAsia="Times New Roman" w:hAnsi="Verdana" w:cs="Times New Roman"/>
          <w:color w:val="000000"/>
          <w:sz w:val="14"/>
          <w:szCs w:val="14"/>
        </w:rPr>
        <w:t>Methods like </w:t>
      </w:r>
      <w:proofErr w:type="gramStart"/>
      <w:r w:rsidRPr="006F7FA6">
        <w:rPr>
          <w:rFonts w:ascii="Consolas" w:eastAsia="Times New Roman" w:hAnsi="Consolas" w:cs="Courier New"/>
          <w:color w:val="DC143C"/>
          <w:sz w:val="15"/>
        </w:rPr>
        <w:t>call(</w:t>
      </w:r>
      <w:proofErr w:type="gramEnd"/>
      <w:r w:rsidRPr="006F7FA6">
        <w:rPr>
          <w:rFonts w:ascii="Consolas" w:eastAsia="Times New Roman" w:hAnsi="Consolas" w:cs="Courier New"/>
          <w:color w:val="DC143C"/>
          <w:sz w:val="15"/>
        </w:rPr>
        <w:t>)</w:t>
      </w:r>
      <w:r w:rsidRPr="006F7FA6">
        <w:rPr>
          <w:rFonts w:ascii="Verdana" w:eastAsia="Times New Roman" w:hAnsi="Verdana" w:cs="Times New Roman"/>
          <w:color w:val="000000"/>
          <w:sz w:val="14"/>
          <w:szCs w:val="14"/>
        </w:rPr>
        <w:t>, and </w:t>
      </w:r>
      <w:r w:rsidRPr="006F7FA6">
        <w:rPr>
          <w:rFonts w:ascii="Consolas" w:eastAsia="Times New Roman" w:hAnsi="Consolas" w:cs="Courier New"/>
          <w:color w:val="DC143C"/>
          <w:sz w:val="15"/>
        </w:rPr>
        <w:t>apply()</w:t>
      </w:r>
      <w:r w:rsidRPr="006F7FA6">
        <w:rPr>
          <w:rFonts w:ascii="Verdana" w:eastAsia="Times New Roman" w:hAnsi="Verdana" w:cs="Times New Roman"/>
          <w:color w:val="000000"/>
          <w:sz w:val="14"/>
          <w:szCs w:val="14"/>
        </w:rPr>
        <w:t> can refer </w:t>
      </w:r>
      <w:r w:rsidRPr="006F7FA6">
        <w:rPr>
          <w:rFonts w:ascii="Consolas" w:eastAsia="Times New Roman" w:hAnsi="Consolas" w:cs="Courier New"/>
          <w:color w:val="DC143C"/>
          <w:sz w:val="15"/>
        </w:rPr>
        <w:t>this</w:t>
      </w:r>
      <w:r w:rsidRPr="006F7FA6">
        <w:rPr>
          <w:rFonts w:ascii="Verdana" w:eastAsia="Times New Roman" w:hAnsi="Verdana" w:cs="Times New Roman"/>
          <w:color w:val="000000"/>
          <w:sz w:val="14"/>
          <w:szCs w:val="14"/>
        </w:rPr>
        <w:t> to </w:t>
      </w:r>
      <w:r w:rsidRPr="006F7FA6">
        <w:rPr>
          <w:rFonts w:ascii="Verdana" w:eastAsia="Times New Roman" w:hAnsi="Verdana" w:cs="Times New Roman"/>
          <w:b/>
          <w:bCs/>
          <w:color w:val="000000"/>
          <w:sz w:val="14"/>
          <w:szCs w:val="14"/>
        </w:rPr>
        <w:t>any object</w:t>
      </w:r>
      <w:r w:rsidRPr="006F7FA6">
        <w:rPr>
          <w:rFonts w:ascii="Verdana" w:eastAsia="Times New Roman" w:hAnsi="Verdana" w:cs="Times New Roman"/>
          <w:color w:val="000000"/>
          <w:sz w:val="14"/>
          <w:szCs w:val="14"/>
        </w:rPr>
        <w:t>.</w:t>
      </w:r>
    </w:p>
    <w:p w:rsidR="00E256FE" w:rsidRDefault="00E256FE"/>
    <w:sectPr w:rsidR="00E25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F5096D"/>
    <w:multiLevelType w:val="multilevel"/>
    <w:tmpl w:val="B1E2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6F7FA6"/>
    <w:rsid w:val="006F7FA6"/>
    <w:rsid w:val="00E25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F7F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AHX2017CPU107</dc:creator>
  <cp:keywords/>
  <dc:description/>
  <cp:lastModifiedBy>AHX2017CPU107</cp:lastModifiedBy>
  <cp:revision>2</cp:revision>
  <dcterms:created xsi:type="dcterms:W3CDTF">2019-09-30T07:09:00Z</dcterms:created>
  <dcterms:modified xsi:type="dcterms:W3CDTF">2019-09-30T07:09:00Z</dcterms:modified>
</cp:coreProperties>
</file>