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C76E8" w14:textId="77777777" w:rsidR="00AB67BB" w:rsidRDefault="00000000">
      <w:pPr>
        <w:spacing w:after="40"/>
      </w:pPr>
      <w:r>
        <w:rPr>
          <w:rFonts w:ascii="Calibri" w:eastAsia="Calibri" w:hAnsi="Calibri" w:cs="Calibri"/>
          <w:b/>
          <w:bCs/>
          <w:sz w:val="32"/>
          <w:szCs w:val="32"/>
        </w:rPr>
        <w:t>Lab 3: Architecture Justification</w:t>
      </w:r>
    </w:p>
    <w:p w14:paraId="16DA9260" w14:textId="0DCA5AE6" w:rsidR="00AB67BB" w:rsidRDefault="00000000">
      <w:pPr>
        <w:pBdr>
          <w:bottom w:val="single" w:sz="6" w:space="4" w:color="808080"/>
        </w:pBdr>
        <w:spacing w:after="200"/>
      </w:pPr>
      <w:r>
        <w:rPr>
          <w:rFonts w:ascii="Calibri" w:eastAsia="Calibri" w:hAnsi="Calibri" w:cs="Calibri"/>
          <w:color w:val="444444"/>
          <w:sz w:val="22"/>
          <w:szCs w:val="22"/>
        </w:rPr>
        <w:t xml:space="preserve">Patient Health Record Consent Management System </w:t>
      </w:r>
    </w:p>
    <w:p w14:paraId="5A2E3C86" w14:textId="3B7D3B50" w:rsidR="00AB67BB" w:rsidRDefault="00000000">
      <w:pPr>
        <w:spacing w:after="130" w:line="264" w:lineRule="auto"/>
        <w:jc w:val="both"/>
      </w:pPr>
      <w:r>
        <w:rPr>
          <w:rFonts w:ascii="Calibri" w:eastAsia="Calibri" w:hAnsi="Calibri" w:cs="Calibri"/>
          <w:b/>
          <w:bCs/>
          <w:sz w:val="22"/>
          <w:szCs w:val="22"/>
        </w:rPr>
        <w:t>Architecture Selection:</w:t>
      </w:r>
      <w:r w:rsidR="00E2274D">
        <w:rPr>
          <w:rFonts w:ascii="Calibri" w:eastAsia="Calibri" w:hAnsi="Calibri" w:cs="Calibri"/>
          <w:b/>
          <w:bCs/>
          <w:sz w:val="22"/>
          <w:szCs w:val="22"/>
        </w:rPr>
        <w:t xml:space="preserve"> I</w:t>
      </w:r>
      <w:r>
        <w:rPr>
          <w:rFonts w:ascii="Calibri" w:eastAsia="Calibri" w:hAnsi="Calibri" w:cs="Calibri"/>
          <w:b/>
          <w:bCs/>
          <w:sz w:val="22"/>
          <w:szCs w:val="22"/>
        </w:rPr>
        <w:t xml:space="preserve"> chose Layered Architecture for the Patient Health Record Consent Management System.</w:t>
      </w:r>
    </w:p>
    <w:p w14:paraId="3AD4BDBE" w14:textId="79050144" w:rsidR="00AB67BB" w:rsidRDefault="00000000">
      <w:pPr>
        <w:spacing w:after="130" w:line="264" w:lineRule="auto"/>
        <w:jc w:val="both"/>
      </w:pPr>
      <w:r>
        <w:rPr>
          <w:rFonts w:ascii="Calibri" w:eastAsia="Calibri" w:hAnsi="Calibri" w:cs="Calibri"/>
          <w:b/>
          <w:bCs/>
          <w:sz w:val="22"/>
          <w:szCs w:val="22"/>
        </w:rPr>
        <w:t xml:space="preserve">Architectural Choice. </w:t>
      </w:r>
      <w:r w:rsidR="00E2274D">
        <w:rPr>
          <w:rFonts w:ascii="Calibri" w:eastAsia="Calibri" w:hAnsi="Calibri" w:cs="Calibri"/>
          <w:sz w:val="22"/>
          <w:szCs w:val="22"/>
        </w:rPr>
        <w:t>I</w:t>
      </w:r>
      <w:r>
        <w:rPr>
          <w:rFonts w:ascii="Calibri" w:eastAsia="Calibri" w:hAnsi="Calibri" w:cs="Calibri"/>
          <w:sz w:val="22"/>
          <w:szCs w:val="22"/>
        </w:rPr>
        <w:t xml:space="preserve"> looked at Layered, Microservices and Client-Server before deciding. Our design has three layers. The Presentation layer holds the Consent Portal UI. The Business layer holds five components: Consent Manager, Access Control, Provider Verification, Notification and Audit Trail. The Data layer holds the Records and Consent Database. Each layer only talks to the one below it, and only through the interfaces shown in the component diagram. Microservices would give us a lot of separately deployed services and separate databases for a system that really has one consent store, and plain Client-Server would put all the logic in one block with no clear boundaries.</w:t>
      </w:r>
    </w:p>
    <w:p w14:paraId="0E7FEC6E" w14:textId="77777777" w:rsidR="00AB67BB" w:rsidRDefault="00000000">
      <w:pPr>
        <w:spacing w:after="130" w:line="264" w:lineRule="auto"/>
        <w:jc w:val="both"/>
      </w:pPr>
      <w:r>
        <w:rPr>
          <w:rFonts w:ascii="Calibri" w:eastAsia="Calibri" w:hAnsi="Calibri" w:cs="Calibri"/>
          <w:b/>
          <w:bCs/>
          <w:sz w:val="22"/>
          <w:szCs w:val="22"/>
        </w:rPr>
        <w:t xml:space="preserve">Reason 1: the workflow is a top-down chain. </w:t>
      </w:r>
      <w:r>
        <w:rPr>
          <w:rFonts w:ascii="Calibri" w:eastAsia="Calibri" w:hAnsi="Calibri" w:cs="Calibri"/>
          <w:sz w:val="22"/>
          <w:szCs w:val="22"/>
        </w:rPr>
        <w:t>Almost everything in this system follows the same path from the portal to the consent logic to the data. Granting access (UC-01), for example, goes from the UI to the Consent Manager, then to Provider Verification, and finally gets saved in the database. Layers fit that path directly. It also lets us give each requirement a clear owner: FR-001 to FR-003 sit in the Consent Manager, FR-004 and FR-005 sit in Access Control, and NFR-001 sits in the Audit Trail. That makes each requirement easier to build and test on its own.</w:t>
      </w:r>
    </w:p>
    <w:p w14:paraId="5C9DF999" w14:textId="77777777" w:rsidR="00AB67BB" w:rsidRDefault="00000000">
      <w:pPr>
        <w:spacing w:after="130" w:line="264" w:lineRule="auto"/>
        <w:jc w:val="both"/>
      </w:pPr>
      <w:r>
        <w:rPr>
          <w:rFonts w:ascii="Calibri" w:eastAsia="Calibri" w:hAnsi="Calibri" w:cs="Calibri"/>
          <w:b/>
          <w:bCs/>
          <w:sz w:val="22"/>
          <w:szCs w:val="22"/>
        </w:rPr>
        <w:t xml:space="preserve">Reason 2: consent state has to stay consistent. </w:t>
      </w:r>
      <w:r>
        <w:rPr>
          <w:rFonts w:ascii="Calibri" w:eastAsia="Calibri" w:hAnsi="Calibri" w:cs="Calibri"/>
          <w:sz w:val="22"/>
          <w:szCs w:val="22"/>
        </w:rPr>
        <w:t>A revoked or expired consent must stop working straight away (FR-002 and FR-004). With one shared consent store behind the business layer, Access Control always reads the same record that the Consent Manager just changed, so there are no copies to sync and no chance of a stale "allowed" answer. Because each component sits behind its own interface, we can also replace something like the SMS provider in Notification without touching the rest of the system.</w:t>
      </w:r>
    </w:p>
    <w:p w14:paraId="337D40EB" w14:textId="77777777" w:rsidR="00AB67BB" w:rsidRDefault="00000000">
      <w:pPr>
        <w:spacing w:after="130" w:line="264" w:lineRule="auto"/>
        <w:jc w:val="both"/>
      </w:pPr>
      <w:r>
        <w:rPr>
          <w:rFonts w:ascii="Calibri" w:eastAsia="Calibri" w:hAnsi="Calibri" w:cs="Calibri"/>
          <w:b/>
          <w:bCs/>
          <w:sz w:val="22"/>
          <w:szCs w:val="22"/>
        </w:rPr>
        <w:t xml:space="preserve">Security Advantage. </w:t>
      </w:r>
      <w:r>
        <w:rPr>
          <w:rFonts w:ascii="Calibri" w:eastAsia="Calibri" w:hAnsi="Calibri" w:cs="Calibri"/>
          <w:sz w:val="22"/>
          <w:szCs w:val="22"/>
        </w:rPr>
        <w:t xml:space="preserve">The UI and the outside world never reach the database or the medical records directly. Every request, whether a patient revokes consent or a doctor opens a record, has to pass through the Consent Manager or Access Control. Those components check consent and write an event to the Audit Trail through </w:t>
      </w:r>
      <w:proofErr w:type="spellStart"/>
      <w:r>
        <w:rPr>
          <w:rFonts w:ascii="Calibri" w:eastAsia="Calibri" w:hAnsi="Calibri" w:cs="Calibri"/>
          <w:sz w:val="22"/>
          <w:szCs w:val="22"/>
        </w:rPr>
        <w:t>IAuditLog</w:t>
      </w:r>
      <w:proofErr w:type="spellEnd"/>
      <w:r>
        <w:rPr>
          <w:rFonts w:ascii="Calibri" w:eastAsia="Calibri" w:hAnsi="Calibri" w:cs="Calibri"/>
          <w:sz w:val="22"/>
          <w:szCs w:val="22"/>
        </w:rPr>
        <w:t>, which supports NFR-001. This gives us a single place to enforce rules. The database can also be set to accept connections only from the business layer, over TLS.</w:t>
      </w:r>
    </w:p>
    <w:p w14:paraId="67304525" w14:textId="77777777" w:rsidR="00AB67BB" w:rsidRDefault="00000000">
      <w:pPr>
        <w:spacing w:after="130" w:line="264" w:lineRule="auto"/>
        <w:jc w:val="both"/>
      </w:pPr>
      <w:r>
        <w:rPr>
          <w:rFonts w:ascii="Calibri" w:eastAsia="Calibri" w:hAnsi="Calibri" w:cs="Calibri"/>
          <w:b/>
          <w:bCs/>
          <w:sz w:val="22"/>
          <w:szCs w:val="22"/>
        </w:rPr>
        <w:t xml:space="preserve">Performance Benefit. </w:t>
      </w:r>
      <w:r>
        <w:rPr>
          <w:rFonts w:ascii="Calibri" w:eastAsia="Calibri" w:hAnsi="Calibri" w:cs="Calibri"/>
          <w:sz w:val="22"/>
          <w:szCs w:val="22"/>
        </w:rPr>
        <w:t>NFR-002 asks for 95% of consent checks and record requests to finish within 3 seconds. In a layered design a consent check is one call into Access Control followed by one lookup in the consent store using the provider, record and expiry time. There are no extra network hops between many small services, so little delay is added. Data that rarely changes, such as the provider registry, can be cached. Consent records should always be read live so a revocation is never missed. If load grows, we can run more copies of the business layer.</w:t>
      </w:r>
    </w:p>
    <w:sectPr w:rsidR="00AB67BB">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A64D7"/>
    <w:multiLevelType w:val="hybridMultilevel"/>
    <w:tmpl w:val="B86A4F66"/>
    <w:lvl w:ilvl="0" w:tplc="91224FD8">
      <w:start w:val="1"/>
      <w:numFmt w:val="bullet"/>
      <w:lvlText w:val="●"/>
      <w:lvlJc w:val="left"/>
      <w:pPr>
        <w:ind w:left="720" w:hanging="360"/>
      </w:pPr>
    </w:lvl>
    <w:lvl w:ilvl="1" w:tplc="974CE73C">
      <w:start w:val="1"/>
      <w:numFmt w:val="bullet"/>
      <w:lvlText w:val="○"/>
      <w:lvlJc w:val="left"/>
      <w:pPr>
        <w:ind w:left="1440" w:hanging="360"/>
      </w:pPr>
    </w:lvl>
    <w:lvl w:ilvl="2" w:tplc="7F205B06">
      <w:start w:val="1"/>
      <w:numFmt w:val="bullet"/>
      <w:lvlText w:val="■"/>
      <w:lvlJc w:val="left"/>
      <w:pPr>
        <w:ind w:left="2160" w:hanging="360"/>
      </w:pPr>
    </w:lvl>
    <w:lvl w:ilvl="3" w:tplc="7C64A796">
      <w:start w:val="1"/>
      <w:numFmt w:val="bullet"/>
      <w:lvlText w:val="●"/>
      <w:lvlJc w:val="left"/>
      <w:pPr>
        <w:ind w:left="2880" w:hanging="360"/>
      </w:pPr>
    </w:lvl>
    <w:lvl w:ilvl="4" w:tplc="9BF22A4E">
      <w:start w:val="1"/>
      <w:numFmt w:val="bullet"/>
      <w:lvlText w:val="○"/>
      <w:lvlJc w:val="left"/>
      <w:pPr>
        <w:ind w:left="3600" w:hanging="360"/>
      </w:pPr>
    </w:lvl>
    <w:lvl w:ilvl="5" w:tplc="7722C4BC">
      <w:start w:val="1"/>
      <w:numFmt w:val="bullet"/>
      <w:lvlText w:val="■"/>
      <w:lvlJc w:val="left"/>
      <w:pPr>
        <w:ind w:left="4320" w:hanging="360"/>
      </w:pPr>
    </w:lvl>
    <w:lvl w:ilvl="6" w:tplc="191462F8">
      <w:start w:val="1"/>
      <w:numFmt w:val="bullet"/>
      <w:lvlText w:val="●"/>
      <w:lvlJc w:val="left"/>
      <w:pPr>
        <w:ind w:left="5040" w:hanging="360"/>
      </w:pPr>
    </w:lvl>
    <w:lvl w:ilvl="7" w:tplc="1D8AB2EC">
      <w:start w:val="1"/>
      <w:numFmt w:val="bullet"/>
      <w:lvlText w:val="●"/>
      <w:lvlJc w:val="left"/>
      <w:pPr>
        <w:ind w:left="5760" w:hanging="360"/>
      </w:pPr>
    </w:lvl>
    <w:lvl w:ilvl="8" w:tplc="B23C3386">
      <w:start w:val="1"/>
      <w:numFmt w:val="bullet"/>
      <w:lvlText w:val="●"/>
      <w:lvlJc w:val="left"/>
      <w:pPr>
        <w:ind w:left="6480" w:hanging="360"/>
      </w:pPr>
    </w:lvl>
  </w:abstractNum>
  <w:num w:numId="1" w16cid:durableId="1211199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7BB"/>
    <w:rsid w:val="0032753F"/>
    <w:rsid w:val="00604981"/>
    <w:rsid w:val="00AB67BB"/>
    <w:rsid w:val="00E227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DBD78"/>
  <w15:docId w15:val="{1C3991BA-778D-42D1-9F8F-73F5C8E01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449</Words>
  <Characters>2562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Pranav Abhishek</cp:lastModifiedBy>
  <cp:revision>2</cp:revision>
  <dcterms:created xsi:type="dcterms:W3CDTF">2026-10-05T03:53:00Z</dcterms:created>
  <dcterms:modified xsi:type="dcterms:W3CDTF">2026-10-05T04:10:00Z</dcterms:modified>
</cp:coreProperties>
</file>