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40" w:lineRule="auto" w:before="0" w:after="480"/>
        <w:ind w:left="1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0" cy="285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4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90"/>
      </w:tblGrid>
      <w:tr>
        <w:trPr>
          <w:trHeight w:hRule="exact" w:val="1024"/>
        </w:trPr>
        <w:tc>
          <w:tcPr>
            <w:tcW w:type="dxa" w:w="10770"/>
            <w:tcBorders/>
            <w:shd w:fill="a01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0" w:lineRule="exact" w:before="1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46"/>
              </w:rPr>
              <w:t>Bid Creation Bot!</w:t>
            </w:r>
          </w:p>
        </w:tc>
      </w:tr>
    </w:tbl>
    <w:p>
      <w:pPr>
        <w:autoSpaceDN w:val="0"/>
        <w:autoSpaceDE w:val="0"/>
        <w:widowControl/>
        <w:spacing w:line="4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90"/>
      </w:tblGrid>
      <w:tr>
        <w:trPr>
          <w:trHeight w:hRule="exact" w:val="702"/>
        </w:trPr>
        <w:tc>
          <w:tcPr>
            <w:tcW w:type="dxa" w:w="10770"/>
            <w:tcBorders/>
            <w:shd w:fill="d14ba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29"/>
              </w:rPr>
              <w:t>RFP for Providing, Running and Maintenance of Vehicle</w:t>
            </w:r>
          </w:p>
        </w:tc>
      </w:tr>
    </w:tbl>
    <w:p>
      <w:pPr>
        <w:autoSpaceDN w:val="0"/>
        <w:autoSpaceDE w:val="0"/>
        <w:widowControl/>
        <w:spacing w:line="370" w:lineRule="exact" w:before="218" w:after="0"/>
        <w:ind w:left="1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7"/>
        </w:rPr>
        <w:t>Request for Proposal (RFP)</w:t>
      </w:r>
    </w:p>
    <w:p>
      <w:pPr>
        <w:autoSpaceDN w:val="0"/>
        <w:autoSpaceDE w:val="0"/>
        <w:widowControl/>
        <w:spacing w:line="360" w:lineRule="exact" w:before="326" w:after="0"/>
        <w:ind w:left="18" w:right="5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Providing, Running and Maintenance of One New Vehicle [SUV (Innova or equivalent)] on </w:t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Monthly Hiring Basis for NHAI, Project Implementation Unit – Bangalore (Expressway), </w:t>
      </w:r>
      <w:r>
        <w:rPr>
          <w:rFonts w:ascii="Helvetica" w:hAnsi="Helvetica" w:eastAsia="Helvetica"/>
          <w:b/>
          <w:i w:val="0"/>
          <w:color w:val="000000"/>
          <w:sz w:val="24"/>
        </w:rPr>
        <w:t>Karnataka</w:t>
      </w:r>
    </w:p>
    <w:p>
      <w:pPr>
        <w:autoSpaceDN w:val="0"/>
        <w:autoSpaceDE w:val="0"/>
        <w:widowControl/>
        <w:spacing w:line="312" w:lineRule="exact" w:before="896" w:after="0"/>
        <w:ind w:left="18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Introduction</w:t>
      </w:r>
    </w:p>
    <w:p>
      <w:pPr>
        <w:autoSpaceDN w:val="0"/>
        <w:autoSpaceDE w:val="0"/>
        <w:widowControl/>
        <w:spacing w:line="316" w:lineRule="exact" w:before="272" w:after="0"/>
        <w:ind w:left="1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National Highways Authority of India (NHAI), through Project Director, PIU – Bangalore (Expressway) hereby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invites Tenders from experienced firms/ Tour and Travel Agents/individuals having adequate experience for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Providing, Running and Maintenance of one new vehicle [SUV (Innova or equivalent) on monthly hiring/rental basis.</w:t>
      </w:r>
    </w:p>
    <w:p>
      <w:pPr>
        <w:autoSpaceDN w:val="0"/>
        <w:autoSpaceDE w:val="0"/>
        <w:widowControl/>
        <w:spacing w:line="314" w:lineRule="exact" w:before="852" w:after="0"/>
        <w:ind w:left="18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Purpose</w:t>
      </w:r>
    </w:p>
    <w:p>
      <w:pPr>
        <w:autoSpaceDN w:val="0"/>
        <w:autoSpaceDE w:val="0"/>
        <w:widowControl/>
        <w:spacing w:line="316" w:lineRule="exact" w:before="272" w:after="0"/>
        <w:ind w:left="18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purpose of this RFP is to select a qualified vendor to provide, run and maintain one new vehicle [SUV (Innova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or equivalent)] on a monthly hiring basis for NHAI, Project Implementation Unit – Bangalore (Expressway),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Karnataka.</w:t>
      </w:r>
    </w:p>
    <w:p>
      <w:pPr>
        <w:autoSpaceDN w:val="0"/>
        <w:autoSpaceDE w:val="0"/>
        <w:widowControl/>
        <w:spacing w:line="312" w:lineRule="exact" w:before="852" w:after="0"/>
        <w:ind w:left="18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Scope of Work</w:t>
      </w:r>
    </w:p>
    <w:p>
      <w:pPr>
        <w:autoSpaceDN w:val="0"/>
        <w:autoSpaceDE w:val="0"/>
        <w:widowControl/>
        <w:spacing w:line="290" w:lineRule="exact" w:before="300" w:after="0"/>
        <w:ind w:left="3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Provide a new vehicle [SUV (Innova or equivalent)] that meets the specifications outlined in the RFP.</w:t>
      </w:r>
    </w:p>
    <w:p>
      <w:pPr>
        <w:autoSpaceDN w:val="0"/>
        <w:autoSpaceDE w:val="0"/>
        <w:widowControl/>
        <w:spacing w:line="288" w:lineRule="exact" w:before="66" w:after="0"/>
        <w:ind w:left="3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Run and maintain the vehicle in good working condition, including all necessary repairs and maintenance.</w:t>
      </w:r>
    </w:p>
    <w:p>
      <w:pPr>
        <w:autoSpaceDN w:val="0"/>
        <w:autoSpaceDE w:val="0"/>
        <w:widowControl/>
        <w:spacing w:line="290" w:lineRule="exact" w:before="66" w:after="0"/>
        <w:ind w:left="3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Provide a qualified driver with a valid driving license and experience in driving on highways.</w:t>
      </w:r>
    </w:p>
    <w:p>
      <w:pPr>
        <w:autoSpaceDN w:val="0"/>
        <w:autoSpaceDE w:val="0"/>
        <w:widowControl/>
        <w:spacing w:line="288" w:lineRule="exact" w:before="66" w:after="0"/>
        <w:ind w:left="3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Ensure that the vehicle is available for use by NHAI staff as needed.</w:t>
      </w:r>
    </w:p>
    <w:p>
      <w:pPr>
        <w:autoSpaceDN w:val="0"/>
        <w:autoSpaceDE w:val="0"/>
        <w:widowControl/>
        <w:spacing w:line="290" w:lineRule="exact" w:before="66" w:after="0"/>
        <w:ind w:left="3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Comply with all applicable laws and regulations.</w:t>
      </w:r>
    </w:p>
    <w:p>
      <w:pPr>
        <w:autoSpaceDN w:val="0"/>
        <w:autoSpaceDE w:val="0"/>
        <w:widowControl/>
        <w:spacing w:line="312" w:lineRule="exact" w:before="642" w:after="0"/>
        <w:ind w:left="18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Proposal Guidelines</w:t>
      </w:r>
    </w:p>
    <w:p>
      <w:pPr>
        <w:autoSpaceDN w:val="0"/>
        <w:autoSpaceDE w:val="0"/>
        <w:widowControl/>
        <w:spacing w:line="288" w:lineRule="exact" w:before="300" w:after="0"/>
        <w:ind w:left="1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Proposals should be submitted in accordance with the following guidelines:</w:t>
      </w:r>
    </w:p>
    <w:p>
      <w:pPr>
        <w:autoSpaceDN w:val="0"/>
        <w:autoSpaceDE w:val="0"/>
        <w:widowControl/>
        <w:spacing w:line="314" w:lineRule="exact" w:before="252" w:after="0"/>
        <w:ind w:left="334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Proposals must be submitted in a sealed envelope and must be received by the NHAI office at the address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provided in the RFP by the deadline specified in the RFP.</w:t>
      </w:r>
    </w:p>
    <w:p>
      <w:pPr>
        <w:sectPr>
          <w:pgSz w:w="11906" w:h="16838"/>
          <w:pgMar w:top="292" w:right="548" w:bottom="368" w:left="5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316" w:right="18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Proposals must be complete and must include all of the information requested in the RFP.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Proposals must be submitted in English.</w:t>
      </w:r>
    </w:p>
    <w:p>
      <w:pPr>
        <w:autoSpaceDN w:val="0"/>
        <w:autoSpaceDE w:val="0"/>
        <w:widowControl/>
        <w:spacing w:line="288" w:lineRule="exact" w:before="66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Proposals must be signed by an authorized representative of the vendor.</w:t>
      </w:r>
    </w:p>
    <w:p>
      <w:pPr>
        <w:autoSpaceDN w:val="0"/>
        <w:autoSpaceDE w:val="0"/>
        <w:widowControl/>
        <w:spacing w:line="312" w:lineRule="exact" w:before="64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Timeline</w:t>
      </w:r>
    </w:p>
    <w:p>
      <w:pPr>
        <w:autoSpaceDN w:val="0"/>
        <w:autoSpaceDE w:val="0"/>
        <w:widowControl/>
        <w:spacing w:line="288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The following is the timeline for the RFP process:</w:t>
      </w:r>
    </w:p>
    <w:p>
      <w:pPr>
        <w:autoSpaceDN w:val="0"/>
        <w:autoSpaceDE w:val="0"/>
        <w:widowControl/>
        <w:spacing w:line="354" w:lineRule="exact" w:before="212" w:after="0"/>
        <w:ind w:left="316" w:right="662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RFP release date: [Date]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Proposal submission deadline: [Date]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Vendor selection: [Date]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Contract start date: [Date]</w:t>
      </w:r>
    </w:p>
    <w:p>
      <w:pPr>
        <w:autoSpaceDN w:val="0"/>
        <w:autoSpaceDE w:val="0"/>
        <w:widowControl/>
        <w:spacing w:line="312" w:lineRule="exact" w:before="64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Qualifications / Evaluation Criteria</w:t>
      </w:r>
    </w:p>
    <w:p>
      <w:pPr>
        <w:autoSpaceDN w:val="0"/>
        <w:autoSpaceDE w:val="0"/>
        <w:widowControl/>
        <w:spacing w:line="288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Vendors will be evaluated based on the following criteria:</w:t>
      </w:r>
    </w:p>
    <w:p>
      <w:pPr>
        <w:autoSpaceDN w:val="0"/>
        <w:autoSpaceDE w:val="0"/>
        <w:widowControl/>
        <w:spacing w:line="354" w:lineRule="exact" w:before="212" w:after="0"/>
        <w:ind w:left="316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Experience in providing, running and maintaining vehicles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Experience in working with government agencies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Financial stability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Quality of the proposed vehicle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Quality of the proposed driver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Price</w:t>
      </w:r>
    </w:p>
    <w:p>
      <w:pPr>
        <w:autoSpaceDN w:val="0"/>
        <w:autoSpaceDE w:val="0"/>
        <w:widowControl/>
        <w:spacing w:line="312" w:lineRule="exact" w:before="64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Proposal Submission Requirements</w:t>
      </w:r>
    </w:p>
    <w:p>
      <w:pPr>
        <w:autoSpaceDN w:val="0"/>
        <w:autoSpaceDE w:val="0"/>
        <w:widowControl/>
        <w:spacing w:line="288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Proposals must include the following information:</w:t>
      </w:r>
    </w:p>
    <w:p>
      <w:pPr>
        <w:autoSpaceDN w:val="0"/>
        <w:autoSpaceDE w:val="0"/>
        <w:widowControl/>
        <w:spacing w:line="356" w:lineRule="exact" w:before="208" w:after="0"/>
        <w:ind w:left="316" w:right="8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 cover letter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 technical proposal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 financial proposal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1"/>
        </w:rPr>
        <w:t>A list of references</w:t>
      </w:r>
    </w:p>
    <w:p>
      <w:pPr>
        <w:autoSpaceDN w:val="0"/>
        <w:autoSpaceDE w:val="0"/>
        <w:widowControl/>
        <w:spacing w:line="312" w:lineRule="exact" w:before="64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Budget / Cost Proposal</w:t>
      </w:r>
    </w:p>
    <w:p>
      <w:pPr>
        <w:autoSpaceDN w:val="0"/>
        <w:autoSpaceDE w:val="0"/>
        <w:widowControl/>
        <w:spacing w:line="314" w:lineRule="exact" w:before="27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Vendors must submit a detailed cost proposal that includes all of the costs associated with providing, running and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maintaining the vehicle. The cost proposal must be in Indian Rupees (INR).</w:t>
      </w:r>
    </w:p>
    <w:p>
      <w:pPr>
        <w:autoSpaceDN w:val="0"/>
        <w:autoSpaceDE w:val="0"/>
        <w:widowControl/>
        <w:spacing w:line="312" w:lineRule="exact" w:before="85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Terms and Conditions</w:t>
      </w:r>
    </w:p>
    <w:p>
      <w:pPr>
        <w:autoSpaceDN w:val="0"/>
        <w:autoSpaceDE w:val="0"/>
        <w:widowControl/>
        <w:spacing w:line="316" w:lineRule="exact" w:before="27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successful vendor will be required to enter into a contract with NHAI. The contract will include the following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terms and conditions:</w:t>
      </w:r>
    </w:p>
    <w:p>
      <w:pPr>
        <w:sectPr>
          <w:pgSz w:w="11906" w:h="16838"/>
          <w:pgMar w:top="256" w:right="782" w:bottom="584" w:left="5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The term of the contract will be one year.</w:t>
      </w:r>
    </w:p>
    <w:p>
      <w:pPr>
        <w:autoSpaceDN w:val="0"/>
        <w:autoSpaceDE w:val="0"/>
        <w:widowControl/>
        <w:spacing w:line="336" w:lineRule="exact" w:before="20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vendor will be responsible for providing, running and maintaining the vehicle in good working condition.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vendor will be responsible for providing a qualified driver with a valid driving license and experience in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driving on highways.</w:t>
      </w:r>
    </w:p>
    <w:p>
      <w:pPr>
        <w:autoSpaceDN w:val="0"/>
        <w:autoSpaceDE w:val="0"/>
        <w:widowControl/>
        <w:spacing w:line="356" w:lineRule="exact" w:before="0" w:after="0"/>
        <w:ind w:left="31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vendor will be responsible for ensuring that the vehicle is available for use by NHAI staff as needed.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The vendor will be responsible for complying with all applicable laws and regulations.</w:t>
      </w:r>
    </w:p>
    <w:p>
      <w:pPr>
        <w:autoSpaceDN w:val="0"/>
        <w:autoSpaceDE w:val="0"/>
        <w:widowControl/>
        <w:spacing w:line="288" w:lineRule="exact" w:before="66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NHAI may terminate the contract at any time for any reason.</w:t>
      </w:r>
    </w:p>
    <w:p>
      <w:pPr>
        <w:autoSpaceDN w:val="0"/>
        <w:autoSpaceDE w:val="0"/>
        <w:widowControl/>
        <w:spacing w:line="312" w:lineRule="exact" w:before="64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Contract Terms</w:t>
      </w:r>
    </w:p>
    <w:p>
      <w:pPr>
        <w:autoSpaceDN w:val="0"/>
        <w:autoSpaceDE w:val="0"/>
        <w:widowControl/>
        <w:spacing w:line="316" w:lineRule="exact" w:before="27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successful vendor will be required to enter into a contract with NHAI. The contract will include the following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terms:</w:t>
      </w:r>
    </w:p>
    <w:p>
      <w:pPr>
        <w:autoSpaceDN w:val="0"/>
        <w:autoSpaceDE w:val="0"/>
        <w:widowControl/>
        <w:spacing w:line="288" w:lineRule="exact" w:before="276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The term of the contract will be one year.</w:t>
      </w:r>
    </w:p>
    <w:p>
      <w:pPr>
        <w:autoSpaceDN w:val="0"/>
        <w:autoSpaceDE w:val="0"/>
        <w:widowControl/>
        <w:spacing w:line="336" w:lineRule="exact" w:before="22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vendor will be responsible for providing, running and maintaining the vehicle in good working condition.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vendor will be responsible for providing a qualified driver with a valid driving license and experience in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driving on highways.</w:t>
      </w:r>
    </w:p>
    <w:p>
      <w:pPr>
        <w:autoSpaceDN w:val="0"/>
        <w:autoSpaceDE w:val="0"/>
        <w:widowControl/>
        <w:spacing w:line="356" w:lineRule="exact" w:before="0" w:after="0"/>
        <w:ind w:left="31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The vendor will be responsible for ensuring that the vehicle is available for use by NHAI staff as needed.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The vendor will be responsible for complying with all applicable laws and regulations.</w:t>
      </w:r>
    </w:p>
    <w:p>
      <w:pPr>
        <w:autoSpaceDN w:val="0"/>
        <w:autoSpaceDE w:val="0"/>
        <w:widowControl/>
        <w:spacing w:line="288" w:lineRule="exact" w:before="66" w:after="0"/>
        <w:ind w:left="3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NHAI may terminate the contract at any time for any reason.</w:t>
      </w:r>
    </w:p>
    <w:p>
      <w:pPr>
        <w:autoSpaceDN w:val="0"/>
        <w:autoSpaceDE w:val="0"/>
        <w:widowControl/>
        <w:spacing w:line="312" w:lineRule="exact" w:before="64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Contact Information</w:t>
      </w:r>
    </w:p>
    <w:p>
      <w:pPr>
        <w:autoSpaceDN w:val="0"/>
        <w:autoSpaceDE w:val="0"/>
        <w:widowControl/>
        <w:spacing w:line="288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For more information, please contact:</w:t>
      </w:r>
    </w:p>
    <w:p>
      <w:pPr>
        <w:autoSpaceDN w:val="0"/>
        <w:autoSpaceDE w:val="0"/>
        <w:widowControl/>
        <w:spacing w:line="290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Project Director</w:t>
      </w:r>
    </w:p>
    <w:p>
      <w:pPr>
        <w:autoSpaceDN w:val="0"/>
        <w:autoSpaceDE w:val="0"/>
        <w:widowControl/>
        <w:spacing w:line="288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NHAI, PIU -Bangalore (Expressway)</w:t>
      </w:r>
    </w:p>
    <w:p>
      <w:pPr>
        <w:autoSpaceDN w:val="0"/>
        <w:autoSpaceDE w:val="0"/>
        <w:widowControl/>
        <w:spacing w:line="290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Sy. No.13, 14th Km,</w:t>
      </w:r>
    </w:p>
    <w:p>
      <w:pPr>
        <w:autoSpaceDN w:val="0"/>
        <w:autoSpaceDE w:val="0"/>
        <w:widowControl/>
        <w:spacing w:line="288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Near Deepak Bus Stop,</w:t>
      </w:r>
    </w:p>
    <w:p>
      <w:pPr>
        <w:autoSpaceDN w:val="0"/>
        <w:autoSpaceDE w:val="0"/>
        <w:widowControl/>
        <w:spacing w:line="290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Nagasandra, M. S. Ramaiah Enclave,</w:t>
      </w:r>
    </w:p>
    <w:p>
      <w:pPr>
        <w:autoSpaceDN w:val="0"/>
        <w:autoSpaceDE w:val="0"/>
        <w:widowControl/>
        <w:spacing w:line="288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Bangalore – Tumkur Road (NH -4),</w:t>
      </w:r>
    </w:p>
    <w:p>
      <w:pPr>
        <w:autoSpaceDN w:val="0"/>
        <w:autoSpaceDE w:val="0"/>
        <w:widowControl/>
        <w:spacing w:line="290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Bangalore – 560 073, Karnataka</w:t>
      </w:r>
    </w:p>
    <w:p>
      <w:pPr>
        <w:autoSpaceDN w:val="0"/>
        <w:autoSpaceDE w:val="0"/>
        <w:widowControl/>
        <w:spacing w:line="288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Email: piubngexpressway2016@gmail.com</w:t>
      </w:r>
    </w:p>
    <w:p>
      <w:pPr>
        <w:autoSpaceDN w:val="0"/>
        <w:autoSpaceDE w:val="0"/>
        <w:widowControl/>
        <w:spacing w:line="312" w:lineRule="exact" w:before="854" w:after="0"/>
        <w:ind w:left="0" w:right="0" w:firstLine="0"/>
        <w:jc w:val="left"/>
      </w:pPr>
      <w:r>
        <w:rPr>
          <w:w w:val="98.60869697902514"/>
          <w:rFonts w:ascii="Helvetica" w:hAnsi="Helvetica" w:eastAsia="Helvetica"/>
          <w:b/>
          <w:i w:val="0"/>
          <w:color w:val="000000"/>
          <w:sz w:val="23"/>
        </w:rPr>
        <w:t>Appendices / Attachments</w:t>
      </w:r>
    </w:p>
    <w:p>
      <w:pPr>
        <w:autoSpaceDN w:val="0"/>
        <w:autoSpaceDE w:val="0"/>
        <w:widowControl/>
        <w:spacing w:line="288" w:lineRule="exact" w:before="3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The following appendices are attached to this RFP:</w:t>
      </w:r>
    </w:p>
    <w:p>
      <w:pPr>
        <w:autoSpaceDN w:val="0"/>
        <w:autoSpaceDE w:val="0"/>
        <w:widowControl/>
        <w:spacing w:line="356" w:lineRule="exact" w:before="208" w:after="0"/>
        <w:ind w:left="316" w:right="46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 xml:space="preserve">Appendix A: Terms of Reference (TOR) for Technical Bid </w:t>
      </w:r>
      <w:r>
        <w:rPr>
          <w:rFonts w:ascii="Helvetica" w:hAnsi="Helvetica" w:eastAsia="Helvetica"/>
          <w:b w:val="0"/>
          <w:i w:val="0"/>
          <w:color w:val="000000"/>
          <w:sz w:val="21"/>
        </w:rPr>
        <w:t>Appendix B: Bill of Quantity (BOQ)</w:t>
      </w:r>
    </w:p>
    <w:p>
      <w:pPr>
        <w:sectPr>
          <w:pgSz w:w="11906" w:h="16838"/>
          <w:pgMar w:top="256" w:right="1006" w:bottom="348" w:left="5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1"/>
        </w:rPr>
        <w:t>```</w:t>
      </w:r>
    </w:p>
    <w:sectPr w:rsidR="00FC693F" w:rsidRPr="0006063C" w:rsidSect="00034616">
      <w:pgSz w:w="11906" w:h="16838"/>
      <w:pgMar w:top="256" w:right="1440" w:bottom="1440" w:left="5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