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28C2" w14:textId="77777777" w:rsidR="008A73FB" w:rsidRDefault="00853060">
      <w:pPr>
        <w:jc w:val="center"/>
      </w:pPr>
      <w:r>
        <w:t>196 FERC ¶ 61,218</w:t>
      </w:r>
    </w:p>
    <w:p w14:paraId="260B6092" w14:textId="41C8EBAF" w:rsidR="00894423" w:rsidRPr="00894423" w:rsidRDefault="00894423" w:rsidP="00916C19">
      <w:pPr>
        <w:jc w:val="center"/>
      </w:pPr>
      <w:r w:rsidRPr="00894423">
        <w:rPr>
          <w:b/>
        </w:rPr>
        <w:fldChar w:fldCharType="begin"/>
      </w:r>
      <w:r w:rsidRPr="00894423">
        <w:rPr>
          <w:b/>
        </w:rPr>
        <w:instrText xml:space="preserve"> MACROBUTTON  AcceptAllChangesInDoc </w:instrText>
      </w:r>
      <w:r w:rsidRPr="00894423">
        <w:rPr>
          <w:b/>
        </w:rPr>
        <w:fldChar w:fldCharType="end"/>
      </w:r>
      <w:r w:rsidRPr="00894423">
        <w:t>UNITED STATES OF AMERICA</w:t>
      </w:r>
    </w:p>
    <w:p w14:paraId="1D84896C" w14:textId="77777777" w:rsidR="00894423" w:rsidRPr="00894423" w:rsidRDefault="00894423" w:rsidP="006F25F0">
      <w:pPr>
        <w:jc w:val="center"/>
      </w:pPr>
      <w:r w:rsidRPr="00894423">
        <w:t>FEDERAL ENERGY REGULATORY COMMISSION</w:t>
      </w:r>
    </w:p>
    <w:p w14:paraId="0098B98C" w14:textId="77777777" w:rsidR="00894423" w:rsidRPr="00894423" w:rsidRDefault="00894423" w:rsidP="006F25F0"/>
    <w:p w14:paraId="7E12E402" w14:textId="5A26E40F" w:rsidR="00894423" w:rsidRPr="00200675" w:rsidRDefault="00200675" w:rsidP="00200675">
      <w:pPr>
        <w:widowControl/>
      </w:pPr>
      <w:r w:rsidRPr="00200675">
        <w:t>Before Commissioners:  Laura V. Swett, Chairman;</w:t>
      </w:r>
    </w:p>
    <w:p w14:paraId="4BD2F744" w14:textId="7764C038" w:rsidR="00200675" w:rsidRPr="00200675" w:rsidRDefault="00200675" w:rsidP="00200675">
      <w:pPr>
        <w:widowControl/>
      </w:pPr>
      <w:r w:rsidRPr="00200675">
        <w:t xml:space="preserve">                                        David Rosner, Lindsay S. See,</w:t>
      </w:r>
    </w:p>
    <w:p w14:paraId="7DF8E7D8" w14:textId="50E350DD" w:rsidR="00200675" w:rsidRPr="00894423" w:rsidRDefault="00200675" w:rsidP="00200675">
      <w:pPr>
        <w:widowControl/>
      </w:pPr>
      <w:r w:rsidRPr="00200675">
        <w:t xml:space="preserve">                                        Judy W. Chang, and David LaCerte.</w:t>
      </w:r>
    </w:p>
    <w:p w14:paraId="35C20AC1" w14:textId="77777777" w:rsidR="00894423" w:rsidRPr="00894423" w:rsidRDefault="00894423" w:rsidP="006F25F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98"/>
        <w:gridCol w:w="1545"/>
        <w:gridCol w:w="1907"/>
      </w:tblGrid>
      <w:tr w:rsidR="00894423" w:rsidRPr="00894423" w14:paraId="590C7D35" w14:textId="77777777" w:rsidTr="00894423">
        <w:tc>
          <w:tcPr>
            <w:tcW w:w="6088" w:type="dxa"/>
          </w:tcPr>
          <w:p w14:paraId="5C83534F" w14:textId="0481A7AF" w:rsidR="00894423" w:rsidRDefault="00894423" w:rsidP="006F25F0">
            <w:pPr>
              <w:widowControl/>
              <w:autoSpaceDE/>
              <w:autoSpaceDN/>
              <w:adjustRightInd/>
              <w:rPr>
                <w:rFonts w:eastAsiaTheme="minorHAnsi"/>
                <w:szCs w:val="22"/>
              </w:rPr>
            </w:pPr>
            <w:r w:rsidRPr="00894423">
              <w:rPr>
                <w:rFonts w:eastAsiaTheme="minorHAnsi"/>
                <w:szCs w:val="22"/>
              </w:rPr>
              <w:t>New York In</w:t>
            </w:r>
            <w:r>
              <w:rPr>
                <w:rFonts w:eastAsiaTheme="minorHAnsi"/>
                <w:szCs w:val="22"/>
              </w:rPr>
              <w:t>d</w:t>
            </w:r>
            <w:r w:rsidRPr="00894423">
              <w:rPr>
                <w:rFonts w:eastAsiaTheme="minorHAnsi"/>
                <w:szCs w:val="22"/>
              </w:rPr>
              <w:t>ependent System Operator, Inc.</w:t>
            </w:r>
          </w:p>
          <w:p w14:paraId="20D643BB" w14:textId="77777777" w:rsidR="00894423" w:rsidRDefault="00894423" w:rsidP="006F25F0">
            <w:pPr>
              <w:widowControl/>
              <w:autoSpaceDE/>
              <w:autoSpaceDN/>
              <w:adjustRightInd/>
              <w:rPr>
                <w:rFonts w:eastAsiaTheme="minorHAnsi"/>
                <w:szCs w:val="22"/>
              </w:rPr>
            </w:pPr>
          </w:p>
          <w:p w14:paraId="4BD185F9" w14:textId="400D70F5" w:rsidR="001E653B" w:rsidRDefault="00894423" w:rsidP="00894423">
            <w:pPr>
              <w:widowControl/>
              <w:autoSpaceDE/>
              <w:autoSpaceDN/>
              <w:adjustRightInd/>
              <w:rPr>
                <w:rFonts w:eastAsiaTheme="minorHAnsi"/>
                <w:szCs w:val="22"/>
              </w:rPr>
            </w:pPr>
            <w:r w:rsidRPr="00894423">
              <w:rPr>
                <w:rFonts w:eastAsiaTheme="minorHAnsi"/>
                <w:szCs w:val="22"/>
              </w:rPr>
              <w:t>Central Hudson Gas &amp; Electric Corporation</w:t>
            </w:r>
            <w:r w:rsidR="001E653B">
              <w:rPr>
                <w:rFonts w:eastAsiaTheme="minorHAnsi"/>
                <w:szCs w:val="22"/>
              </w:rPr>
              <w:t xml:space="preserve"> </w:t>
            </w:r>
          </w:p>
          <w:p w14:paraId="7DA68B84" w14:textId="48F3CB78" w:rsidR="00894423" w:rsidRPr="00894423" w:rsidRDefault="00894423" w:rsidP="00894423">
            <w:pPr>
              <w:widowControl/>
              <w:autoSpaceDE/>
              <w:autoSpaceDN/>
              <w:adjustRightInd/>
              <w:rPr>
                <w:rFonts w:eastAsiaTheme="minorHAnsi"/>
                <w:szCs w:val="22"/>
              </w:rPr>
            </w:pPr>
            <w:r w:rsidRPr="00894423">
              <w:rPr>
                <w:rFonts w:eastAsiaTheme="minorHAnsi"/>
                <w:szCs w:val="22"/>
              </w:rPr>
              <w:t xml:space="preserve">Consolidated Edison Company of New York, Inc. </w:t>
            </w:r>
          </w:p>
          <w:p w14:paraId="79434D72" w14:textId="77777777" w:rsidR="00894423" w:rsidRPr="00894423" w:rsidRDefault="00894423" w:rsidP="00894423">
            <w:pPr>
              <w:widowControl/>
              <w:autoSpaceDE/>
              <w:autoSpaceDN/>
              <w:adjustRightInd/>
              <w:rPr>
                <w:rFonts w:eastAsiaTheme="minorHAnsi"/>
                <w:szCs w:val="22"/>
              </w:rPr>
            </w:pPr>
            <w:r w:rsidRPr="00894423">
              <w:rPr>
                <w:rFonts w:eastAsiaTheme="minorHAnsi"/>
                <w:szCs w:val="22"/>
              </w:rPr>
              <w:t xml:space="preserve">LS Power Grid New York Corporation I </w:t>
            </w:r>
          </w:p>
          <w:p w14:paraId="25FF106B" w14:textId="77777777" w:rsidR="00894423" w:rsidRPr="00894423" w:rsidRDefault="00894423" w:rsidP="00894423">
            <w:pPr>
              <w:widowControl/>
              <w:autoSpaceDE/>
              <w:autoSpaceDN/>
              <w:adjustRightInd/>
              <w:rPr>
                <w:rFonts w:eastAsiaTheme="minorHAnsi"/>
                <w:szCs w:val="22"/>
              </w:rPr>
            </w:pPr>
            <w:r w:rsidRPr="00894423">
              <w:rPr>
                <w:rFonts w:eastAsiaTheme="minorHAnsi"/>
                <w:szCs w:val="22"/>
              </w:rPr>
              <w:t xml:space="preserve">New York State Electric &amp; Gas Corporation </w:t>
            </w:r>
          </w:p>
          <w:p w14:paraId="4525920B" w14:textId="77777777" w:rsidR="00894423" w:rsidRPr="00894423" w:rsidRDefault="00894423" w:rsidP="00894423">
            <w:pPr>
              <w:widowControl/>
              <w:autoSpaceDE/>
              <w:autoSpaceDN/>
              <w:adjustRightInd/>
              <w:rPr>
                <w:rFonts w:eastAsiaTheme="minorHAnsi"/>
                <w:szCs w:val="22"/>
              </w:rPr>
            </w:pPr>
            <w:r w:rsidRPr="00894423">
              <w:rPr>
                <w:rFonts w:eastAsiaTheme="minorHAnsi"/>
                <w:szCs w:val="22"/>
              </w:rPr>
              <w:t xml:space="preserve">New York Transco LLC </w:t>
            </w:r>
          </w:p>
          <w:p w14:paraId="4D607A2D" w14:textId="77777777" w:rsidR="00894423" w:rsidRPr="00894423" w:rsidRDefault="00894423" w:rsidP="00894423">
            <w:pPr>
              <w:widowControl/>
              <w:autoSpaceDE/>
              <w:autoSpaceDN/>
              <w:adjustRightInd/>
              <w:rPr>
                <w:rFonts w:eastAsiaTheme="minorHAnsi"/>
                <w:szCs w:val="22"/>
              </w:rPr>
            </w:pPr>
            <w:r w:rsidRPr="00894423">
              <w:rPr>
                <w:rFonts w:eastAsiaTheme="minorHAnsi"/>
                <w:szCs w:val="22"/>
              </w:rPr>
              <w:t>NextEra Energy Transmission New York, Inc.</w:t>
            </w:r>
          </w:p>
          <w:p w14:paraId="093BE372" w14:textId="77777777" w:rsidR="00894423" w:rsidRPr="00894423" w:rsidRDefault="00894423" w:rsidP="00894423">
            <w:pPr>
              <w:widowControl/>
              <w:autoSpaceDE/>
              <w:autoSpaceDN/>
              <w:adjustRightInd/>
              <w:rPr>
                <w:rFonts w:eastAsiaTheme="minorHAnsi"/>
                <w:szCs w:val="22"/>
              </w:rPr>
            </w:pPr>
            <w:r w:rsidRPr="00894423">
              <w:rPr>
                <w:rFonts w:eastAsiaTheme="minorHAnsi"/>
                <w:szCs w:val="22"/>
              </w:rPr>
              <w:t xml:space="preserve">Niagara Mohawk Power Corp. </w:t>
            </w:r>
          </w:p>
          <w:p w14:paraId="599150BF" w14:textId="77777777" w:rsidR="00894423" w:rsidRPr="00894423" w:rsidRDefault="00894423" w:rsidP="00894423">
            <w:pPr>
              <w:widowControl/>
              <w:autoSpaceDE/>
              <w:autoSpaceDN/>
              <w:adjustRightInd/>
              <w:rPr>
                <w:rFonts w:eastAsiaTheme="minorHAnsi"/>
                <w:szCs w:val="22"/>
              </w:rPr>
            </w:pPr>
            <w:r w:rsidRPr="00894423">
              <w:rPr>
                <w:rFonts w:eastAsiaTheme="minorHAnsi"/>
                <w:szCs w:val="22"/>
              </w:rPr>
              <w:t xml:space="preserve">Orange and Rockland Utilities, Inc. </w:t>
            </w:r>
          </w:p>
          <w:p w14:paraId="70234E06" w14:textId="5981503A" w:rsidR="00894423" w:rsidRPr="00894423" w:rsidRDefault="00894423" w:rsidP="001E653B">
            <w:pPr>
              <w:widowControl/>
              <w:autoSpaceDE/>
              <w:autoSpaceDN/>
              <w:adjustRightInd/>
              <w:rPr>
                <w:rFonts w:eastAsiaTheme="minorHAnsi"/>
                <w:szCs w:val="22"/>
              </w:rPr>
            </w:pPr>
            <w:r w:rsidRPr="00894423">
              <w:rPr>
                <w:rFonts w:eastAsiaTheme="minorHAnsi"/>
                <w:szCs w:val="22"/>
              </w:rPr>
              <w:t>Rochester Gas and Electric Corporation</w:t>
            </w:r>
          </w:p>
        </w:tc>
        <w:tc>
          <w:tcPr>
            <w:tcW w:w="1560" w:type="dxa"/>
          </w:tcPr>
          <w:p w14:paraId="15753A10" w14:textId="04CD1163" w:rsidR="00894423" w:rsidRPr="00894423" w:rsidRDefault="00894423" w:rsidP="00894423">
            <w:pPr>
              <w:widowControl/>
              <w:autoSpaceDE/>
              <w:autoSpaceDN/>
              <w:adjustRightInd/>
              <w:jc w:val="right"/>
              <w:rPr>
                <w:rFonts w:eastAsiaTheme="minorHAnsi"/>
                <w:szCs w:val="22"/>
              </w:rPr>
            </w:pPr>
            <w:r w:rsidRPr="00894423">
              <w:rPr>
                <w:rFonts w:eastAsiaTheme="minorHAnsi"/>
                <w:szCs w:val="22"/>
              </w:rPr>
              <w:t>Docket No.</w:t>
            </w:r>
          </w:p>
        </w:tc>
        <w:tc>
          <w:tcPr>
            <w:tcW w:w="1928" w:type="dxa"/>
            <w:tcMar>
              <w:left w:w="144" w:type="dxa"/>
            </w:tcMar>
          </w:tcPr>
          <w:p w14:paraId="4D413148" w14:textId="4A20B012" w:rsidR="00894423" w:rsidRPr="00894423" w:rsidRDefault="00894423" w:rsidP="006F25F0">
            <w:pPr>
              <w:widowControl/>
              <w:autoSpaceDE/>
              <w:autoSpaceDN/>
              <w:adjustRightInd/>
              <w:rPr>
                <w:rFonts w:eastAsiaTheme="minorHAnsi"/>
                <w:szCs w:val="22"/>
              </w:rPr>
            </w:pPr>
            <w:r w:rsidRPr="00894423">
              <w:rPr>
                <w:rFonts w:eastAsiaTheme="minorHAnsi"/>
                <w:szCs w:val="22"/>
              </w:rPr>
              <w:t>EL26-69-001</w:t>
            </w:r>
          </w:p>
        </w:tc>
      </w:tr>
    </w:tbl>
    <w:p w14:paraId="4F2C433A" w14:textId="77777777" w:rsidR="00894423" w:rsidRPr="00894423" w:rsidRDefault="00894423" w:rsidP="006F25F0">
      <w:pPr>
        <w:jc w:val="center"/>
      </w:pPr>
    </w:p>
    <w:p w14:paraId="701BF444" w14:textId="77777777" w:rsidR="00894423" w:rsidRPr="00894423" w:rsidRDefault="00894423" w:rsidP="006F25F0">
      <w:pPr>
        <w:jc w:val="center"/>
      </w:pPr>
    </w:p>
    <w:p w14:paraId="1104CEA5" w14:textId="3FF94BF9" w:rsidR="002219DF" w:rsidRPr="00873414" w:rsidRDefault="002219DF" w:rsidP="002219DF">
      <w:pPr>
        <w:jc w:val="center"/>
      </w:pPr>
      <w:r w:rsidRPr="00873414">
        <w:t>ORDER DISMISSING REQUEST FOR REHEARING AND CLARIFICATION</w:t>
      </w:r>
    </w:p>
    <w:p w14:paraId="14BC491B" w14:textId="77777777" w:rsidR="00894423" w:rsidRPr="00873414" w:rsidRDefault="00894423" w:rsidP="006F25F0">
      <w:pPr>
        <w:jc w:val="center"/>
      </w:pPr>
    </w:p>
    <w:p w14:paraId="164D4EC7" w14:textId="15C367A1" w:rsidR="00894423" w:rsidRDefault="00200675" w:rsidP="00200675">
      <w:pPr>
        <w:widowControl/>
        <w:jc w:val="center"/>
      </w:pPr>
      <w:r w:rsidRPr="00200675">
        <w:t>(Issued September 21, 2026)</w:t>
      </w:r>
    </w:p>
    <w:p w14:paraId="2ED3E416" w14:textId="77777777" w:rsidR="00894423" w:rsidRPr="00873414" w:rsidRDefault="00894423" w:rsidP="006F25F0">
      <w:pPr>
        <w:rPr>
          <w:bCs/>
        </w:rPr>
      </w:pPr>
    </w:p>
    <w:p w14:paraId="0740E911" w14:textId="4969D1A1" w:rsidR="00894423" w:rsidRPr="00873414" w:rsidRDefault="00894423" w:rsidP="00894423">
      <w:pPr>
        <w:pStyle w:val="FERCparanumber"/>
      </w:pPr>
      <w:r w:rsidRPr="00873414">
        <w:t>On June 18, 2026, the Commission issued an order under</w:t>
      </w:r>
      <w:r w:rsidR="00324722" w:rsidRPr="00873414">
        <w:t xml:space="preserve"> section 206 of the</w:t>
      </w:r>
      <w:r w:rsidRPr="00873414">
        <w:t xml:space="preserve"> Federal Power Act (FPA)</w:t>
      </w:r>
      <w:r w:rsidRPr="00873414">
        <w:rPr>
          <w:b/>
          <w:vertAlign w:val="superscript"/>
        </w:rPr>
        <w:footnoteReference w:id="2"/>
      </w:r>
      <w:r w:rsidRPr="00873414">
        <w:t xml:space="preserve"> initiating a show cause proceeding </w:t>
      </w:r>
      <w:r w:rsidR="00EB2572" w:rsidRPr="00873414">
        <w:t>directing</w:t>
      </w:r>
      <w:r w:rsidRPr="00873414">
        <w:t xml:space="preserve"> New York Independent System Operator, Inc. (NYISO)</w:t>
      </w:r>
      <w:r w:rsidR="0026555D" w:rsidRPr="00873414">
        <w:t xml:space="preserve"> </w:t>
      </w:r>
      <w:r w:rsidR="00884C07" w:rsidRPr="00873414">
        <w:t>and the</w:t>
      </w:r>
      <w:r w:rsidR="0026555D" w:rsidRPr="00873414">
        <w:t xml:space="preserve"> Transmission Owners</w:t>
      </w:r>
      <w:r w:rsidR="00861A29" w:rsidRPr="00873414">
        <w:rPr>
          <w:b/>
          <w:vertAlign w:val="superscript"/>
        </w:rPr>
        <w:footnoteReference w:id="3"/>
      </w:r>
      <w:r w:rsidR="0026555D" w:rsidRPr="00873414">
        <w:t xml:space="preserve"> to explain why NYISO’s</w:t>
      </w:r>
      <w:r w:rsidRPr="00873414">
        <w:t xml:space="preserve"> Open Access Transmission Tariff (Tariff)</w:t>
      </w:r>
      <w:r w:rsidR="00A4763D" w:rsidRPr="00873414">
        <w:t xml:space="preserve"> </w:t>
      </w:r>
      <w:r w:rsidR="00142EDF" w:rsidRPr="00873414">
        <w:t>remains just and reasonable and not unduly discriminatory or preferential without certain Tariff provisions addressing large loads and co-located loads, or propose Tariff revisions addressing the Commission’s concerns</w:t>
      </w:r>
      <w:r w:rsidRPr="00873414">
        <w:t>.</w:t>
      </w:r>
      <w:r w:rsidRPr="00873414">
        <w:rPr>
          <w:b/>
          <w:vertAlign w:val="superscript"/>
        </w:rPr>
        <w:footnoteReference w:id="4"/>
      </w:r>
      <w:r w:rsidRPr="00873414">
        <w:t xml:space="preserve">  On July </w:t>
      </w:r>
      <w:r w:rsidR="005F2564" w:rsidRPr="00873414">
        <w:t>20</w:t>
      </w:r>
      <w:r w:rsidRPr="00873414">
        <w:t>, 2026, Eolian, L.P. (Eolian) filed a request for clarification or</w:t>
      </w:r>
      <w:r w:rsidR="000C0F16" w:rsidRPr="00873414">
        <w:t>,</w:t>
      </w:r>
      <w:r w:rsidRPr="00873414">
        <w:t xml:space="preserve"> in the alternative</w:t>
      </w:r>
      <w:r w:rsidR="000C0F16" w:rsidRPr="00873414">
        <w:t>,</w:t>
      </w:r>
      <w:r w:rsidRPr="00873414">
        <w:t xml:space="preserve"> rehearing.  </w:t>
      </w:r>
    </w:p>
    <w:p w14:paraId="6039EF97" w14:textId="23DE169D" w:rsidR="00894423" w:rsidRPr="00873414" w:rsidRDefault="00894423" w:rsidP="00894423">
      <w:pPr>
        <w:pStyle w:val="FERCparanumber"/>
      </w:pPr>
      <w:r w:rsidRPr="00873414">
        <w:lastRenderedPageBreak/>
        <w:t xml:space="preserve">Pursuant to </w:t>
      </w:r>
      <w:r w:rsidRPr="00873414">
        <w:rPr>
          <w:i/>
          <w:iCs/>
        </w:rPr>
        <w:t>Allegheny Defense Project v. FERC</w:t>
      </w:r>
      <w:r w:rsidRPr="00873414">
        <w:t>,</w:t>
      </w:r>
      <w:r w:rsidRPr="00873414">
        <w:rPr>
          <w:b/>
          <w:vertAlign w:val="superscript"/>
        </w:rPr>
        <w:footnoteReference w:id="5"/>
      </w:r>
      <w:r w:rsidRPr="00873414">
        <w:t xml:space="preserve"> the rehearing request filed in th</w:t>
      </w:r>
      <w:r w:rsidR="002E20A6" w:rsidRPr="00873414">
        <w:t>is</w:t>
      </w:r>
      <w:r w:rsidRPr="00873414">
        <w:t xml:space="preserve"> proceeding may be deemed denied by operation of law.  However, we are dismissing </w:t>
      </w:r>
      <w:r w:rsidR="001C082B" w:rsidRPr="00873414">
        <w:t xml:space="preserve">Eolian’s </w:t>
      </w:r>
      <w:r w:rsidRPr="00873414">
        <w:t xml:space="preserve">request </w:t>
      </w:r>
      <w:r w:rsidR="006777B1" w:rsidRPr="00873414">
        <w:t xml:space="preserve">for rehearing and </w:t>
      </w:r>
      <w:r w:rsidR="00B87835" w:rsidRPr="00873414">
        <w:t>clarification</w:t>
      </w:r>
      <w:r w:rsidRPr="00873414">
        <w:t>, as discussed below.</w:t>
      </w:r>
    </w:p>
    <w:p w14:paraId="29A95976" w14:textId="77777777" w:rsidR="00894423" w:rsidRPr="00873414" w:rsidRDefault="00894423" w:rsidP="00953198">
      <w:pPr>
        <w:pStyle w:val="Heading1"/>
      </w:pPr>
      <w:r w:rsidRPr="00873414">
        <w:t>Show Cause Order</w:t>
      </w:r>
    </w:p>
    <w:p w14:paraId="03AF2E76" w14:textId="3A78BAD9" w:rsidR="00BC25A6" w:rsidRPr="00873414" w:rsidRDefault="00BC25A6" w:rsidP="00BC25A6">
      <w:pPr>
        <w:pStyle w:val="FERCparanumber"/>
      </w:pPr>
      <w:r w:rsidRPr="00873414">
        <w:t xml:space="preserve">In the Show Cause Order, the Commission found that </w:t>
      </w:r>
      <w:r w:rsidR="00F64015" w:rsidRPr="00873414">
        <w:t>NY</w:t>
      </w:r>
      <w:r w:rsidRPr="00873414">
        <w:t>ISO’s existing Tariff appears to be unjust, unreasonable, or unduly discriminatory or preferential because it lacks certain provisions related to large loads and co-located loads and instituted a show cause proceeding pursuant to FPA section 206.</w:t>
      </w:r>
      <w:r w:rsidRPr="00873414">
        <w:rPr>
          <w:b/>
          <w:vertAlign w:val="superscript"/>
        </w:rPr>
        <w:footnoteReference w:id="6"/>
      </w:r>
      <w:r w:rsidRPr="00873414">
        <w:t xml:space="preserve">  The Commission directed </w:t>
      </w:r>
      <w:r w:rsidR="00F64015" w:rsidRPr="00873414">
        <w:t>NYISO</w:t>
      </w:r>
      <w:r w:rsidRPr="00873414">
        <w:t xml:space="preserve"> and </w:t>
      </w:r>
      <w:r w:rsidR="002D6DE2" w:rsidRPr="00873414">
        <w:t xml:space="preserve">the </w:t>
      </w:r>
      <w:r w:rsidRPr="00873414">
        <w:t xml:space="preserve">Transmission Owners, within 60 days of the date of the Show Cause Order, i.e., by August, 17, 2026, to either explain why </w:t>
      </w:r>
      <w:r w:rsidR="00D71199" w:rsidRPr="00873414">
        <w:t>NYISO</w:t>
      </w:r>
      <w:r w:rsidRPr="00873414">
        <w:t>’s Tariff remains just and reasonable and not unduly discriminatory or preferential without certain Tariff provisions addressing large loads and co-located loads, or propose Tariff revisions addressing the Commission’s concerns.</w:t>
      </w:r>
      <w:r w:rsidRPr="00873414">
        <w:rPr>
          <w:b/>
          <w:vertAlign w:val="superscript"/>
        </w:rPr>
        <w:footnoteReference w:id="7"/>
      </w:r>
    </w:p>
    <w:p w14:paraId="72961C0D" w14:textId="62121FD4" w:rsidR="00BC25A6" w:rsidRPr="00873414" w:rsidRDefault="00BC25A6" w:rsidP="00BC25A6">
      <w:pPr>
        <w:pStyle w:val="FERCparanumber"/>
      </w:pPr>
      <w:r w:rsidRPr="00873414">
        <w:t xml:space="preserve">Specifically, the Commission made preliminary findings that </w:t>
      </w:r>
      <w:r w:rsidR="003719FC" w:rsidRPr="00873414">
        <w:t>NYISO</w:t>
      </w:r>
      <w:r w:rsidRPr="00873414">
        <w:t>’s existing Tariff appears to be unjust, unreasonable, and unduly discriminatory or preferential because it lacks provisions addressing:  (1) the application process, study procedures, and ongoing operational requirements that apply to Eligible Customers seeking transmission service on behalf of large loads;</w:t>
      </w:r>
      <w:r w:rsidRPr="00873414">
        <w:rPr>
          <w:b/>
          <w:vertAlign w:val="superscript"/>
        </w:rPr>
        <w:footnoteReference w:id="8"/>
      </w:r>
      <w:r w:rsidRPr="00873414">
        <w:t xml:space="preserve"> (2) additional transparency concerning the Network Upgrade costs to provide transmission service to Eligible Customers on behalf of large loads</w:t>
      </w:r>
      <w:r w:rsidR="00AC70FF" w:rsidRPr="00873414">
        <w:t>,</w:t>
      </w:r>
      <w:r w:rsidRPr="00873414">
        <w:t xml:space="preserve"> a </w:t>
      </w:r>
      <w:r w:rsidRPr="00873414">
        <w:rPr>
          <w:i/>
        </w:rPr>
        <w:t>pro forma</w:t>
      </w:r>
      <w:r w:rsidRPr="00873414">
        <w:t xml:space="preserve"> cost recovery agreement </w:t>
      </w:r>
      <w:r w:rsidR="00E37FB9" w:rsidRPr="00873414">
        <w:t>to mitigate the risk of cost shifting among transmission customers, and a mechanism to ensure such payments are appropriately credited toward transmission owners’ transmission revenue requirements consistent with the Commission’s cost-of-service regulation</w:t>
      </w:r>
      <w:r w:rsidRPr="00873414">
        <w:t xml:space="preserve">s; (3) </w:t>
      </w:r>
      <w:r w:rsidR="00CD7CA7" w:rsidRPr="00873414">
        <w:t xml:space="preserve">the rates, terms, and conditions of service that apply to co-location arrangements; (4) </w:t>
      </w:r>
      <w:r w:rsidRPr="00873414">
        <w:t xml:space="preserve">transmission services that reflect Eligible Customers taking transmission service on behalf of </w:t>
      </w:r>
      <w:r w:rsidR="00BD6455" w:rsidRPr="00873414">
        <w:t xml:space="preserve">co-located loads, load with behind the meter generation, </w:t>
      </w:r>
      <w:r w:rsidR="000E4299" w:rsidRPr="00873414">
        <w:t xml:space="preserve">and </w:t>
      </w:r>
      <w:r w:rsidRPr="00873414">
        <w:t>flexible large loads that are willing and able to limit their use of the transmission system under certain conditions; and (</w:t>
      </w:r>
      <w:r w:rsidR="00144292" w:rsidRPr="00873414">
        <w:t>5</w:t>
      </w:r>
      <w:r w:rsidRPr="00873414">
        <w:t xml:space="preserve">) the rates, terms, and </w:t>
      </w:r>
      <w:r w:rsidRPr="00873414">
        <w:lastRenderedPageBreak/>
        <w:t>conditions of service applicable to interconnection customers serving electrically proximate large load or co-located load.</w:t>
      </w:r>
      <w:r w:rsidRPr="00873414">
        <w:rPr>
          <w:b/>
          <w:vertAlign w:val="superscript"/>
        </w:rPr>
        <w:footnoteReference w:id="9"/>
      </w:r>
    </w:p>
    <w:p w14:paraId="2F07B6F7" w14:textId="32B792FE" w:rsidR="005F45D9" w:rsidRPr="00873414" w:rsidRDefault="005F45D9" w:rsidP="00894423">
      <w:pPr>
        <w:pStyle w:val="FERCparanumber"/>
      </w:pPr>
      <w:r w:rsidRPr="00873414">
        <w:t xml:space="preserve">On </w:t>
      </w:r>
      <w:r w:rsidR="0014378F" w:rsidRPr="00873414">
        <w:t xml:space="preserve">August 14, 2026, the Commission granted motions for abeyance </w:t>
      </w:r>
      <w:r w:rsidR="0098417C" w:rsidRPr="00873414">
        <w:t xml:space="preserve">filed by </w:t>
      </w:r>
      <w:r w:rsidR="00791DFD" w:rsidRPr="00873414">
        <w:t>NYISO</w:t>
      </w:r>
      <w:r w:rsidR="006A6671" w:rsidRPr="00873414">
        <w:t>, the New York Transmission Owners,</w:t>
      </w:r>
      <w:r w:rsidR="0065719A" w:rsidRPr="00873414">
        <w:rPr>
          <w:rStyle w:val="FootnoteReference"/>
        </w:rPr>
        <w:footnoteReference w:id="10"/>
      </w:r>
      <w:r w:rsidR="006A6671" w:rsidRPr="00873414">
        <w:t xml:space="preserve"> and the Non-Incumb</w:t>
      </w:r>
      <w:r w:rsidR="005B1434" w:rsidRPr="00873414">
        <w:t>e</w:t>
      </w:r>
      <w:r w:rsidR="006A6671" w:rsidRPr="00873414">
        <w:t>nt Transmission Owners</w:t>
      </w:r>
      <w:r w:rsidR="000C7285" w:rsidRPr="00873414">
        <w:t>,</w:t>
      </w:r>
      <w:r w:rsidR="006D5FD6" w:rsidRPr="00873414">
        <w:rPr>
          <w:rStyle w:val="FootnoteReference"/>
        </w:rPr>
        <w:footnoteReference w:id="11"/>
      </w:r>
      <w:r w:rsidR="005B1434" w:rsidRPr="00873414">
        <w:t xml:space="preserve"> </w:t>
      </w:r>
      <w:r w:rsidR="000C7285" w:rsidRPr="00873414">
        <w:t>such that responses to the Show Cause</w:t>
      </w:r>
      <w:r w:rsidRPr="00873414">
        <w:t xml:space="preserve"> Order </w:t>
      </w:r>
      <w:r w:rsidR="000C7285" w:rsidRPr="00873414">
        <w:t xml:space="preserve">will be </w:t>
      </w:r>
      <w:r w:rsidRPr="00873414">
        <w:t xml:space="preserve">due on November 16, 2026, and answers to responses </w:t>
      </w:r>
      <w:r w:rsidR="007C4C3F" w:rsidRPr="00873414">
        <w:t xml:space="preserve">will be </w:t>
      </w:r>
      <w:r w:rsidRPr="00873414">
        <w:t>due on December 16, 2026.</w:t>
      </w:r>
      <w:r w:rsidRPr="00873414">
        <w:rPr>
          <w:b/>
          <w:vertAlign w:val="superscript"/>
        </w:rPr>
        <w:footnoteReference w:id="12"/>
      </w:r>
      <w:r w:rsidRPr="00873414">
        <w:t xml:space="preserve">  The Commission also stated that if </w:t>
      </w:r>
      <w:r w:rsidR="009A0202" w:rsidRPr="00873414">
        <w:t>NYISO</w:t>
      </w:r>
      <w:r w:rsidRPr="00873414">
        <w:t xml:space="preserve"> or </w:t>
      </w:r>
      <w:r w:rsidR="00671D19" w:rsidRPr="00873414">
        <w:t xml:space="preserve">the </w:t>
      </w:r>
      <w:r w:rsidRPr="00873414">
        <w:t xml:space="preserve">Transmission Owners submit an FPA section 205 filing addressing the Commission’s preliminary findings in the Show Cause Order on or before November 16, 2026, then the obligation of the respondent(s) who have made such an FPA section 205 filing to file a response to the Show Cause Order will be suspended, and the </w:t>
      </w:r>
      <w:r w:rsidR="0082794E" w:rsidRPr="00873414">
        <w:t>show cause</w:t>
      </w:r>
      <w:r w:rsidR="002F5146" w:rsidRPr="00873414">
        <w:t xml:space="preserve"> </w:t>
      </w:r>
      <w:r w:rsidRPr="00873414">
        <w:t xml:space="preserve">proceeding will continue to be held in abeyance pending further Commission directive in the </w:t>
      </w:r>
      <w:r w:rsidR="002F5146" w:rsidRPr="00873414">
        <w:t xml:space="preserve">show cause </w:t>
      </w:r>
      <w:r w:rsidRPr="00873414">
        <w:t>proceeding.</w:t>
      </w:r>
      <w:r w:rsidRPr="00873414">
        <w:rPr>
          <w:b/>
          <w:vertAlign w:val="superscript"/>
        </w:rPr>
        <w:footnoteReference w:id="13"/>
      </w:r>
    </w:p>
    <w:p w14:paraId="1D1BE878" w14:textId="6B71B708" w:rsidR="00894423" w:rsidRPr="00873414" w:rsidRDefault="00FD2861" w:rsidP="00953198">
      <w:pPr>
        <w:pStyle w:val="Heading1"/>
      </w:pPr>
      <w:r w:rsidRPr="00873414">
        <w:t xml:space="preserve">Eolian </w:t>
      </w:r>
      <w:r w:rsidR="00894423" w:rsidRPr="00873414">
        <w:t>Request for Clarification</w:t>
      </w:r>
      <w:r w:rsidRPr="00873414">
        <w:t xml:space="preserve"> or, in the Alternative, </w:t>
      </w:r>
      <w:r w:rsidR="00894423" w:rsidRPr="00873414">
        <w:t>Rehearing</w:t>
      </w:r>
    </w:p>
    <w:p w14:paraId="4A581B93" w14:textId="1DD393C4" w:rsidR="005F57F8" w:rsidRPr="00873414" w:rsidRDefault="005F57F8" w:rsidP="005F57F8">
      <w:pPr>
        <w:pStyle w:val="FERCparanumber"/>
      </w:pPr>
      <w:r w:rsidRPr="00873414">
        <w:t>Eolian requests clarification or, in the alternative, rehearing to provide that electrically proximate generation may access permanent load-limited generator interconnection service where it is equally capable of enabling the large load to limit its withdrawals from the transmission system on a long-term basis without creating system reliability risks.</w:t>
      </w:r>
      <w:r w:rsidRPr="00873414">
        <w:rPr>
          <w:rStyle w:val="FootnoteReference"/>
        </w:rPr>
        <w:footnoteReference w:id="14"/>
      </w:r>
      <w:r w:rsidRPr="00873414">
        <w:t xml:space="preserve">  Eolian contends that the Show Cause Order limits </w:t>
      </w:r>
      <w:r w:rsidR="003666A3" w:rsidRPr="00873414">
        <w:t>NYISO’s</w:t>
      </w:r>
      <w:r w:rsidRPr="00873414">
        <w:t xml:space="preserve"> ability to put in place a replacement rate that will ensure just and reasonable and not unduly discriminatory rates by not requiring or by limiting its ability to adopt a permanent load-</w:t>
      </w:r>
      <w:r w:rsidRPr="00873414">
        <w:lastRenderedPageBreak/>
        <w:t>limited generator interconnection service for front-of-the-meter resources that are capable of enabling large loads to limit their withdrawals from the transmission system under certain conditions on a long-term basis without resulting reliability concerns.</w:t>
      </w:r>
      <w:r w:rsidRPr="00873414">
        <w:rPr>
          <w:rStyle w:val="FootnoteReference"/>
        </w:rPr>
        <w:footnoteReference w:id="15"/>
      </w:r>
      <w:r w:rsidRPr="00873414">
        <w:t xml:space="preserve">  Eolian argues that this limitation would create a significant barrier to large loads’ ability to use the new transmission services directed under the Show Cause Order, and therefore would significantly impair the ability of the Show Cause Order to ensure just and reasonable and not unduly discriminatory rates.</w:t>
      </w:r>
      <w:r w:rsidRPr="00873414">
        <w:rPr>
          <w:rStyle w:val="FootnoteReference"/>
        </w:rPr>
        <w:footnoteReference w:id="16"/>
      </w:r>
      <w:r w:rsidRPr="00873414">
        <w:t xml:space="preserve">  </w:t>
      </w:r>
    </w:p>
    <w:p w14:paraId="3126B1D1" w14:textId="15E34DB8" w:rsidR="005F57F8" w:rsidRPr="00873414" w:rsidRDefault="005F57F8" w:rsidP="005F57F8">
      <w:pPr>
        <w:pStyle w:val="FERCparanumber"/>
      </w:pPr>
      <w:r w:rsidRPr="00873414">
        <w:t xml:space="preserve">Eolian also requests rehearing or clarification to clarify that any flexibility to tailor the generator interconnection reforms to the unique circumstances of the region must be paired with an obligation for </w:t>
      </w:r>
      <w:r w:rsidR="003666A3" w:rsidRPr="00873414">
        <w:t>NYISO</w:t>
      </w:r>
      <w:r w:rsidRPr="00873414">
        <w:t xml:space="preserve"> to show that the reforms will enable a pathway for significant generating capacity to provide load-limited interconnection.</w:t>
      </w:r>
      <w:r w:rsidRPr="00873414">
        <w:rPr>
          <w:rStyle w:val="FootnoteReference"/>
        </w:rPr>
        <w:footnoteReference w:id="17"/>
      </w:r>
      <w:r w:rsidRPr="00873414">
        <w:t xml:space="preserve">  Eolian argues that the Show Cause Order includes some language that could be interpreted such that it gives flexibility to </w:t>
      </w:r>
      <w:r w:rsidR="003666A3" w:rsidRPr="00873414">
        <w:t>NYISO</w:t>
      </w:r>
      <w:r w:rsidRPr="00873414">
        <w:t xml:space="preserve"> to adopt minimal reforms that do not achieve the objectives of ensuring just and reasonable and not unduly discriminatory rates.</w:t>
      </w:r>
      <w:r w:rsidRPr="00873414">
        <w:rPr>
          <w:rStyle w:val="FootnoteReference"/>
        </w:rPr>
        <w:footnoteReference w:id="18"/>
      </w:r>
      <w:r w:rsidRPr="00873414">
        <w:t xml:space="preserve"> </w:t>
      </w:r>
    </w:p>
    <w:p w14:paraId="11B36FF4" w14:textId="77777777" w:rsidR="00894423" w:rsidRPr="00873414" w:rsidRDefault="00894423" w:rsidP="00953198">
      <w:pPr>
        <w:pStyle w:val="Heading1"/>
      </w:pPr>
      <w:r w:rsidRPr="00873414">
        <w:t>Discussion</w:t>
      </w:r>
    </w:p>
    <w:p w14:paraId="361E3B3D" w14:textId="692C7131" w:rsidR="00C80F9C" w:rsidRPr="00873414" w:rsidRDefault="00C80F9C" w:rsidP="00C80F9C">
      <w:pPr>
        <w:pStyle w:val="FERCparanumber"/>
      </w:pPr>
      <w:r w:rsidRPr="00873414">
        <w:t>Rule 713(b) of the Commission’s Rules of Practice and Procedure permits requests for rehearing “of any final decision or other final order in a proceeding.”</w:t>
      </w:r>
      <w:r w:rsidRPr="00873414">
        <w:rPr>
          <w:rStyle w:val="FootnoteReference"/>
        </w:rPr>
        <w:footnoteReference w:id="19"/>
      </w:r>
      <w:r w:rsidRPr="00873414">
        <w:t xml:space="preserve">  A final order imposes an obligation, denies a right, or fixes some legal relationship as a consummation of the administrative process.</w:t>
      </w:r>
      <w:r w:rsidRPr="00873414">
        <w:rPr>
          <w:rStyle w:val="FootnoteReference"/>
        </w:rPr>
        <w:footnoteReference w:id="20"/>
      </w:r>
      <w:r w:rsidRPr="00873414">
        <w:t xml:space="preserve">  The Show Cause Order did none of those things.  The Commission did not make any final decision or determination in the Show Cause Order on whether the </w:t>
      </w:r>
      <w:r w:rsidR="00B22B1C" w:rsidRPr="00873414">
        <w:t>NYISO</w:t>
      </w:r>
      <w:r w:rsidRPr="00873414">
        <w:t xml:space="preserve"> Tariff is unjust, unreasonable, or unduly discriminatory or preferential.  The Commission determined only that the Tariff appears to be unjust, </w:t>
      </w:r>
      <w:r w:rsidRPr="00873414">
        <w:lastRenderedPageBreak/>
        <w:t xml:space="preserve">unreasonable, and unduly discriminatory or preferential and </w:t>
      </w:r>
      <w:r w:rsidRPr="00873414" w:rsidDel="00463D1A">
        <w:t xml:space="preserve">instituted </w:t>
      </w:r>
      <w:r w:rsidRPr="00873414">
        <w:t>an FPA section 206 show cause proceeding to reach a final determination on this issue.</w:t>
      </w:r>
      <w:r w:rsidRPr="00873414">
        <w:rPr>
          <w:rStyle w:val="FootnoteReference"/>
        </w:rPr>
        <w:footnoteReference w:id="21"/>
      </w:r>
      <w:r w:rsidRPr="00873414">
        <w:t xml:space="preserve">  </w:t>
      </w:r>
      <w:r w:rsidR="00E87496" w:rsidRPr="00873414">
        <w:t>We therefore dismiss the request for rehearing, which concern</w:t>
      </w:r>
      <w:r w:rsidR="000408D1" w:rsidRPr="00873414">
        <w:t>s</w:t>
      </w:r>
      <w:r w:rsidR="00E87496" w:rsidRPr="00873414">
        <w:t xml:space="preserve"> a Commission action that is not final and that will be succeeded by further Commission action</w:t>
      </w:r>
      <w:r w:rsidRPr="00873414">
        <w:t>.</w:t>
      </w:r>
      <w:r w:rsidRPr="00873414">
        <w:rPr>
          <w:rStyle w:val="FootnoteReference"/>
        </w:rPr>
        <w:footnoteReference w:id="22"/>
      </w:r>
      <w:r w:rsidRPr="00873414">
        <w:t xml:space="preserve">  </w:t>
      </w:r>
    </w:p>
    <w:p w14:paraId="52CB6B06" w14:textId="0C082A0B" w:rsidR="00681772" w:rsidRPr="00873414" w:rsidRDefault="00C80F9C" w:rsidP="00B63374">
      <w:pPr>
        <w:pStyle w:val="FERCparanumber"/>
      </w:pPr>
      <w:r w:rsidRPr="00873414">
        <w:t xml:space="preserve">For similar reasons, we also dismiss the request for clarification.  The show cause proceeding has been held in abeyance until November 16, 2026, to allow </w:t>
      </w:r>
      <w:r w:rsidR="00B22B1C" w:rsidRPr="00873414">
        <w:t>NYISO’s</w:t>
      </w:r>
      <w:r w:rsidRPr="00873414">
        <w:t xml:space="preserve"> stakeholder process to continue so that </w:t>
      </w:r>
      <w:r w:rsidR="00B22B1C" w:rsidRPr="00873414">
        <w:t>NYISO</w:t>
      </w:r>
      <w:r w:rsidRPr="00873414">
        <w:t xml:space="preserve"> and the Transmission Owners may submit FPA section 205 filings addressing the Commission’s preliminary findings in the Show Cause Order.</w:t>
      </w:r>
      <w:r w:rsidRPr="00873414">
        <w:rPr>
          <w:rStyle w:val="FootnoteReference"/>
        </w:rPr>
        <w:footnoteReference w:id="23"/>
      </w:r>
      <w:r w:rsidRPr="00873414">
        <w:t xml:space="preserve">  We do not intend to provide clarification or guidance with respect to the Show Cause Order while the show cause proceeding is held in abeyance.</w:t>
      </w:r>
      <w:r w:rsidRPr="00873414">
        <w:rPr>
          <w:rStyle w:val="FootnoteReference"/>
        </w:rPr>
        <w:footnoteReference w:id="24"/>
      </w:r>
      <w:r w:rsidRPr="00873414">
        <w:t xml:space="preserve">  We encourage </w:t>
      </w:r>
      <w:r w:rsidR="00B22B1C" w:rsidRPr="00873414">
        <w:t>NYISO</w:t>
      </w:r>
      <w:r w:rsidRPr="00873414">
        <w:t>, the Transmission Owners, and stakeholders to continue with the development of one or more FPA section 205 proposals.</w:t>
      </w:r>
    </w:p>
    <w:p w14:paraId="24EF756A" w14:textId="7FCC7646" w:rsidR="00894423" w:rsidRPr="00873414" w:rsidRDefault="00894423" w:rsidP="006F25F0">
      <w:r w:rsidRPr="00873414">
        <w:rPr>
          <w:u w:val="single"/>
        </w:rPr>
        <w:t>The Commission orders</w:t>
      </w:r>
      <w:r w:rsidRPr="00873414">
        <w:t>:</w:t>
      </w:r>
    </w:p>
    <w:p w14:paraId="117834F5" w14:textId="77777777" w:rsidR="00894423" w:rsidRPr="00873414" w:rsidRDefault="00894423" w:rsidP="006F25F0"/>
    <w:p w14:paraId="31EDA32C" w14:textId="57D1EAEF" w:rsidR="00600A48" w:rsidRDefault="00600A48" w:rsidP="00285724">
      <w:pPr>
        <w:spacing w:after="260"/>
        <w:ind w:firstLine="720"/>
      </w:pPr>
      <w:r w:rsidRPr="00873414">
        <w:t>Eolian’s request for</w:t>
      </w:r>
      <w:r w:rsidR="00B0267F" w:rsidRPr="00873414">
        <w:t xml:space="preserve"> clarification or, in the alternative,</w:t>
      </w:r>
      <w:r w:rsidRPr="00873414">
        <w:t xml:space="preserve"> rehearing </w:t>
      </w:r>
      <w:r w:rsidR="00DB617C" w:rsidRPr="00873414">
        <w:t>is</w:t>
      </w:r>
      <w:r w:rsidRPr="00873414">
        <w:t xml:space="preserve"> hereby dismissed, as discussed in the body of this order.</w:t>
      </w:r>
    </w:p>
    <w:p w14:paraId="686BDFA0" w14:textId="77777777" w:rsidR="00894423" w:rsidRPr="00894423" w:rsidRDefault="00894423" w:rsidP="006F25F0">
      <w:r w:rsidRPr="00894423">
        <w:t>By the Commission.</w:t>
      </w:r>
    </w:p>
    <w:p w14:paraId="0D6EFA09" w14:textId="77777777" w:rsidR="00894423" w:rsidRDefault="00894423" w:rsidP="006F25F0"/>
    <w:p w14:paraId="63050118" w14:textId="5207F386" w:rsidR="00200675" w:rsidRDefault="00200675" w:rsidP="00200675">
      <w:pPr>
        <w:widowControl/>
      </w:pPr>
      <w:r w:rsidRPr="00200675">
        <w:t>( S E A L )</w:t>
      </w:r>
    </w:p>
    <w:p w14:paraId="4C2B1C90" w14:textId="77777777" w:rsidR="00200675" w:rsidRDefault="00200675" w:rsidP="00200675">
      <w:pPr>
        <w:pStyle w:val="FootnoteText"/>
        <w:widowControl/>
        <w:spacing w:after="0"/>
        <w:ind w:firstLine="0"/>
      </w:pPr>
    </w:p>
    <w:p w14:paraId="176DD2D1" w14:textId="77777777" w:rsidR="00200675" w:rsidRDefault="00200675" w:rsidP="00200675">
      <w:pPr>
        <w:pStyle w:val="FootnoteText"/>
        <w:widowControl/>
        <w:spacing w:after="0"/>
        <w:ind w:firstLine="0"/>
      </w:pPr>
    </w:p>
    <w:p w14:paraId="2C101D97" w14:textId="77777777" w:rsidR="00200675" w:rsidRDefault="00200675" w:rsidP="00200675">
      <w:pPr>
        <w:pStyle w:val="FootnoteText"/>
        <w:widowControl/>
        <w:spacing w:after="0"/>
        <w:ind w:firstLine="0"/>
      </w:pPr>
    </w:p>
    <w:p w14:paraId="582BC3E4" w14:textId="3627BC1F" w:rsidR="00200675" w:rsidRPr="00200675" w:rsidRDefault="00200675" w:rsidP="00200675">
      <w:pPr>
        <w:widowControl/>
        <w:ind w:firstLine="2606"/>
        <w:jc w:val="center"/>
      </w:pPr>
      <w:r w:rsidRPr="00200675">
        <w:t>Debbie-Anne A. Reese,</w:t>
      </w:r>
    </w:p>
    <w:p w14:paraId="7FF1A08B" w14:textId="2D68D405" w:rsidR="00200675" w:rsidRPr="00200675" w:rsidRDefault="00200675" w:rsidP="00200675">
      <w:pPr>
        <w:widowControl/>
        <w:ind w:firstLine="2606"/>
        <w:jc w:val="center"/>
      </w:pPr>
      <w:r w:rsidRPr="00200675">
        <w:t>Secretary.</w:t>
      </w:r>
    </w:p>
    <w:sectPr w:rsidR="00200675" w:rsidRPr="00200675" w:rsidSect="00D33475">
      <w:headerReference w:type="even" r:id="rId12"/>
      <w:headerReference w:type="default" r:id="rId13"/>
      <w:headerReference w:type="first" r:id="rId14"/>
      <w:pgSz w:w="12240" w:h="15840"/>
      <w:pgMar w:top="1440" w:right="135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B552" w14:textId="77777777" w:rsidR="00853060" w:rsidRDefault="00853060" w:rsidP="0048020B">
      <w:r>
        <w:separator/>
      </w:r>
    </w:p>
  </w:endnote>
  <w:endnote w:type="continuationSeparator" w:id="0">
    <w:p w14:paraId="320F7119" w14:textId="77777777" w:rsidR="00853060" w:rsidRDefault="00853060"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45A99" w14:textId="77777777" w:rsidR="00853060" w:rsidRDefault="00853060" w:rsidP="0048020B">
      <w:r>
        <w:separator/>
      </w:r>
    </w:p>
  </w:footnote>
  <w:footnote w:type="continuationSeparator" w:id="0">
    <w:p w14:paraId="64FC7F9F" w14:textId="77777777" w:rsidR="00853060" w:rsidRDefault="00853060" w:rsidP="0048020B">
      <w:r>
        <w:continuationSeparator/>
      </w:r>
    </w:p>
  </w:footnote>
  <w:footnote w:type="continuationNotice" w:id="1">
    <w:p w14:paraId="5F696722" w14:textId="77777777" w:rsidR="00853060" w:rsidRPr="00BB69A5" w:rsidRDefault="00853060" w:rsidP="00BB69A5">
      <w:pPr>
        <w:spacing w:line="20" w:lineRule="exact"/>
        <w:rPr>
          <w:sz w:val="2"/>
        </w:rPr>
      </w:pPr>
    </w:p>
  </w:footnote>
  <w:footnote w:id="2">
    <w:p w14:paraId="676A87EF" w14:textId="77777777" w:rsidR="00894423" w:rsidRPr="00873414" w:rsidRDefault="00894423" w:rsidP="00894423">
      <w:pPr>
        <w:pStyle w:val="FootnoteText"/>
      </w:pPr>
      <w:r w:rsidRPr="00873414">
        <w:rPr>
          <w:rStyle w:val="FootnoteReference"/>
        </w:rPr>
        <w:footnoteRef/>
      </w:r>
      <w:r w:rsidRPr="00873414">
        <w:t xml:space="preserve"> 16 U.S.C. § 824e.</w:t>
      </w:r>
    </w:p>
  </w:footnote>
  <w:footnote w:id="3">
    <w:p w14:paraId="546208E4" w14:textId="77777777" w:rsidR="00861A29" w:rsidRPr="00873414" w:rsidRDefault="00861A29" w:rsidP="00861A29">
      <w:pPr>
        <w:pStyle w:val="FootnoteText"/>
      </w:pPr>
      <w:r w:rsidRPr="00873414">
        <w:rPr>
          <w:rStyle w:val="FootnoteReference"/>
        </w:rPr>
        <w:footnoteRef/>
      </w:r>
      <w:r w:rsidRPr="00873414">
        <w:t xml:space="preserve"> Transmission Owners refers to the entities listed in the caption to this order. </w:t>
      </w:r>
    </w:p>
  </w:footnote>
  <w:footnote w:id="4">
    <w:p w14:paraId="7CEDBFB3" w14:textId="3F2C060D" w:rsidR="00894423" w:rsidRPr="00873414" w:rsidRDefault="00894423" w:rsidP="00894423">
      <w:pPr>
        <w:pStyle w:val="FootnoteText"/>
      </w:pPr>
      <w:r w:rsidRPr="00873414">
        <w:rPr>
          <w:rStyle w:val="FootnoteReference"/>
        </w:rPr>
        <w:footnoteRef/>
      </w:r>
      <w:r w:rsidRPr="00873414">
        <w:rPr>
          <w:i/>
          <w:iCs/>
        </w:rPr>
        <w:t xml:space="preserve"> N.Y. Indep. Sys. Operator, Inc.</w:t>
      </w:r>
      <w:r w:rsidRPr="00873414">
        <w:t>, 195 FERC ¶ 61,216</w:t>
      </w:r>
      <w:r w:rsidR="00924AF3" w:rsidRPr="00873414">
        <w:t>, at PP </w:t>
      </w:r>
      <w:r w:rsidR="00FC4BA6" w:rsidRPr="00873414">
        <w:t xml:space="preserve">3, </w:t>
      </w:r>
      <w:r w:rsidR="00037E94" w:rsidRPr="00873414">
        <w:t>38</w:t>
      </w:r>
      <w:r w:rsidRPr="00873414">
        <w:t xml:space="preserve"> (2026) (Show Cause Order).</w:t>
      </w:r>
      <w:r w:rsidR="0071370C" w:rsidRPr="00873414">
        <w:t xml:space="preserve">  Capitalized terms not otherwise defined herein have the meanings ascribed to them in the Tariff.</w:t>
      </w:r>
    </w:p>
  </w:footnote>
  <w:footnote w:id="5">
    <w:p w14:paraId="47E03B1A" w14:textId="77777777" w:rsidR="00894423" w:rsidRPr="00873414" w:rsidRDefault="00894423" w:rsidP="00894423">
      <w:pPr>
        <w:pStyle w:val="FootnoteText"/>
        <w:rPr>
          <w:szCs w:val="26"/>
        </w:rPr>
      </w:pPr>
      <w:r w:rsidRPr="00873414">
        <w:rPr>
          <w:rStyle w:val="FootnoteReference"/>
          <w:szCs w:val="26"/>
        </w:rPr>
        <w:footnoteRef/>
      </w:r>
      <w:r w:rsidRPr="00873414">
        <w:rPr>
          <w:szCs w:val="26"/>
        </w:rPr>
        <w:t xml:space="preserve"> 964 F.3d 1 (D.C. Cir. 2020) (en banc).  </w:t>
      </w:r>
    </w:p>
  </w:footnote>
  <w:footnote w:id="6">
    <w:p w14:paraId="06E67042" w14:textId="14F6E18C" w:rsidR="00BC25A6" w:rsidRPr="00873414" w:rsidRDefault="00BC25A6" w:rsidP="00BC25A6">
      <w:pPr>
        <w:pStyle w:val="FootnoteText"/>
      </w:pPr>
      <w:r w:rsidRPr="00873414">
        <w:rPr>
          <w:rStyle w:val="FootnoteReference"/>
        </w:rPr>
        <w:footnoteRef/>
      </w:r>
      <w:r w:rsidRPr="00873414">
        <w:t xml:space="preserve"> Show Cause Order, 195 FERC ¶ 61,21</w:t>
      </w:r>
      <w:r w:rsidR="003719FC" w:rsidRPr="00873414">
        <w:t>6</w:t>
      </w:r>
      <w:r w:rsidRPr="00873414">
        <w:t xml:space="preserve"> at </w:t>
      </w:r>
      <w:r w:rsidR="009C1602" w:rsidRPr="00873414">
        <w:t>P</w:t>
      </w:r>
      <w:r w:rsidRPr="00873414">
        <w:t>P 3, 3</w:t>
      </w:r>
      <w:r w:rsidR="00D457D2" w:rsidRPr="00873414">
        <w:t>8</w:t>
      </w:r>
      <w:r w:rsidRPr="00873414">
        <w:t>.</w:t>
      </w:r>
    </w:p>
  </w:footnote>
  <w:footnote w:id="7">
    <w:p w14:paraId="516D3671" w14:textId="4D2B3851" w:rsidR="00BC25A6" w:rsidRPr="00873414" w:rsidRDefault="00BC25A6" w:rsidP="00BC25A6">
      <w:pPr>
        <w:pStyle w:val="FootnoteText"/>
      </w:pPr>
      <w:r w:rsidRPr="00873414">
        <w:rPr>
          <w:rStyle w:val="FootnoteReference"/>
        </w:rPr>
        <w:footnoteRef/>
      </w:r>
      <w:r w:rsidRPr="00873414">
        <w:t xml:space="preserve"> </w:t>
      </w:r>
      <w:r w:rsidRPr="00873414">
        <w:rPr>
          <w:i/>
          <w:iCs/>
        </w:rPr>
        <w:t xml:space="preserve">Id. </w:t>
      </w:r>
      <w:r w:rsidRPr="00873414">
        <w:t xml:space="preserve">P 3.  </w:t>
      </w:r>
    </w:p>
  </w:footnote>
  <w:footnote w:id="8">
    <w:p w14:paraId="65CE7C2B" w14:textId="74CAFD27" w:rsidR="00BC25A6" w:rsidRPr="00873414" w:rsidRDefault="00BC25A6" w:rsidP="00BC25A6">
      <w:pPr>
        <w:pStyle w:val="FootnoteText"/>
      </w:pPr>
      <w:r w:rsidRPr="00873414">
        <w:rPr>
          <w:rStyle w:val="FootnoteReference"/>
        </w:rPr>
        <w:footnoteRef/>
      </w:r>
      <w:r w:rsidRPr="00873414">
        <w:t xml:space="preserve"> While the Commission stated that “it appears that it would be reasonable to define a large load as a new, commercial or industrial customer, located at a single site behind one or more points of interconnection, and that has a peak load of 50 MW or greater, interconnects to the transmission system at a voltage level of greater than 69 kV, and is not part of a co-location arrangement,” the Commission also stated that</w:t>
      </w:r>
      <w:r w:rsidR="00C61B7F" w:rsidRPr="00873414">
        <w:t xml:space="preserve"> NYISO</w:t>
      </w:r>
      <w:r w:rsidRPr="00873414">
        <w:t xml:space="preserve"> could propose Tariff revisions establishing its own definition of large load.  </w:t>
      </w:r>
      <w:r w:rsidRPr="00873414">
        <w:rPr>
          <w:i/>
          <w:iCs/>
        </w:rPr>
        <w:t>Id.</w:t>
      </w:r>
      <w:r w:rsidRPr="00873414">
        <w:t xml:space="preserve"> P </w:t>
      </w:r>
      <w:r w:rsidR="00787D46" w:rsidRPr="00873414">
        <w:t>64</w:t>
      </w:r>
      <w:r w:rsidRPr="00873414">
        <w:t>.</w:t>
      </w:r>
    </w:p>
  </w:footnote>
  <w:footnote w:id="9">
    <w:p w14:paraId="3D7E65C6" w14:textId="7A360797" w:rsidR="00BC25A6" w:rsidRPr="00873414" w:rsidRDefault="00BC25A6" w:rsidP="00BC25A6">
      <w:pPr>
        <w:pStyle w:val="FootnoteText"/>
      </w:pPr>
      <w:r w:rsidRPr="00873414">
        <w:rPr>
          <w:rStyle w:val="FootnoteReference"/>
        </w:rPr>
        <w:footnoteRef/>
      </w:r>
      <w:r w:rsidRPr="00873414">
        <w:t xml:space="preserve"> </w:t>
      </w:r>
      <w:r w:rsidRPr="00873414">
        <w:rPr>
          <w:i/>
          <w:iCs/>
        </w:rPr>
        <w:t>Id.</w:t>
      </w:r>
      <w:r w:rsidRPr="00873414">
        <w:t xml:space="preserve"> PP 3, 3</w:t>
      </w:r>
      <w:r w:rsidR="00783101" w:rsidRPr="00873414">
        <w:t>8</w:t>
      </w:r>
      <w:r w:rsidRPr="00873414">
        <w:t xml:space="preserve">.  </w:t>
      </w:r>
    </w:p>
  </w:footnote>
  <w:footnote w:id="10">
    <w:p w14:paraId="7FEE7A79" w14:textId="15152561" w:rsidR="0065719A" w:rsidRPr="00873414" w:rsidRDefault="0065719A">
      <w:pPr>
        <w:pStyle w:val="FootnoteText"/>
      </w:pPr>
      <w:r w:rsidRPr="00873414">
        <w:rPr>
          <w:rStyle w:val="FootnoteReference"/>
        </w:rPr>
        <w:footnoteRef/>
      </w:r>
      <w:r w:rsidRPr="00873414">
        <w:t xml:space="preserve"> </w:t>
      </w:r>
      <w:r w:rsidR="007D2FB3" w:rsidRPr="00873414">
        <w:t>New York Transmission Owners include:  Central Hudson Gas &amp; Electric Corporation; Consolidated Edison Company of New York</w:t>
      </w:r>
      <w:r w:rsidR="006D5FD6" w:rsidRPr="00873414">
        <w:t>, Inc.; New York State Electric &amp; Gas Corporation; Niagara Mohawk Power Corp.; Orange and Rockland Utilities, Inc.; and Rochester Gas and Electric Corporation.</w:t>
      </w:r>
    </w:p>
  </w:footnote>
  <w:footnote w:id="11">
    <w:p w14:paraId="4B2C225B" w14:textId="4EAC446B" w:rsidR="006D5FD6" w:rsidRPr="00873414" w:rsidRDefault="006D5FD6">
      <w:pPr>
        <w:pStyle w:val="FootnoteText"/>
      </w:pPr>
      <w:r w:rsidRPr="00873414">
        <w:rPr>
          <w:rStyle w:val="FootnoteReference"/>
        </w:rPr>
        <w:footnoteRef/>
      </w:r>
      <w:r w:rsidRPr="00873414">
        <w:t xml:space="preserve"> </w:t>
      </w:r>
      <w:r w:rsidR="00282E99" w:rsidRPr="00873414">
        <w:t>Non-Inc</w:t>
      </w:r>
      <w:r w:rsidR="003F2CE2" w:rsidRPr="00873414">
        <w:t>u</w:t>
      </w:r>
      <w:r w:rsidR="00282E99" w:rsidRPr="00873414">
        <w:t>mbent Transmission Owners include LS Power Grid New Corporation I and New York Transco, LLC</w:t>
      </w:r>
      <w:r w:rsidR="003F2CE2" w:rsidRPr="00873414">
        <w:t>.</w:t>
      </w:r>
    </w:p>
  </w:footnote>
  <w:footnote w:id="12">
    <w:p w14:paraId="41F42640" w14:textId="0421F3B3" w:rsidR="005F45D9" w:rsidRPr="00873414" w:rsidRDefault="005F45D9" w:rsidP="005F45D9">
      <w:pPr>
        <w:pStyle w:val="FootnoteText"/>
      </w:pPr>
      <w:r w:rsidRPr="00873414">
        <w:rPr>
          <w:rStyle w:val="FootnoteReference"/>
        </w:rPr>
        <w:footnoteRef/>
      </w:r>
      <w:r w:rsidRPr="00873414">
        <w:t xml:space="preserve"> </w:t>
      </w:r>
      <w:r w:rsidR="005B28D4" w:rsidRPr="00873414">
        <w:rPr>
          <w:i/>
          <w:iCs/>
        </w:rPr>
        <w:t>N</w:t>
      </w:r>
      <w:r w:rsidR="00F16795" w:rsidRPr="00873414">
        <w:rPr>
          <w:i/>
          <w:iCs/>
        </w:rPr>
        <w:t>.Y. Indep. Sys. Operator, Inc.</w:t>
      </w:r>
      <w:r w:rsidR="00F16795" w:rsidRPr="00873414">
        <w:t>,</w:t>
      </w:r>
      <w:r w:rsidRPr="00873414">
        <w:t xml:space="preserve"> 196 FERC ¶ 61,</w:t>
      </w:r>
      <w:r w:rsidR="008C559C" w:rsidRPr="00873414">
        <w:t>130</w:t>
      </w:r>
      <w:r w:rsidRPr="00873414">
        <w:t>, at PP 9</w:t>
      </w:r>
      <w:r w:rsidR="00112D2F" w:rsidRPr="00873414">
        <w:t>-10</w:t>
      </w:r>
      <w:r w:rsidRPr="00873414">
        <w:t xml:space="preserve"> (2026) (Abeyance Order).</w:t>
      </w:r>
    </w:p>
  </w:footnote>
  <w:footnote w:id="13">
    <w:p w14:paraId="4E6C49BA" w14:textId="6376CB57" w:rsidR="005F45D9" w:rsidRPr="00873414" w:rsidRDefault="005F45D9" w:rsidP="005F45D9">
      <w:pPr>
        <w:pStyle w:val="FootnoteText"/>
      </w:pPr>
      <w:r w:rsidRPr="00873414">
        <w:rPr>
          <w:rStyle w:val="FootnoteReference"/>
        </w:rPr>
        <w:footnoteRef/>
      </w:r>
      <w:r w:rsidRPr="00873414">
        <w:t xml:space="preserve"> </w:t>
      </w:r>
      <w:r w:rsidRPr="00873414">
        <w:rPr>
          <w:i/>
          <w:iCs/>
        </w:rPr>
        <w:t>Id.</w:t>
      </w:r>
      <w:r w:rsidRPr="00873414">
        <w:t xml:space="preserve"> P 1</w:t>
      </w:r>
      <w:r w:rsidR="007B2B41" w:rsidRPr="00873414">
        <w:t>1</w:t>
      </w:r>
      <w:r w:rsidRPr="00873414">
        <w:t>.</w:t>
      </w:r>
    </w:p>
  </w:footnote>
  <w:footnote w:id="14">
    <w:p w14:paraId="3D5B6342" w14:textId="0D699EE6" w:rsidR="005F57F8" w:rsidRPr="00873414" w:rsidRDefault="005F57F8" w:rsidP="005F57F8">
      <w:pPr>
        <w:pStyle w:val="FootnoteText"/>
      </w:pPr>
      <w:r w:rsidRPr="00873414">
        <w:rPr>
          <w:rStyle w:val="FootnoteReference"/>
        </w:rPr>
        <w:footnoteRef/>
      </w:r>
      <w:r w:rsidRPr="00873414">
        <w:t xml:space="preserve"> Eolian Request at 3, 4-14.</w:t>
      </w:r>
      <w:r w:rsidR="000517A4" w:rsidRPr="00873414">
        <w:t xml:space="preserve">  Eolian states that load-limited generator interconnection service “is premised on the generator’s commitment to limiting its output to match the consumption of the load it is supporting.”  </w:t>
      </w:r>
      <w:r w:rsidR="000517A4" w:rsidRPr="00873414">
        <w:rPr>
          <w:i/>
          <w:iCs/>
        </w:rPr>
        <w:t>Id.</w:t>
      </w:r>
      <w:r w:rsidR="000517A4" w:rsidRPr="00873414">
        <w:t>, attach. A (Aff. of Andrew Levitt) at 3.</w:t>
      </w:r>
    </w:p>
  </w:footnote>
  <w:footnote w:id="15">
    <w:p w14:paraId="75FBB111" w14:textId="77777777" w:rsidR="005F57F8" w:rsidRPr="00873414" w:rsidRDefault="005F57F8" w:rsidP="005F57F8">
      <w:pPr>
        <w:pStyle w:val="FootnoteText"/>
      </w:pPr>
      <w:r w:rsidRPr="00873414">
        <w:rPr>
          <w:rStyle w:val="FootnoteReference"/>
        </w:rPr>
        <w:footnoteRef/>
      </w:r>
      <w:r w:rsidRPr="00873414">
        <w:t xml:space="preserve"> </w:t>
      </w:r>
      <w:r w:rsidRPr="00873414">
        <w:rPr>
          <w:i/>
          <w:iCs/>
        </w:rPr>
        <w:t>Id.</w:t>
      </w:r>
      <w:r w:rsidRPr="00873414">
        <w:t xml:space="preserve"> at 3-4.</w:t>
      </w:r>
    </w:p>
  </w:footnote>
  <w:footnote w:id="16">
    <w:p w14:paraId="53C4CE10" w14:textId="77777777" w:rsidR="005F57F8" w:rsidRPr="00873414" w:rsidRDefault="005F57F8" w:rsidP="005F57F8">
      <w:pPr>
        <w:pStyle w:val="FootnoteText"/>
      </w:pPr>
      <w:r w:rsidRPr="00873414">
        <w:rPr>
          <w:rStyle w:val="FootnoteReference"/>
        </w:rPr>
        <w:footnoteRef/>
      </w:r>
      <w:r w:rsidRPr="00873414">
        <w:t xml:space="preserve"> </w:t>
      </w:r>
      <w:r w:rsidRPr="00873414">
        <w:rPr>
          <w:i/>
          <w:iCs/>
        </w:rPr>
        <w:t xml:space="preserve">Id. </w:t>
      </w:r>
      <w:r w:rsidRPr="00873414">
        <w:t>at 4-5.</w:t>
      </w:r>
    </w:p>
  </w:footnote>
  <w:footnote w:id="17">
    <w:p w14:paraId="40222370" w14:textId="77777777" w:rsidR="005F57F8" w:rsidRPr="00873414" w:rsidRDefault="005F57F8" w:rsidP="005F57F8">
      <w:pPr>
        <w:pStyle w:val="FootnoteText"/>
      </w:pPr>
      <w:r w:rsidRPr="00873414">
        <w:rPr>
          <w:rStyle w:val="FootnoteReference"/>
        </w:rPr>
        <w:footnoteRef/>
      </w:r>
      <w:r w:rsidRPr="00873414">
        <w:t xml:space="preserve"> </w:t>
      </w:r>
      <w:r w:rsidRPr="00873414">
        <w:rPr>
          <w:i/>
          <w:iCs/>
        </w:rPr>
        <w:t>Id.</w:t>
      </w:r>
      <w:r w:rsidRPr="00873414">
        <w:t xml:space="preserve"> at 16.</w:t>
      </w:r>
    </w:p>
  </w:footnote>
  <w:footnote w:id="18">
    <w:p w14:paraId="78B6618A" w14:textId="77777777" w:rsidR="005F57F8" w:rsidRPr="00873414" w:rsidRDefault="005F57F8" w:rsidP="005F57F8">
      <w:pPr>
        <w:pStyle w:val="FootnoteText"/>
      </w:pPr>
      <w:r w:rsidRPr="00873414">
        <w:rPr>
          <w:rStyle w:val="FootnoteReference"/>
        </w:rPr>
        <w:footnoteRef/>
      </w:r>
      <w:r w:rsidRPr="00873414">
        <w:t xml:space="preserve"> </w:t>
      </w:r>
      <w:r w:rsidRPr="00873414">
        <w:rPr>
          <w:i/>
          <w:iCs/>
        </w:rPr>
        <w:t>Id.</w:t>
      </w:r>
      <w:r w:rsidRPr="00873414">
        <w:t xml:space="preserve"> at 3-4, 14-16.</w:t>
      </w:r>
    </w:p>
  </w:footnote>
  <w:footnote w:id="19">
    <w:p w14:paraId="067D138B" w14:textId="63F35FE1" w:rsidR="00C80F9C" w:rsidRPr="00873414" w:rsidRDefault="00C80F9C" w:rsidP="00C80F9C">
      <w:pPr>
        <w:pStyle w:val="FootnoteText"/>
      </w:pPr>
      <w:r w:rsidRPr="00873414">
        <w:rPr>
          <w:rStyle w:val="FootnoteReference"/>
        </w:rPr>
        <w:footnoteRef/>
      </w:r>
      <w:r w:rsidRPr="00873414">
        <w:t xml:space="preserve"> 18 C.F.R. § 385.713(b)</w:t>
      </w:r>
      <w:r w:rsidR="003772D2" w:rsidRPr="00873414">
        <w:t xml:space="preserve"> (2025)</w:t>
      </w:r>
      <w:r w:rsidRPr="00873414">
        <w:t xml:space="preserve">; </w:t>
      </w:r>
      <w:r w:rsidRPr="00873414">
        <w:rPr>
          <w:i/>
          <w:iCs/>
        </w:rPr>
        <w:t>see also</w:t>
      </w:r>
      <w:r w:rsidRPr="00873414">
        <w:t xml:space="preserve"> 16 U.S.C. § 825</w:t>
      </w:r>
      <w:r w:rsidRPr="00873414">
        <w:rPr>
          <w:i/>
          <w:iCs/>
        </w:rPr>
        <w:t>l</w:t>
      </w:r>
      <w:r w:rsidRPr="00873414">
        <w:t>(a) (parties “aggrieved by an order issued by the Commission in a proceeding . . . may apply for a rehearing within 30 days after the issuance of such order”).</w:t>
      </w:r>
    </w:p>
  </w:footnote>
  <w:footnote w:id="20">
    <w:p w14:paraId="07636C6E" w14:textId="18190B4C" w:rsidR="00C80F9C" w:rsidRPr="00873414" w:rsidRDefault="00C80F9C" w:rsidP="00C80F9C">
      <w:pPr>
        <w:pStyle w:val="FootnoteText"/>
      </w:pPr>
      <w:r w:rsidRPr="00873414">
        <w:rPr>
          <w:rStyle w:val="FootnoteReference"/>
        </w:rPr>
        <w:footnoteRef/>
      </w:r>
      <w:r w:rsidRPr="00873414">
        <w:t xml:space="preserve"> </w:t>
      </w:r>
      <w:r w:rsidRPr="00873414">
        <w:rPr>
          <w:i/>
          <w:iCs/>
        </w:rPr>
        <w:t>Reliable Automatic Sprinkler Co. v. Consumer Prod. Safety Comm’n</w:t>
      </w:r>
      <w:r w:rsidRPr="00873414">
        <w:t xml:space="preserve">, 324 F.3d 726, 731 (D.C. Cir. 2003) (“[f]inal agency action ‘mark[s] the consummation of the agency’s decisionmaking process’ and is ‘one by which rights or obligations have been determined, or from which legal consequences will flow”’) (quoting </w:t>
      </w:r>
      <w:r w:rsidRPr="00873414">
        <w:rPr>
          <w:i/>
          <w:iCs/>
        </w:rPr>
        <w:t>Bennett v. Spear</w:t>
      </w:r>
      <w:r w:rsidRPr="00873414">
        <w:t xml:space="preserve">, </w:t>
      </w:r>
      <w:r w:rsidR="005670A7">
        <w:t xml:space="preserve">  </w:t>
      </w:r>
      <w:r w:rsidRPr="00873414">
        <w:t>520 U.S. 154, 178 (1997)).</w:t>
      </w:r>
    </w:p>
  </w:footnote>
  <w:footnote w:id="21">
    <w:p w14:paraId="0C435C88" w14:textId="57C765CC" w:rsidR="00C80F9C" w:rsidRPr="00873414" w:rsidRDefault="00C80F9C" w:rsidP="00C80F9C">
      <w:pPr>
        <w:pStyle w:val="FootnoteText"/>
      </w:pPr>
      <w:r w:rsidRPr="00873414">
        <w:rPr>
          <w:rStyle w:val="FootnoteReference"/>
        </w:rPr>
        <w:footnoteRef/>
      </w:r>
      <w:r w:rsidRPr="00873414">
        <w:t xml:space="preserve"> </w:t>
      </w:r>
      <w:r w:rsidRPr="00873414">
        <w:rPr>
          <w:i/>
          <w:iCs/>
        </w:rPr>
        <w:t>See, e.g.</w:t>
      </w:r>
      <w:r w:rsidRPr="00873414">
        <w:t>,</w:t>
      </w:r>
      <w:r w:rsidRPr="00873414">
        <w:rPr>
          <w:i/>
          <w:iCs/>
        </w:rPr>
        <w:t xml:space="preserve"> </w:t>
      </w:r>
      <w:r w:rsidRPr="00873414">
        <w:t>Show Cause Order, 195 FERC ¶ 61,21</w:t>
      </w:r>
      <w:r w:rsidR="00233890" w:rsidRPr="00873414">
        <w:t>6</w:t>
      </w:r>
      <w:r w:rsidRPr="00873414">
        <w:t xml:space="preserve"> at PP 3, 3</w:t>
      </w:r>
      <w:r w:rsidR="003D66AF" w:rsidRPr="00873414">
        <w:t>7</w:t>
      </w:r>
      <w:r w:rsidRPr="00873414">
        <w:t>-3</w:t>
      </w:r>
      <w:r w:rsidR="003D66AF" w:rsidRPr="00873414">
        <w:t>8</w:t>
      </w:r>
      <w:r w:rsidRPr="00873414">
        <w:t>.</w:t>
      </w:r>
    </w:p>
  </w:footnote>
  <w:footnote w:id="22">
    <w:p w14:paraId="0F417319" w14:textId="74558F3B" w:rsidR="00C80F9C" w:rsidRPr="00873414" w:rsidRDefault="00C80F9C" w:rsidP="00C80F9C">
      <w:pPr>
        <w:pStyle w:val="FootnoteText"/>
      </w:pPr>
      <w:r w:rsidRPr="00873414">
        <w:rPr>
          <w:rStyle w:val="FootnoteReference"/>
        </w:rPr>
        <w:footnoteRef/>
      </w:r>
      <w:r w:rsidRPr="00873414">
        <w:t xml:space="preserve"> </w:t>
      </w:r>
      <w:r w:rsidRPr="00873414">
        <w:rPr>
          <w:i/>
          <w:iCs/>
        </w:rPr>
        <w:t>See, e.g.</w:t>
      </w:r>
      <w:r w:rsidRPr="00873414">
        <w:t xml:space="preserve">, </w:t>
      </w:r>
      <w:r w:rsidRPr="00873414">
        <w:rPr>
          <w:i/>
          <w:iCs/>
        </w:rPr>
        <w:t>Westlands Transmission, LLC</w:t>
      </w:r>
      <w:r w:rsidRPr="00873414">
        <w:t>, 177 FERC ¶ 61,175, at P 4 (2021);</w:t>
      </w:r>
      <w:r w:rsidR="00D33475">
        <w:t xml:space="preserve">   </w:t>
      </w:r>
      <w:r w:rsidRPr="00873414">
        <w:t xml:space="preserve"> </w:t>
      </w:r>
      <w:r w:rsidRPr="00873414">
        <w:rPr>
          <w:i/>
          <w:iCs/>
        </w:rPr>
        <w:t>Red Horse Wind 2, LLC</w:t>
      </w:r>
      <w:r w:rsidRPr="00873414">
        <w:t xml:space="preserve">, 172 FERC ¶ 61,147, at P 3 (2020); </w:t>
      </w:r>
      <w:r w:rsidRPr="00873414">
        <w:rPr>
          <w:i/>
          <w:iCs/>
        </w:rPr>
        <w:t>BridgeTex Pipeline Co., LLC</w:t>
      </w:r>
      <w:r w:rsidRPr="00873414">
        <w:t xml:space="preserve">, 164 FERC ¶ 61,111, at PP 10-12 (2018); </w:t>
      </w:r>
      <w:r w:rsidRPr="00873414">
        <w:rPr>
          <w:i/>
          <w:iCs/>
        </w:rPr>
        <w:t>Pac. Gas &amp; Elec. Co.</w:t>
      </w:r>
      <w:r w:rsidRPr="00873414">
        <w:t xml:space="preserve">, 162 FERC ¶ 61,246, at PP 6-7 (2018); </w:t>
      </w:r>
      <w:r w:rsidRPr="00873414">
        <w:rPr>
          <w:i/>
          <w:iCs/>
        </w:rPr>
        <w:t>Talen Energy Mktg., LLC</w:t>
      </w:r>
      <w:r w:rsidRPr="00873414">
        <w:t>, 158 FERC ¶ 61,077, at PP 3-4 (2017).</w:t>
      </w:r>
    </w:p>
  </w:footnote>
  <w:footnote w:id="23">
    <w:p w14:paraId="5CE94791" w14:textId="1C2F47B3" w:rsidR="00C80F9C" w:rsidRPr="00873414" w:rsidRDefault="00C80F9C" w:rsidP="00C80F9C">
      <w:pPr>
        <w:pStyle w:val="FootnoteText"/>
      </w:pPr>
      <w:r w:rsidRPr="00873414">
        <w:rPr>
          <w:rStyle w:val="FootnoteReference"/>
        </w:rPr>
        <w:footnoteRef/>
      </w:r>
      <w:r w:rsidRPr="00873414">
        <w:t xml:space="preserve"> Abeyance Order, 196 FERC ¶ 61,1</w:t>
      </w:r>
      <w:r w:rsidR="00354BF2" w:rsidRPr="00873414">
        <w:t>30</w:t>
      </w:r>
      <w:r w:rsidRPr="00873414">
        <w:t xml:space="preserve"> at PP </w:t>
      </w:r>
      <w:r w:rsidR="00411AAA" w:rsidRPr="00873414">
        <w:t>9-</w:t>
      </w:r>
      <w:r w:rsidR="00B63374" w:rsidRPr="00873414">
        <w:t>11</w:t>
      </w:r>
      <w:r w:rsidRPr="00873414">
        <w:t xml:space="preserve">.  </w:t>
      </w:r>
    </w:p>
  </w:footnote>
  <w:footnote w:id="24">
    <w:p w14:paraId="7C6B7C6F" w14:textId="77777777" w:rsidR="00C80F9C" w:rsidRDefault="00C80F9C" w:rsidP="00C80F9C">
      <w:pPr>
        <w:pStyle w:val="FootnoteText"/>
      </w:pPr>
      <w:r w:rsidRPr="00873414">
        <w:rPr>
          <w:rStyle w:val="FootnoteReference"/>
        </w:rPr>
        <w:footnoteRef/>
      </w:r>
      <w:r w:rsidRPr="00873414">
        <w:t xml:space="preserve"> The Commission possesses “broad power to structure the proceedings before it.”  </w:t>
      </w:r>
      <w:r w:rsidRPr="00873414">
        <w:rPr>
          <w:i/>
          <w:iCs/>
        </w:rPr>
        <w:t>Papago Tribal Util. Auth. v. FERC</w:t>
      </w:r>
      <w:r w:rsidRPr="00873414">
        <w:t xml:space="preserve">, 628 F.2d 235, 242 (D.C. Cir. 1980) (quoting </w:t>
      </w:r>
      <w:r w:rsidRPr="00873414">
        <w:rPr>
          <w:i/>
          <w:iCs/>
        </w:rPr>
        <w:t>La. Power &amp; Light Co. v. FPC</w:t>
      </w:r>
      <w:r w:rsidRPr="00873414">
        <w:t>, 536 F.2d 898, 910 (5th Cir. 1976)).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95F9" w14:textId="4ADF8638" w:rsidR="00653D8D" w:rsidRDefault="00653D8D" w:rsidP="00407EE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- 1 -</w:t>
    </w:r>
    <w:r>
      <w:rPr>
        <w:rStyle w:val="PageNumber"/>
      </w:rPr>
      <w:fldChar w:fldCharType="end"/>
    </w:r>
  </w:p>
  <w:p w14:paraId="19F46FCA"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384D" w14:textId="53CBC208" w:rsidR="00653D8D" w:rsidRDefault="00894423" w:rsidP="00894423">
    <w:pPr>
      <w:pStyle w:val="Header"/>
      <w:tabs>
        <w:tab w:val="clear" w:pos="4680"/>
      </w:tabs>
      <w:spacing w:after="240"/>
    </w:pPr>
    <w:r>
      <w:t>Docket No. EL26-69-001</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1072" w14:textId="15ED831E"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42787ABA"/>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FB442D86"/>
    <w:lvl w:ilvl="0" w:tplc="9E44295E">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20"/>
  </w:num>
  <w:num w:numId="12" w16cid:durableId="52506773">
    <w:abstractNumId w:val="18"/>
  </w:num>
  <w:num w:numId="13" w16cid:durableId="859006164">
    <w:abstractNumId w:val="13"/>
  </w:num>
  <w:num w:numId="14" w16cid:durableId="311065281">
    <w:abstractNumId w:val="19"/>
  </w:num>
  <w:num w:numId="15" w16cid:durableId="1146164863">
    <w:abstractNumId w:val="17"/>
  </w:num>
  <w:num w:numId="16" w16cid:durableId="10713903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1"/>
  </w:num>
  <w:num w:numId="22" w16cid:durableId="46496330">
    <w:abstractNumId w:val="15"/>
  </w:num>
  <w:num w:numId="23" w16cid:durableId="15125230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23"/>
    <w:rsid w:val="00001596"/>
    <w:rsid w:val="00003340"/>
    <w:rsid w:val="00007158"/>
    <w:rsid w:val="0000731D"/>
    <w:rsid w:val="00010FA6"/>
    <w:rsid w:val="000118C8"/>
    <w:rsid w:val="000143AA"/>
    <w:rsid w:val="00014B30"/>
    <w:rsid w:val="0002042F"/>
    <w:rsid w:val="00022A33"/>
    <w:rsid w:val="0002355F"/>
    <w:rsid w:val="00026146"/>
    <w:rsid w:val="00026815"/>
    <w:rsid w:val="0003382F"/>
    <w:rsid w:val="000345D0"/>
    <w:rsid w:val="00037E94"/>
    <w:rsid w:val="000408D1"/>
    <w:rsid w:val="00040F8B"/>
    <w:rsid w:val="000428C4"/>
    <w:rsid w:val="000461D7"/>
    <w:rsid w:val="0004624A"/>
    <w:rsid w:val="0005135D"/>
    <w:rsid w:val="000517A4"/>
    <w:rsid w:val="00051D83"/>
    <w:rsid w:val="000550DC"/>
    <w:rsid w:val="00055F5F"/>
    <w:rsid w:val="0006117F"/>
    <w:rsid w:val="00062732"/>
    <w:rsid w:val="000667AF"/>
    <w:rsid w:val="00070857"/>
    <w:rsid w:val="0007377C"/>
    <w:rsid w:val="0007636C"/>
    <w:rsid w:val="0008478C"/>
    <w:rsid w:val="00084A31"/>
    <w:rsid w:val="00086D98"/>
    <w:rsid w:val="0008778D"/>
    <w:rsid w:val="00092634"/>
    <w:rsid w:val="00097C05"/>
    <w:rsid w:val="000A3A2F"/>
    <w:rsid w:val="000A3D2F"/>
    <w:rsid w:val="000A6835"/>
    <w:rsid w:val="000A6C08"/>
    <w:rsid w:val="000A75FD"/>
    <w:rsid w:val="000B4124"/>
    <w:rsid w:val="000B7E62"/>
    <w:rsid w:val="000C0253"/>
    <w:rsid w:val="000C0F16"/>
    <w:rsid w:val="000C1FCA"/>
    <w:rsid w:val="000C2326"/>
    <w:rsid w:val="000C4A0B"/>
    <w:rsid w:val="000C616D"/>
    <w:rsid w:val="000C6869"/>
    <w:rsid w:val="000C7285"/>
    <w:rsid w:val="000D0EE6"/>
    <w:rsid w:val="000D1D4B"/>
    <w:rsid w:val="000D1FB6"/>
    <w:rsid w:val="000D673D"/>
    <w:rsid w:val="000D739B"/>
    <w:rsid w:val="000D7DD4"/>
    <w:rsid w:val="000D7E4E"/>
    <w:rsid w:val="000D7E96"/>
    <w:rsid w:val="000E065C"/>
    <w:rsid w:val="000E0857"/>
    <w:rsid w:val="000E0FB3"/>
    <w:rsid w:val="000E2BFA"/>
    <w:rsid w:val="000E4299"/>
    <w:rsid w:val="000E52AF"/>
    <w:rsid w:val="000E62A4"/>
    <w:rsid w:val="000F16E2"/>
    <w:rsid w:val="000F1FF3"/>
    <w:rsid w:val="000F2DC1"/>
    <w:rsid w:val="000F372C"/>
    <w:rsid w:val="000F603B"/>
    <w:rsid w:val="000F6403"/>
    <w:rsid w:val="000F6C7F"/>
    <w:rsid w:val="000F7CC9"/>
    <w:rsid w:val="00100E1B"/>
    <w:rsid w:val="00101107"/>
    <w:rsid w:val="00102736"/>
    <w:rsid w:val="0010290F"/>
    <w:rsid w:val="00104F76"/>
    <w:rsid w:val="00112D2F"/>
    <w:rsid w:val="00120603"/>
    <w:rsid w:val="001208A2"/>
    <w:rsid w:val="001209EF"/>
    <w:rsid w:val="00122C02"/>
    <w:rsid w:val="001236E4"/>
    <w:rsid w:val="001248AE"/>
    <w:rsid w:val="00124C66"/>
    <w:rsid w:val="0012713F"/>
    <w:rsid w:val="00127478"/>
    <w:rsid w:val="001279B9"/>
    <w:rsid w:val="00130CCE"/>
    <w:rsid w:val="00132D57"/>
    <w:rsid w:val="001421AA"/>
    <w:rsid w:val="00142EDF"/>
    <w:rsid w:val="0014378F"/>
    <w:rsid w:val="00144292"/>
    <w:rsid w:val="00146074"/>
    <w:rsid w:val="00146A50"/>
    <w:rsid w:val="001512A7"/>
    <w:rsid w:val="001520D4"/>
    <w:rsid w:val="001549DE"/>
    <w:rsid w:val="00154C7A"/>
    <w:rsid w:val="0016531B"/>
    <w:rsid w:val="001706B7"/>
    <w:rsid w:val="0017696A"/>
    <w:rsid w:val="0017701D"/>
    <w:rsid w:val="001865EA"/>
    <w:rsid w:val="0018723C"/>
    <w:rsid w:val="0018758C"/>
    <w:rsid w:val="00191617"/>
    <w:rsid w:val="00192053"/>
    <w:rsid w:val="0019292E"/>
    <w:rsid w:val="001960DD"/>
    <w:rsid w:val="001A1641"/>
    <w:rsid w:val="001A1693"/>
    <w:rsid w:val="001A2AF1"/>
    <w:rsid w:val="001A33D6"/>
    <w:rsid w:val="001A563A"/>
    <w:rsid w:val="001B010E"/>
    <w:rsid w:val="001B042B"/>
    <w:rsid w:val="001B1FE9"/>
    <w:rsid w:val="001B2C6D"/>
    <w:rsid w:val="001B2DF9"/>
    <w:rsid w:val="001B362D"/>
    <w:rsid w:val="001B49F3"/>
    <w:rsid w:val="001B4FB2"/>
    <w:rsid w:val="001C082B"/>
    <w:rsid w:val="001C2FBB"/>
    <w:rsid w:val="001D264B"/>
    <w:rsid w:val="001D3B0D"/>
    <w:rsid w:val="001D54AF"/>
    <w:rsid w:val="001D7927"/>
    <w:rsid w:val="001E59F9"/>
    <w:rsid w:val="001E653B"/>
    <w:rsid w:val="001E7A8F"/>
    <w:rsid w:val="001F51A0"/>
    <w:rsid w:val="001F5CC6"/>
    <w:rsid w:val="00200675"/>
    <w:rsid w:val="00202BC3"/>
    <w:rsid w:val="00203911"/>
    <w:rsid w:val="00204002"/>
    <w:rsid w:val="002072CF"/>
    <w:rsid w:val="00211765"/>
    <w:rsid w:val="002136E7"/>
    <w:rsid w:val="002206DB"/>
    <w:rsid w:val="0022182D"/>
    <w:rsid w:val="002219DF"/>
    <w:rsid w:val="00224859"/>
    <w:rsid w:val="00225A12"/>
    <w:rsid w:val="002261B3"/>
    <w:rsid w:val="002318B6"/>
    <w:rsid w:val="00233890"/>
    <w:rsid w:val="00233CEF"/>
    <w:rsid w:val="00233FD0"/>
    <w:rsid w:val="002352B0"/>
    <w:rsid w:val="002354E4"/>
    <w:rsid w:val="00240493"/>
    <w:rsid w:val="00243942"/>
    <w:rsid w:val="00243D9C"/>
    <w:rsid w:val="002464E8"/>
    <w:rsid w:val="0024710C"/>
    <w:rsid w:val="00253776"/>
    <w:rsid w:val="00255417"/>
    <w:rsid w:val="00257989"/>
    <w:rsid w:val="00260517"/>
    <w:rsid w:val="0026130E"/>
    <w:rsid w:val="00262FED"/>
    <w:rsid w:val="00264F99"/>
    <w:rsid w:val="0026555D"/>
    <w:rsid w:val="00267328"/>
    <w:rsid w:val="00274963"/>
    <w:rsid w:val="002817CE"/>
    <w:rsid w:val="00281841"/>
    <w:rsid w:val="00282E99"/>
    <w:rsid w:val="00283AA6"/>
    <w:rsid w:val="0028432C"/>
    <w:rsid w:val="00284E46"/>
    <w:rsid w:val="00285724"/>
    <w:rsid w:val="002857E2"/>
    <w:rsid w:val="00286CD9"/>
    <w:rsid w:val="002870A9"/>
    <w:rsid w:val="002874DA"/>
    <w:rsid w:val="0028776A"/>
    <w:rsid w:val="00290ABD"/>
    <w:rsid w:val="00292DAB"/>
    <w:rsid w:val="00293E05"/>
    <w:rsid w:val="002A0B4A"/>
    <w:rsid w:val="002A34C1"/>
    <w:rsid w:val="002A5C43"/>
    <w:rsid w:val="002A6E11"/>
    <w:rsid w:val="002A729E"/>
    <w:rsid w:val="002A7FB5"/>
    <w:rsid w:val="002B262D"/>
    <w:rsid w:val="002B35F2"/>
    <w:rsid w:val="002B383C"/>
    <w:rsid w:val="002B6125"/>
    <w:rsid w:val="002B613D"/>
    <w:rsid w:val="002B7102"/>
    <w:rsid w:val="002C57E5"/>
    <w:rsid w:val="002C7704"/>
    <w:rsid w:val="002C7F13"/>
    <w:rsid w:val="002D1528"/>
    <w:rsid w:val="002D206A"/>
    <w:rsid w:val="002D332B"/>
    <w:rsid w:val="002D358E"/>
    <w:rsid w:val="002D64FE"/>
    <w:rsid w:val="002D65B3"/>
    <w:rsid w:val="002D6DE2"/>
    <w:rsid w:val="002D7D6B"/>
    <w:rsid w:val="002E20A6"/>
    <w:rsid w:val="002E2247"/>
    <w:rsid w:val="002E4E8A"/>
    <w:rsid w:val="002F08DF"/>
    <w:rsid w:val="002F5146"/>
    <w:rsid w:val="002F52A9"/>
    <w:rsid w:val="002F779A"/>
    <w:rsid w:val="00301D68"/>
    <w:rsid w:val="003031DA"/>
    <w:rsid w:val="00312651"/>
    <w:rsid w:val="00313634"/>
    <w:rsid w:val="00322F05"/>
    <w:rsid w:val="003242DE"/>
    <w:rsid w:val="00324722"/>
    <w:rsid w:val="00324F79"/>
    <w:rsid w:val="00327401"/>
    <w:rsid w:val="003306C5"/>
    <w:rsid w:val="003346EB"/>
    <w:rsid w:val="00335933"/>
    <w:rsid w:val="00335CCE"/>
    <w:rsid w:val="003370E4"/>
    <w:rsid w:val="003437BD"/>
    <w:rsid w:val="00343D67"/>
    <w:rsid w:val="003478CF"/>
    <w:rsid w:val="00350E98"/>
    <w:rsid w:val="00350FC8"/>
    <w:rsid w:val="003520AD"/>
    <w:rsid w:val="0035281B"/>
    <w:rsid w:val="003549B7"/>
    <w:rsid w:val="00354BF2"/>
    <w:rsid w:val="00356733"/>
    <w:rsid w:val="00356C72"/>
    <w:rsid w:val="003608E7"/>
    <w:rsid w:val="00360AA1"/>
    <w:rsid w:val="00364E6F"/>
    <w:rsid w:val="0036500A"/>
    <w:rsid w:val="003666A3"/>
    <w:rsid w:val="003719FC"/>
    <w:rsid w:val="00371F59"/>
    <w:rsid w:val="00374532"/>
    <w:rsid w:val="00374868"/>
    <w:rsid w:val="00375DF4"/>
    <w:rsid w:val="0037621E"/>
    <w:rsid w:val="00376313"/>
    <w:rsid w:val="003772D2"/>
    <w:rsid w:val="00383004"/>
    <w:rsid w:val="003830CE"/>
    <w:rsid w:val="00385E2D"/>
    <w:rsid w:val="0039262E"/>
    <w:rsid w:val="003937F3"/>
    <w:rsid w:val="003A15D6"/>
    <w:rsid w:val="003A5145"/>
    <w:rsid w:val="003A5F69"/>
    <w:rsid w:val="003B1CBA"/>
    <w:rsid w:val="003B2445"/>
    <w:rsid w:val="003B5228"/>
    <w:rsid w:val="003B6665"/>
    <w:rsid w:val="003B6A5F"/>
    <w:rsid w:val="003B7E9A"/>
    <w:rsid w:val="003B7F05"/>
    <w:rsid w:val="003C3A1E"/>
    <w:rsid w:val="003C505B"/>
    <w:rsid w:val="003C6F0F"/>
    <w:rsid w:val="003C71CF"/>
    <w:rsid w:val="003C789D"/>
    <w:rsid w:val="003D260B"/>
    <w:rsid w:val="003D4A56"/>
    <w:rsid w:val="003D5827"/>
    <w:rsid w:val="003D6552"/>
    <w:rsid w:val="003D66AF"/>
    <w:rsid w:val="003D6965"/>
    <w:rsid w:val="003D7B2C"/>
    <w:rsid w:val="003E1917"/>
    <w:rsid w:val="003E259A"/>
    <w:rsid w:val="003E5211"/>
    <w:rsid w:val="003F2CE2"/>
    <w:rsid w:val="003F31D2"/>
    <w:rsid w:val="003F3716"/>
    <w:rsid w:val="003F3DC0"/>
    <w:rsid w:val="003F4845"/>
    <w:rsid w:val="003F4DBE"/>
    <w:rsid w:val="003F557E"/>
    <w:rsid w:val="003F7CC5"/>
    <w:rsid w:val="00400D68"/>
    <w:rsid w:val="00401A63"/>
    <w:rsid w:val="004067AD"/>
    <w:rsid w:val="00407EE0"/>
    <w:rsid w:val="00410E1E"/>
    <w:rsid w:val="00411AAA"/>
    <w:rsid w:val="00414806"/>
    <w:rsid w:val="00424B78"/>
    <w:rsid w:val="004335E8"/>
    <w:rsid w:val="00436A3E"/>
    <w:rsid w:val="00440B24"/>
    <w:rsid w:val="00440D78"/>
    <w:rsid w:val="00441A2A"/>
    <w:rsid w:val="004420F6"/>
    <w:rsid w:val="0044359A"/>
    <w:rsid w:val="00444F65"/>
    <w:rsid w:val="00446720"/>
    <w:rsid w:val="004476C6"/>
    <w:rsid w:val="0045130C"/>
    <w:rsid w:val="00453578"/>
    <w:rsid w:val="00454A58"/>
    <w:rsid w:val="00455214"/>
    <w:rsid w:val="00456136"/>
    <w:rsid w:val="00456D5A"/>
    <w:rsid w:val="0046133D"/>
    <w:rsid w:val="00463ECE"/>
    <w:rsid w:val="00464258"/>
    <w:rsid w:val="00464328"/>
    <w:rsid w:val="00472C9B"/>
    <w:rsid w:val="00473A5E"/>
    <w:rsid w:val="004758A9"/>
    <w:rsid w:val="00476212"/>
    <w:rsid w:val="00476273"/>
    <w:rsid w:val="00477399"/>
    <w:rsid w:val="0048020B"/>
    <w:rsid w:val="004864DA"/>
    <w:rsid w:val="004872BC"/>
    <w:rsid w:val="004874A4"/>
    <w:rsid w:val="00494355"/>
    <w:rsid w:val="00494945"/>
    <w:rsid w:val="00495E07"/>
    <w:rsid w:val="004972B7"/>
    <w:rsid w:val="00497990"/>
    <w:rsid w:val="00497F70"/>
    <w:rsid w:val="004A03E5"/>
    <w:rsid w:val="004A503D"/>
    <w:rsid w:val="004B0F24"/>
    <w:rsid w:val="004B141F"/>
    <w:rsid w:val="004B3C9B"/>
    <w:rsid w:val="004B4A8D"/>
    <w:rsid w:val="004B4FAC"/>
    <w:rsid w:val="004C0E28"/>
    <w:rsid w:val="004C190E"/>
    <w:rsid w:val="004C456B"/>
    <w:rsid w:val="004C46FB"/>
    <w:rsid w:val="004C4D5F"/>
    <w:rsid w:val="004D35E8"/>
    <w:rsid w:val="004D614C"/>
    <w:rsid w:val="004D7151"/>
    <w:rsid w:val="004E0057"/>
    <w:rsid w:val="004E1DAE"/>
    <w:rsid w:val="004E25A6"/>
    <w:rsid w:val="004E41A2"/>
    <w:rsid w:val="004E61D2"/>
    <w:rsid w:val="004F0FDD"/>
    <w:rsid w:val="004F5759"/>
    <w:rsid w:val="004F6475"/>
    <w:rsid w:val="004F7405"/>
    <w:rsid w:val="0050001C"/>
    <w:rsid w:val="00503B99"/>
    <w:rsid w:val="005047DF"/>
    <w:rsid w:val="00504A26"/>
    <w:rsid w:val="005139D1"/>
    <w:rsid w:val="00513E14"/>
    <w:rsid w:val="005154C1"/>
    <w:rsid w:val="005162AB"/>
    <w:rsid w:val="00521122"/>
    <w:rsid w:val="0052351B"/>
    <w:rsid w:val="00527FE1"/>
    <w:rsid w:val="00541146"/>
    <w:rsid w:val="00542814"/>
    <w:rsid w:val="005445E7"/>
    <w:rsid w:val="00545CC2"/>
    <w:rsid w:val="00546238"/>
    <w:rsid w:val="00547D3F"/>
    <w:rsid w:val="00552271"/>
    <w:rsid w:val="00552A11"/>
    <w:rsid w:val="005577D9"/>
    <w:rsid w:val="00561DA8"/>
    <w:rsid w:val="00562CB2"/>
    <w:rsid w:val="005670A7"/>
    <w:rsid w:val="00571D6D"/>
    <w:rsid w:val="005727FA"/>
    <w:rsid w:val="00572F46"/>
    <w:rsid w:val="00574A02"/>
    <w:rsid w:val="00576363"/>
    <w:rsid w:val="00576A54"/>
    <w:rsid w:val="00577DC6"/>
    <w:rsid w:val="005816F4"/>
    <w:rsid w:val="00581BDF"/>
    <w:rsid w:val="00583257"/>
    <w:rsid w:val="00583ABC"/>
    <w:rsid w:val="00585174"/>
    <w:rsid w:val="00585A73"/>
    <w:rsid w:val="00587B48"/>
    <w:rsid w:val="0059038C"/>
    <w:rsid w:val="005921E2"/>
    <w:rsid w:val="00594E87"/>
    <w:rsid w:val="005950E5"/>
    <w:rsid w:val="00597309"/>
    <w:rsid w:val="005A1772"/>
    <w:rsid w:val="005A1F60"/>
    <w:rsid w:val="005A4CD3"/>
    <w:rsid w:val="005A5753"/>
    <w:rsid w:val="005A6A29"/>
    <w:rsid w:val="005A6F7C"/>
    <w:rsid w:val="005B132F"/>
    <w:rsid w:val="005B1434"/>
    <w:rsid w:val="005B15EB"/>
    <w:rsid w:val="005B18B2"/>
    <w:rsid w:val="005B1B45"/>
    <w:rsid w:val="005B28D4"/>
    <w:rsid w:val="005B38E7"/>
    <w:rsid w:val="005B40A6"/>
    <w:rsid w:val="005C0180"/>
    <w:rsid w:val="005C01B7"/>
    <w:rsid w:val="005D2A79"/>
    <w:rsid w:val="005D3004"/>
    <w:rsid w:val="005D3D39"/>
    <w:rsid w:val="005D787E"/>
    <w:rsid w:val="005D7C39"/>
    <w:rsid w:val="005E07C2"/>
    <w:rsid w:val="005E13DF"/>
    <w:rsid w:val="005E387D"/>
    <w:rsid w:val="005E3B75"/>
    <w:rsid w:val="005E3D15"/>
    <w:rsid w:val="005E4C65"/>
    <w:rsid w:val="005E50CE"/>
    <w:rsid w:val="005F2564"/>
    <w:rsid w:val="005F2946"/>
    <w:rsid w:val="005F34C6"/>
    <w:rsid w:val="005F4318"/>
    <w:rsid w:val="005F45D9"/>
    <w:rsid w:val="005F4F8E"/>
    <w:rsid w:val="005F54A4"/>
    <w:rsid w:val="005F57F8"/>
    <w:rsid w:val="005F71D1"/>
    <w:rsid w:val="0060035F"/>
    <w:rsid w:val="00600A48"/>
    <w:rsid w:val="00601DD2"/>
    <w:rsid w:val="00607205"/>
    <w:rsid w:val="006074E4"/>
    <w:rsid w:val="006112D1"/>
    <w:rsid w:val="006112FA"/>
    <w:rsid w:val="006118A1"/>
    <w:rsid w:val="00612E50"/>
    <w:rsid w:val="00616683"/>
    <w:rsid w:val="006177F8"/>
    <w:rsid w:val="00620205"/>
    <w:rsid w:val="00622D42"/>
    <w:rsid w:val="00622F63"/>
    <w:rsid w:val="00623402"/>
    <w:rsid w:val="00624B34"/>
    <w:rsid w:val="00625B93"/>
    <w:rsid w:val="00626AD6"/>
    <w:rsid w:val="0063009B"/>
    <w:rsid w:val="006308E9"/>
    <w:rsid w:val="00633563"/>
    <w:rsid w:val="0063440A"/>
    <w:rsid w:val="00636271"/>
    <w:rsid w:val="00637180"/>
    <w:rsid w:val="006430CC"/>
    <w:rsid w:val="006435B7"/>
    <w:rsid w:val="00643C5A"/>
    <w:rsid w:val="006502FA"/>
    <w:rsid w:val="00653D8D"/>
    <w:rsid w:val="00655A79"/>
    <w:rsid w:val="0065719A"/>
    <w:rsid w:val="00662BC9"/>
    <w:rsid w:val="00667B22"/>
    <w:rsid w:val="006710C1"/>
    <w:rsid w:val="00671D19"/>
    <w:rsid w:val="0067304E"/>
    <w:rsid w:val="006745E5"/>
    <w:rsid w:val="00674C56"/>
    <w:rsid w:val="006777B1"/>
    <w:rsid w:val="00677A0E"/>
    <w:rsid w:val="00681181"/>
    <w:rsid w:val="00681772"/>
    <w:rsid w:val="00682099"/>
    <w:rsid w:val="006849ED"/>
    <w:rsid w:val="00685A22"/>
    <w:rsid w:val="00686648"/>
    <w:rsid w:val="00687A9A"/>
    <w:rsid w:val="0069376A"/>
    <w:rsid w:val="00694D8A"/>
    <w:rsid w:val="00694F3D"/>
    <w:rsid w:val="006A18B6"/>
    <w:rsid w:val="006A1EDC"/>
    <w:rsid w:val="006A2823"/>
    <w:rsid w:val="006A4342"/>
    <w:rsid w:val="006A581A"/>
    <w:rsid w:val="006A5B0F"/>
    <w:rsid w:val="006A5ED6"/>
    <w:rsid w:val="006A5FF3"/>
    <w:rsid w:val="006A6671"/>
    <w:rsid w:val="006A74E0"/>
    <w:rsid w:val="006B20EE"/>
    <w:rsid w:val="006B4826"/>
    <w:rsid w:val="006B5B8D"/>
    <w:rsid w:val="006B6B8D"/>
    <w:rsid w:val="006C1614"/>
    <w:rsid w:val="006C19AD"/>
    <w:rsid w:val="006C1D8C"/>
    <w:rsid w:val="006C51D5"/>
    <w:rsid w:val="006D1E49"/>
    <w:rsid w:val="006D2553"/>
    <w:rsid w:val="006D286B"/>
    <w:rsid w:val="006D432E"/>
    <w:rsid w:val="006D5B0E"/>
    <w:rsid w:val="006D5FD6"/>
    <w:rsid w:val="006E1CF4"/>
    <w:rsid w:val="006E4894"/>
    <w:rsid w:val="006E6044"/>
    <w:rsid w:val="006F0AFA"/>
    <w:rsid w:val="006F1B52"/>
    <w:rsid w:val="006F27A6"/>
    <w:rsid w:val="006F39A4"/>
    <w:rsid w:val="006F42DE"/>
    <w:rsid w:val="007016A4"/>
    <w:rsid w:val="00705B33"/>
    <w:rsid w:val="0070615E"/>
    <w:rsid w:val="00706C4B"/>
    <w:rsid w:val="007100C2"/>
    <w:rsid w:val="00710A58"/>
    <w:rsid w:val="007116AC"/>
    <w:rsid w:val="007124A2"/>
    <w:rsid w:val="007133ED"/>
    <w:rsid w:val="0071370C"/>
    <w:rsid w:val="00717FEB"/>
    <w:rsid w:val="0072112E"/>
    <w:rsid w:val="007230D6"/>
    <w:rsid w:val="00723E4B"/>
    <w:rsid w:val="00724553"/>
    <w:rsid w:val="0072563F"/>
    <w:rsid w:val="00732CFA"/>
    <w:rsid w:val="00732E2C"/>
    <w:rsid w:val="00733398"/>
    <w:rsid w:val="00734468"/>
    <w:rsid w:val="00735ECF"/>
    <w:rsid w:val="007368A2"/>
    <w:rsid w:val="00736DE9"/>
    <w:rsid w:val="00742439"/>
    <w:rsid w:val="00743A10"/>
    <w:rsid w:val="007465A9"/>
    <w:rsid w:val="00752787"/>
    <w:rsid w:val="00753E0F"/>
    <w:rsid w:val="00754A0D"/>
    <w:rsid w:val="007552C1"/>
    <w:rsid w:val="007562E2"/>
    <w:rsid w:val="00756338"/>
    <w:rsid w:val="007577C2"/>
    <w:rsid w:val="00762F2B"/>
    <w:rsid w:val="0076328E"/>
    <w:rsid w:val="0076561E"/>
    <w:rsid w:val="007661B0"/>
    <w:rsid w:val="00766E37"/>
    <w:rsid w:val="00767EA1"/>
    <w:rsid w:val="00773353"/>
    <w:rsid w:val="00780A45"/>
    <w:rsid w:val="00783101"/>
    <w:rsid w:val="00783842"/>
    <w:rsid w:val="00785CED"/>
    <w:rsid w:val="00786F76"/>
    <w:rsid w:val="007876E3"/>
    <w:rsid w:val="00787D46"/>
    <w:rsid w:val="00791DFD"/>
    <w:rsid w:val="007928AD"/>
    <w:rsid w:val="00794724"/>
    <w:rsid w:val="007A0174"/>
    <w:rsid w:val="007A06E2"/>
    <w:rsid w:val="007A0BB2"/>
    <w:rsid w:val="007A2AE3"/>
    <w:rsid w:val="007A5131"/>
    <w:rsid w:val="007B2B41"/>
    <w:rsid w:val="007B4019"/>
    <w:rsid w:val="007B66A0"/>
    <w:rsid w:val="007B6E4E"/>
    <w:rsid w:val="007B71E9"/>
    <w:rsid w:val="007C1702"/>
    <w:rsid w:val="007C41D1"/>
    <w:rsid w:val="007C48C7"/>
    <w:rsid w:val="007C4C3F"/>
    <w:rsid w:val="007C5590"/>
    <w:rsid w:val="007C69D6"/>
    <w:rsid w:val="007D2CEB"/>
    <w:rsid w:val="007D2FB3"/>
    <w:rsid w:val="007D3591"/>
    <w:rsid w:val="007D5189"/>
    <w:rsid w:val="007D6683"/>
    <w:rsid w:val="007E5022"/>
    <w:rsid w:val="007E6167"/>
    <w:rsid w:val="007E74C5"/>
    <w:rsid w:val="007F0E34"/>
    <w:rsid w:val="007F32C6"/>
    <w:rsid w:val="007F6368"/>
    <w:rsid w:val="007F7B7F"/>
    <w:rsid w:val="0080083D"/>
    <w:rsid w:val="008043DE"/>
    <w:rsid w:val="0080498D"/>
    <w:rsid w:val="0080606A"/>
    <w:rsid w:val="008065F0"/>
    <w:rsid w:val="00807C2F"/>
    <w:rsid w:val="00810B67"/>
    <w:rsid w:val="008129C6"/>
    <w:rsid w:val="00812E0A"/>
    <w:rsid w:val="0081352B"/>
    <w:rsid w:val="008140C1"/>
    <w:rsid w:val="00814514"/>
    <w:rsid w:val="008237E2"/>
    <w:rsid w:val="00823C6C"/>
    <w:rsid w:val="008255E4"/>
    <w:rsid w:val="0082585B"/>
    <w:rsid w:val="0082794E"/>
    <w:rsid w:val="00827BAD"/>
    <w:rsid w:val="00830639"/>
    <w:rsid w:val="008309C9"/>
    <w:rsid w:val="00830BC7"/>
    <w:rsid w:val="00830C27"/>
    <w:rsid w:val="008335E3"/>
    <w:rsid w:val="00834DCB"/>
    <w:rsid w:val="00835323"/>
    <w:rsid w:val="00835FB7"/>
    <w:rsid w:val="00836673"/>
    <w:rsid w:val="00840C01"/>
    <w:rsid w:val="00840C42"/>
    <w:rsid w:val="0084167C"/>
    <w:rsid w:val="00841CA7"/>
    <w:rsid w:val="00844F10"/>
    <w:rsid w:val="00845186"/>
    <w:rsid w:val="00845BBC"/>
    <w:rsid w:val="00847F2B"/>
    <w:rsid w:val="00850048"/>
    <w:rsid w:val="008513D8"/>
    <w:rsid w:val="00851966"/>
    <w:rsid w:val="00852C25"/>
    <w:rsid w:val="00853060"/>
    <w:rsid w:val="00855D43"/>
    <w:rsid w:val="008561D7"/>
    <w:rsid w:val="008607B4"/>
    <w:rsid w:val="00860B22"/>
    <w:rsid w:val="00861074"/>
    <w:rsid w:val="00861A29"/>
    <w:rsid w:val="008636FC"/>
    <w:rsid w:val="00863DB6"/>
    <w:rsid w:val="00865B86"/>
    <w:rsid w:val="0086739D"/>
    <w:rsid w:val="00870368"/>
    <w:rsid w:val="00871164"/>
    <w:rsid w:val="00873414"/>
    <w:rsid w:val="00873BC6"/>
    <w:rsid w:val="00874FB1"/>
    <w:rsid w:val="00877062"/>
    <w:rsid w:val="008771F4"/>
    <w:rsid w:val="00880902"/>
    <w:rsid w:val="00881E3C"/>
    <w:rsid w:val="00884C07"/>
    <w:rsid w:val="0088740E"/>
    <w:rsid w:val="00892A4E"/>
    <w:rsid w:val="00892CA7"/>
    <w:rsid w:val="00894423"/>
    <w:rsid w:val="00894A27"/>
    <w:rsid w:val="00896A4C"/>
    <w:rsid w:val="00896EBA"/>
    <w:rsid w:val="0089797F"/>
    <w:rsid w:val="008A23C9"/>
    <w:rsid w:val="008A39F8"/>
    <w:rsid w:val="008A73FB"/>
    <w:rsid w:val="008B0B3A"/>
    <w:rsid w:val="008B1F7D"/>
    <w:rsid w:val="008B32A9"/>
    <w:rsid w:val="008B686B"/>
    <w:rsid w:val="008C0083"/>
    <w:rsid w:val="008C2EDB"/>
    <w:rsid w:val="008C4849"/>
    <w:rsid w:val="008C559C"/>
    <w:rsid w:val="008C6C9A"/>
    <w:rsid w:val="008C701E"/>
    <w:rsid w:val="008D1B64"/>
    <w:rsid w:val="008D1EB1"/>
    <w:rsid w:val="008D4162"/>
    <w:rsid w:val="008D4E54"/>
    <w:rsid w:val="008E4C89"/>
    <w:rsid w:val="008E51AF"/>
    <w:rsid w:val="008E548A"/>
    <w:rsid w:val="008E74A2"/>
    <w:rsid w:val="008F4B82"/>
    <w:rsid w:val="008F7182"/>
    <w:rsid w:val="009006A6"/>
    <w:rsid w:val="009016D7"/>
    <w:rsid w:val="00902F03"/>
    <w:rsid w:val="00903AC3"/>
    <w:rsid w:val="0090412E"/>
    <w:rsid w:val="00904536"/>
    <w:rsid w:val="0090478A"/>
    <w:rsid w:val="00904CA7"/>
    <w:rsid w:val="009102A7"/>
    <w:rsid w:val="00911D86"/>
    <w:rsid w:val="009144B5"/>
    <w:rsid w:val="009146F6"/>
    <w:rsid w:val="00915863"/>
    <w:rsid w:val="00916C19"/>
    <w:rsid w:val="00916ED7"/>
    <w:rsid w:val="00922E70"/>
    <w:rsid w:val="00924AF3"/>
    <w:rsid w:val="00926E69"/>
    <w:rsid w:val="00930EF7"/>
    <w:rsid w:val="0093125C"/>
    <w:rsid w:val="009317B8"/>
    <w:rsid w:val="009360D6"/>
    <w:rsid w:val="00936282"/>
    <w:rsid w:val="00936510"/>
    <w:rsid w:val="00941336"/>
    <w:rsid w:val="0094231D"/>
    <w:rsid w:val="00945476"/>
    <w:rsid w:val="00945E92"/>
    <w:rsid w:val="009466EE"/>
    <w:rsid w:val="0094698E"/>
    <w:rsid w:val="00947514"/>
    <w:rsid w:val="009511A3"/>
    <w:rsid w:val="00953198"/>
    <w:rsid w:val="009575E1"/>
    <w:rsid w:val="00960BC7"/>
    <w:rsid w:val="00961E5B"/>
    <w:rsid w:val="00962129"/>
    <w:rsid w:val="009632C9"/>
    <w:rsid w:val="00964625"/>
    <w:rsid w:val="009667EE"/>
    <w:rsid w:val="009720B6"/>
    <w:rsid w:val="0097316B"/>
    <w:rsid w:val="0097354A"/>
    <w:rsid w:val="00974FAA"/>
    <w:rsid w:val="00977184"/>
    <w:rsid w:val="0097718F"/>
    <w:rsid w:val="009802C9"/>
    <w:rsid w:val="00982C38"/>
    <w:rsid w:val="0098417C"/>
    <w:rsid w:val="00985ABF"/>
    <w:rsid w:val="00991685"/>
    <w:rsid w:val="009927FA"/>
    <w:rsid w:val="009965EB"/>
    <w:rsid w:val="009967F2"/>
    <w:rsid w:val="00997790"/>
    <w:rsid w:val="009A0202"/>
    <w:rsid w:val="009A2169"/>
    <w:rsid w:val="009A3C9A"/>
    <w:rsid w:val="009A5566"/>
    <w:rsid w:val="009A58AA"/>
    <w:rsid w:val="009A66D0"/>
    <w:rsid w:val="009B01FC"/>
    <w:rsid w:val="009B1BFE"/>
    <w:rsid w:val="009B42E8"/>
    <w:rsid w:val="009B7367"/>
    <w:rsid w:val="009B7819"/>
    <w:rsid w:val="009B7BC6"/>
    <w:rsid w:val="009C1602"/>
    <w:rsid w:val="009D3F76"/>
    <w:rsid w:val="009E0EA2"/>
    <w:rsid w:val="009E20B6"/>
    <w:rsid w:val="009E214D"/>
    <w:rsid w:val="009E28EC"/>
    <w:rsid w:val="009E315A"/>
    <w:rsid w:val="009E4841"/>
    <w:rsid w:val="009E78E7"/>
    <w:rsid w:val="009E7983"/>
    <w:rsid w:val="009F1BD2"/>
    <w:rsid w:val="009F264F"/>
    <w:rsid w:val="009F2E31"/>
    <w:rsid w:val="009F3F1F"/>
    <w:rsid w:val="009F4FB3"/>
    <w:rsid w:val="009F6A84"/>
    <w:rsid w:val="009F707D"/>
    <w:rsid w:val="009F71D1"/>
    <w:rsid w:val="00A00DD6"/>
    <w:rsid w:val="00A017BA"/>
    <w:rsid w:val="00A01EFD"/>
    <w:rsid w:val="00A026DF"/>
    <w:rsid w:val="00A03A5F"/>
    <w:rsid w:val="00A04100"/>
    <w:rsid w:val="00A066DE"/>
    <w:rsid w:val="00A075C8"/>
    <w:rsid w:val="00A10B65"/>
    <w:rsid w:val="00A10FE9"/>
    <w:rsid w:val="00A13D1C"/>
    <w:rsid w:val="00A141E5"/>
    <w:rsid w:val="00A14734"/>
    <w:rsid w:val="00A15581"/>
    <w:rsid w:val="00A1593F"/>
    <w:rsid w:val="00A15B57"/>
    <w:rsid w:val="00A21F92"/>
    <w:rsid w:val="00A2536F"/>
    <w:rsid w:val="00A263F4"/>
    <w:rsid w:val="00A26AF6"/>
    <w:rsid w:val="00A30AF9"/>
    <w:rsid w:val="00A30DB3"/>
    <w:rsid w:val="00A344A6"/>
    <w:rsid w:val="00A36FB3"/>
    <w:rsid w:val="00A37B54"/>
    <w:rsid w:val="00A403E9"/>
    <w:rsid w:val="00A406DC"/>
    <w:rsid w:val="00A41119"/>
    <w:rsid w:val="00A4347E"/>
    <w:rsid w:val="00A4381E"/>
    <w:rsid w:val="00A4630E"/>
    <w:rsid w:val="00A4763D"/>
    <w:rsid w:val="00A47DE3"/>
    <w:rsid w:val="00A5227A"/>
    <w:rsid w:val="00A55A52"/>
    <w:rsid w:val="00A55DE0"/>
    <w:rsid w:val="00A57D42"/>
    <w:rsid w:val="00A60BBB"/>
    <w:rsid w:val="00A60C83"/>
    <w:rsid w:val="00A60ED1"/>
    <w:rsid w:val="00A63A99"/>
    <w:rsid w:val="00A64CA7"/>
    <w:rsid w:val="00A65F1E"/>
    <w:rsid w:val="00A66BFC"/>
    <w:rsid w:val="00A739AD"/>
    <w:rsid w:val="00A80964"/>
    <w:rsid w:val="00A83111"/>
    <w:rsid w:val="00A84047"/>
    <w:rsid w:val="00A855AA"/>
    <w:rsid w:val="00A85809"/>
    <w:rsid w:val="00A85982"/>
    <w:rsid w:val="00A90123"/>
    <w:rsid w:val="00A92B40"/>
    <w:rsid w:val="00A934C1"/>
    <w:rsid w:val="00A972FF"/>
    <w:rsid w:val="00AA22FC"/>
    <w:rsid w:val="00AA535D"/>
    <w:rsid w:val="00AB0683"/>
    <w:rsid w:val="00AB179B"/>
    <w:rsid w:val="00AB197C"/>
    <w:rsid w:val="00AB199E"/>
    <w:rsid w:val="00AB2491"/>
    <w:rsid w:val="00AB2A03"/>
    <w:rsid w:val="00AB2DA9"/>
    <w:rsid w:val="00AB33D1"/>
    <w:rsid w:val="00AB358C"/>
    <w:rsid w:val="00AB5052"/>
    <w:rsid w:val="00AB5560"/>
    <w:rsid w:val="00AB690F"/>
    <w:rsid w:val="00AC2F1A"/>
    <w:rsid w:val="00AC4E16"/>
    <w:rsid w:val="00AC58FC"/>
    <w:rsid w:val="00AC70FF"/>
    <w:rsid w:val="00AC7D28"/>
    <w:rsid w:val="00AC7D76"/>
    <w:rsid w:val="00AD48BE"/>
    <w:rsid w:val="00AD5E69"/>
    <w:rsid w:val="00AD7AA1"/>
    <w:rsid w:val="00AE16EC"/>
    <w:rsid w:val="00AE7B86"/>
    <w:rsid w:val="00AF1D01"/>
    <w:rsid w:val="00AF2305"/>
    <w:rsid w:val="00AF2A93"/>
    <w:rsid w:val="00AF46AA"/>
    <w:rsid w:val="00AF5D98"/>
    <w:rsid w:val="00AF7307"/>
    <w:rsid w:val="00B0267F"/>
    <w:rsid w:val="00B03A57"/>
    <w:rsid w:val="00B044C6"/>
    <w:rsid w:val="00B05898"/>
    <w:rsid w:val="00B11FF2"/>
    <w:rsid w:val="00B15BE4"/>
    <w:rsid w:val="00B2222C"/>
    <w:rsid w:val="00B22B1C"/>
    <w:rsid w:val="00B24F9D"/>
    <w:rsid w:val="00B26221"/>
    <w:rsid w:val="00B27A34"/>
    <w:rsid w:val="00B34F63"/>
    <w:rsid w:val="00B35670"/>
    <w:rsid w:val="00B400F8"/>
    <w:rsid w:val="00B4012B"/>
    <w:rsid w:val="00B40EDB"/>
    <w:rsid w:val="00B43126"/>
    <w:rsid w:val="00B447CB"/>
    <w:rsid w:val="00B526CB"/>
    <w:rsid w:val="00B5275C"/>
    <w:rsid w:val="00B5295F"/>
    <w:rsid w:val="00B53A21"/>
    <w:rsid w:val="00B53B49"/>
    <w:rsid w:val="00B548FA"/>
    <w:rsid w:val="00B54A0A"/>
    <w:rsid w:val="00B56FF3"/>
    <w:rsid w:val="00B57AFD"/>
    <w:rsid w:val="00B57EA9"/>
    <w:rsid w:val="00B61D39"/>
    <w:rsid w:val="00B63374"/>
    <w:rsid w:val="00B641F8"/>
    <w:rsid w:val="00B64399"/>
    <w:rsid w:val="00B65ACE"/>
    <w:rsid w:val="00B7228A"/>
    <w:rsid w:val="00B75CDF"/>
    <w:rsid w:val="00B7662E"/>
    <w:rsid w:val="00B82086"/>
    <w:rsid w:val="00B87835"/>
    <w:rsid w:val="00B91263"/>
    <w:rsid w:val="00B927E5"/>
    <w:rsid w:val="00B975F3"/>
    <w:rsid w:val="00B97B7F"/>
    <w:rsid w:val="00BA1E11"/>
    <w:rsid w:val="00BA66F9"/>
    <w:rsid w:val="00BB3B42"/>
    <w:rsid w:val="00BB69A5"/>
    <w:rsid w:val="00BC0EFB"/>
    <w:rsid w:val="00BC21EE"/>
    <w:rsid w:val="00BC25A6"/>
    <w:rsid w:val="00BC65D8"/>
    <w:rsid w:val="00BD1415"/>
    <w:rsid w:val="00BD316B"/>
    <w:rsid w:val="00BD4653"/>
    <w:rsid w:val="00BD560B"/>
    <w:rsid w:val="00BD6455"/>
    <w:rsid w:val="00BD6475"/>
    <w:rsid w:val="00BE2499"/>
    <w:rsid w:val="00BE5C95"/>
    <w:rsid w:val="00BE5F5D"/>
    <w:rsid w:val="00BE6721"/>
    <w:rsid w:val="00BF0271"/>
    <w:rsid w:val="00BF06DD"/>
    <w:rsid w:val="00BF0E9C"/>
    <w:rsid w:val="00BF12C4"/>
    <w:rsid w:val="00BF2C0E"/>
    <w:rsid w:val="00BF4A21"/>
    <w:rsid w:val="00BF5E81"/>
    <w:rsid w:val="00BF65CA"/>
    <w:rsid w:val="00C01123"/>
    <w:rsid w:val="00C03A44"/>
    <w:rsid w:val="00C06BDD"/>
    <w:rsid w:val="00C06F95"/>
    <w:rsid w:val="00C10DEF"/>
    <w:rsid w:val="00C1110D"/>
    <w:rsid w:val="00C11A50"/>
    <w:rsid w:val="00C127B1"/>
    <w:rsid w:val="00C134B7"/>
    <w:rsid w:val="00C15E87"/>
    <w:rsid w:val="00C175D0"/>
    <w:rsid w:val="00C2096B"/>
    <w:rsid w:val="00C21A8D"/>
    <w:rsid w:val="00C21E2C"/>
    <w:rsid w:val="00C22D8B"/>
    <w:rsid w:val="00C24DB0"/>
    <w:rsid w:val="00C26B1C"/>
    <w:rsid w:val="00C2736F"/>
    <w:rsid w:val="00C274AA"/>
    <w:rsid w:val="00C325AC"/>
    <w:rsid w:val="00C32965"/>
    <w:rsid w:val="00C3426D"/>
    <w:rsid w:val="00C356AD"/>
    <w:rsid w:val="00C44ADA"/>
    <w:rsid w:val="00C46060"/>
    <w:rsid w:val="00C50711"/>
    <w:rsid w:val="00C523C6"/>
    <w:rsid w:val="00C525BA"/>
    <w:rsid w:val="00C53065"/>
    <w:rsid w:val="00C54204"/>
    <w:rsid w:val="00C55300"/>
    <w:rsid w:val="00C555F7"/>
    <w:rsid w:val="00C55EF8"/>
    <w:rsid w:val="00C56446"/>
    <w:rsid w:val="00C60863"/>
    <w:rsid w:val="00C61B7F"/>
    <w:rsid w:val="00C6285D"/>
    <w:rsid w:val="00C639E3"/>
    <w:rsid w:val="00C640E3"/>
    <w:rsid w:val="00C70563"/>
    <w:rsid w:val="00C71292"/>
    <w:rsid w:val="00C71484"/>
    <w:rsid w:val="00C716CA"/>
    <w:rsid w:val="00C72305"/>
    <w:rsid w:val="00C735A7"/>
    <w:rsid w:val="00C76FAC"/>
    <w:rsid w:val="00C7761A"/>
    <w:rsid w:val="00C80B3C"/>
    <w:rsid w:val="00C80F9C"/>
    <w:rsid w:val="00C8566F"/>
    <w:rsid w:val="00C859AE"/>
    <w:rsid w:val="00C87C43"/>
    <w:rsid w:val="00C90179"/>
    <w:rsid w:val="00C93875"/>
    <w:rsid w:val="00C93B0E"/>
    <w:rsid w:val="00C979D0"/>
    <w:rsid w:val="00CA3E1B"/>
    <w:rsid w:val="00CA410E"/>
    <w:rsid w:val="00CA447E"/>
    <w:rsid w:val="00CA63C2"/>
    <w:rsid w:val="00CA713D"/>
    <w:rsid w:val="00CB0CDF"/>
    <w:rsid w:val="00CB0E40"/>
    <w:rsid w:val="00CB0FE7"/>
    <w:rsid w:val="00CB1DDE"/>
    <w:rsid w:val="00CB27FD"/>
    <w:rsid w:val="00CB46A0"/>
    <w:rsid w:val="00CB528D"/>
    <w:rsid w:val="00CB635C"/>
    <w:rsid w:val="00CB7321"/>
    <w:rsid w:val="00CB7E0A"/>
    <w:rsid w:val="00CC3027"/>
    <w:rsid w:val="00CC390D"/>
    <w:rsid w:val="00CC421B"/>
    <w:rsid w:val="00CC71D5"/>
    <w:rsid w:val="00CD1BC6"/>
    <w:rsid w:val="00CD27EE"/>
    <w:rsid w:val="00CD7CA7"/>
    <w:rsid w:val="00CE10BD"/>
    <w:rsid w:val="00CE1F17"/>
    <w:rsid w:val="00CE22E0"/>
    <w:rsid w:val="00CE7F13"/>
    <w:rsid w:val="00CF26BF"/>
    <w:rsid w:val="00CF3FB2"/>
    <w:rsid w:val="00CF66A7"/>
    <w:rsid w:val="00D004BE"/>
    <w:rsid w:val="00D00852"/>
    <w:rsid w:val="00D00DBC"/>
    <w:rsid w:val="00D03586"/>
    <w:rsid w:val="00D03B28"/>
    <w:rsid w:val="00D03CAC"/>
    <w:rsid w:val="00D05726"/>
    <w:rsid w:val="00D075C6"/>
    <w:rsid w:val="00D125EB"/>
    <w:rsid w:val="00D14FB9"/>
    <w:rsid w:val="00D1561D"/>
    <w:rsid w:val="00D206A3"/>
    <w:rsid w:val="00D213E9"/>
    <w:rsid w:val="00D25326"/>
    <w:rsid w:val="00D25465"/>
    <w:rsid w:val="00D30E72"/>
    <w:rsid w:val="00D33475"/>
    <w:rsid w:val="00D33B6C"/>
    <w:rsid w:val="00D3454C"/>
    <w:rsid w:val="00D37F45"/>
    <w:rsid w:val="00D4105E"/>
    <w:rsid w:val="00D42E24"/>
    <w:rsid w:val="00D44A44"/>
    <w:rsid w:val="00D457D2"/>
    <w:rsid w:val="00D46107"/>
    <w:rsid w:val="00D50854"/>
    <w:rsid w:val="00D50899"/>
    <w:rsid w:val="00D51C0C"/>
    <w:rsid w:val="00D54158"/>
    <w:rsid w:val="00D5688B"/>
    <w:rsid w:val="00D60DAA"/>
    <w:rsid w:val="00D63D53"/>
    <w:rsid w:val="00D71199"/>
    <w:rsid w:val="00D72181"/>
    <w:rsid w:val="00D7396F"/>
    <w:rsid w:val="00D7523E"/>
    <w:rsid w:val="00D76A33"/>
    <w:rsid w:val="00D81AF1"/>
    <w:rsid w:val="00D843D7"/>
    <w:rsid w:val="00D84E4B"/>
    <w:rsid w:val="00D90345"/>
    <w:rsid w:val="00D906AD"/>
    <w:rsid w:val="00D92A4E"/>
    <w:rsid w:val="00D92B48"/>
    <w:rsid w:val="00D95BB2"/>
    <w:rsid w:val="00D97BAC"/>
    <w:rsid w:val="00D97D5E"/>
    <w:rsid w:val="00DA4017"/>
    <w:rsid w:val="00DA522B"/>
    <w:rsid w:val="00DA5B94"/>
    <w:rsid w:val="00DA72DC"/>
    <w:rsid w:val="00DB0B13"/>
    <w:rsid w:val="00DB0EE4"/>
    <w:rsid w:val="00DB10F3"/>
    <w:rsid w:val="00DB1597"/>
    <w:rsid w:val="00DB16ED"/>
    <w:rsid w:val="00DB45F2"/>
    <w:rsid w:val="00DB5C76"/>
    <w:rsid w:val="00DB617C"/>
    <w:rsid w:val="00DC0159"/>
    <w:rsid w:val="00DC0500"/>
    <w:rsid w:val="00DC46F3"/>
    <w:rsid w:val="00DC4908"/>
    <w:rsid w:val="00DC5090"/>
    <w:rsid w:val="00DD1675"/>
    <w:rsid w:val="00DD1854"/>
    <w:rsid w:val="00DD2B27"/>
    <w:rsid w:val="00DD2F32"/>
    <w:rsid w:val="00DD46EB"/>
    <w:rsid w:val="00DD69DD"/>
    <w:rsid w:val="00DD6D90"/>
    <w:rsid w:val="00DD776A"/>
    <w:rsid w:val="00DD7E17"/>
    <w:rsid w:val="00DE026A"/>
    <w:rsid w:val="00DE261E"/>
    <w:rsid w:val="00DE2A23"/>
    <w:rsid w:val="00DE35DB"/>
    <w:rsid w:val="00DE7144"/>
    <w:rsid w:val="00DF3569"/>
    <w:rsid w:val="00E03B9D"/>
    <w:rsid w:val="00E114C1"/>
    <w:rsid w:val="00E164A3"/>
    <w:rsid w:val="00E1655A"/>
    <w:rsid w:val="00E216A6"/>
    <w:rsid w:val="00E250CF"/>
    <w:rsid w:val="00E25FE1"/>
    <w:rsid w:val="00E2749E"/>
    <w:rsid w:val="00E332F7"/>
    <w:rsid w:val="00E35B18"/>
    <w:rsid w:val="00E3699A"/>
    <w:rsid w:val="00E36F79"/>
    <w:rsid w:val="00E374E0"/>
    <w:rsid w:val="00E37FB9"/>
    <w:rsid w:val="00E4480C"/>
    <w:rsid w:val="00E47430"/>
    <w:rsid w:val="00E4775F"/>
    <w:rsid w:val="00E47E3F"/>
    <w:rsid w:val="00E50484"/>
    <w:rsid w:val="00E523F8"/>
    <w:rsid w:val="00E569CA"/>
    <w:rsid w:val="00E62146"/>
    <w:rsid w:val="00E6233B"/>
    <w:rsid w:val="00E67140"/>
    <w:rsid w:val="00E76936"/>
    <w:rsid w:val="00E814AC"/>
    <w:rsid w:val="00E81C52"/>
    <w:rsid w:val="00E82A7A"/>
    <w:rsid w:val="00E863EC"/>
    <w:rsid w:val="00E867B4"/>
    <w:rsid w:val="00E87496"/>
    <w:rsid w:val="00E87F29"/>
    <w:rsid w:val="00E917E1"/>
    <w:rsid w:val="00E9253B"/>
    <w:rsid w:val="00E92C22"/>
    <w:rsid w:val="00E92F00"/>
    <w:rsid w:val="00E950E7"/>
    <w:rsid w:val="00E9609F"/>
    <w:rsid w:val="00E9758C"/>
    <w:rsid w:val="00E97592"/>
    <w:rsid w:val="00E97F4A"/>
    <w:rsid w:val="00EA146F"/>
    <w:rsid w:val="00EA2A81"/>
    <w:rsid w:val="00EA35D6"/>
    <w:rsid w:val="00EA7477"/>
    <w:rsid w:val="00EA77F3"/>
    <w:rsid w:val="00EB2572"/>
    <w:rsid w:val="00EB5B64"/>
    <w:rsid w:val="00EB5D6A"/>
    <w:rsid w:val="00EC3F55"/>
    <w:rsid w:val="00EC40B5"/>
    <w:rsid w:val="00EC53C5"/>
    <w:rsid w:val="00EC5D8C"/>
    <w:rsid w:val="00ED0125"/>
    <w:rsid w:val="00ED488F"/>
    <w:rsid w:val="00EE00AB"/>
    <w:rsid w:val="00EE79C9"/>
    <w:rsid w:val="00EF6E86"/>
    <w:rsid w:val="00F0000F"/>
    <w:rsid w:val="00F00AF7"/>
    <w:rsid w:val="00F01066"/>
    <w:rsid w:val="00F033E6"/>
    <w:rsid w:val="00F05F9A"/>
    <w:rsid w:val="00F07694"/>
    <w:rsid w:val="00F07BDD"/>
    <w:rsid w:val="00F12D19"/>
    <w:rsid w:val="00F1412A"/>
    <w:rsid w:val="00F149A6"/>
    <w:rsid w:val="00F1588F"/>
    <w:rsid w:val="00F16795"/>
    <w:rsid w:val="00F16D41"/>
    <w:rsid w:val="00F171EE"/>
    <w:rsid w:val="00F3385A"/>
    <w:rsid w:val="00F36E4A"/>
    <w:rsid w:val="00F42328"/>
    <w:rsid w:val="00F42671"/>
    <w:rsid w:val="00F46897"/>
    <w:rsid w:val="00F50CB0"/>
    <w:rsid w:val="00F52B86"/>
    <w:rsid w:val="00F53E57"/>
    <w:rsid w:val="00F54657"/>
    <w:rsid w:val="00F551A2"/>
    <w:rsid w:val="00F56DC0"/>
    <w:rsid w:val="00F60452"/>
    <w:rsid w:val="00F612C8"/>
    <w:rsid w:val="00F61DE6"/>
    <w:rsid w:val="00F64015"/>
    <w:rsid w:val="00F65906"/>
    <w:rsid w:val="00F66A3B"/>
    <w:rsid w:val="00F66FE7"/>
    <w:rsid w:val="00F6735A"/>
    <w:rsid w:val="00F7000C"/>
    <w:rsid w:val="00F71008"/>
    <w:rsid w:val="00F71582"/>
    <w:rsid w:val="00F73135"/>
    <w:rsid w:val="00F75823"/>
    <w:rsid w:val="00F77DC4"/>
    <w:rsid w:val="00F81978"/>
    <w:rsid w:val="00F84A29"/>
    <w:rsid w:val="00F90245"/>
    <w:rsid w:val="00F913C1"/>
    <w:rsid w:val="00F91475"/>
    <w:rsid w:val="00FA0FC5"/>
    <w:rsid w:val="00FA5090"/>
    <w:rsid w:val="00FA5A84"/>
    <w:rsid w:val="00FA72A2"/>
    <w:rsid w:val="00FB48D4"/>
    <w:rsid w:val="00FB65C9"/>
    <w:rsid w:val="00FC0871"/>
    <w:rsid w:val="00FC0EAE"/>
    <w:rsid w:val="00FC13CF"/>
    <w:rsid w:val="00FC2012"/>
    <w:rsid w:val="00FC27B2"/>
    <w:rsid w:val="00FC351C"/>
    <w:rsid w:val="00FC3DE6"/>
    <w:rsid w:val="00FC4BA6"/>
    <w:rsid w:val="00FC5373"/>
    <w:rsid w:val="00FD1BD5"/>
    <w:rsid w:val="00FD2861"/>
    <w:rsid w:val="00FD3D3B"/>
    <w:rsid w:val="00FD4046"/>
    <w:rsid w:val="00FE04C3"/>
    <w:rsid w:val="00FE519C"/>
    <w:rsid w:val="00FE57C2"/>
    <w:rsid w:val="00FF00BE"/>
    <w:rsid w:val="00FF32A1"/>
    <w:rsid w:val="00FF41BA"/>
    <w:rsid w:val="00FF4E89"/>
    <w:rsid w:val="00FF60E9"/>
    <w:rsid w:val="00FF7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B74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A5227A"/>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A5227A"/>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A5227A"/>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261B3"/>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2261B3"/>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A5227A"/>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A5227A"/>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A5227A"/>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A5227A"/>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894423"/>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rsid w:val="00EB5D6A"/>
    <w:rPr>
      <w:rFonts w:ascii="Times New Roman" w:eastAsiaTheme="majorEastAsia" w:hAnsi="Times New Roman" w:cs="Times New Roman"/>
      <w:b/>
      <w:kern w:val="32"/>
      <w:sz w:val="26"/>
      <w:szCs w:val="26"/>
      <w:u w:val="single"/>
    </w:rPr>
  </w:style>
  <w:style w:type="paragraph" w:styleId="FootnoteText">
    <w:name w:val="footnote text"/>
    <w:aliases w:val="Footnote Text Char1 Char,Footnote Text Char Char Char,Footnote Text Char Char,Footnote Text Char Char1,fn,Footnote Text MRP,Footnote Text Char3,Footnote Text Char2 Char,ft Char,Footnote Text Char1 Char Char Char1,ft,f,c,Footnote Text Char1"/>
    <w:basedOn w:val="Normal"/>
    <w:link w:val="FootnoteTextChar"/>
    <w:uiPriority w:val="99"/>
    <w:unhideWhenUsed/>
    <w:qFormat/>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unhideWhenUsed/>
    <w:qFormat/>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aliases w:val="Footnote Text Char1 Char Char,Footnote Text Char Char Char Char,Footnote Text Char Char Char1,Footnote Text Char Char1 Char,fn Char,Footnote Text MRP Char,Footnote Text Char3 Char,Footnote Text Char2 Char Char,ft Char Char,ft Char1"/>
    <w:basedOn w:val="DefaultParagraphFont"/>
    <w:link w:val="FootnoteText"/>
    <w:uiPriority w:val="99"/>
    <w:rsid w:val="00681772"/>
    <w:rPr>
      <w:rFonts w:ascii="Times New Roman" w:hAnsi="Times New Roman" w:cs="Times New Roman"/>
      <w:sz w:val="26"/>
      <w:szCs w:val="20"/>
    </w:rPr>
  </w:style>
  <w:style w:type="paragraph" w:styleId="Revision">
    <w:name w:val="Revision"/>
    <w:hidden/>
    <w:uiPriority w:val="99"/>
    <w:semiHidden/>
    <w:rsid w:val="00902F03"/>
    <w:pPr>
      <w:spacing w:after="0" w:line="240" w:lineRule="auto"/>
    </w:pPr>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74a4cd09-5f17-433b-814a-38e7e9115d16"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Props1.xml><?xml version="1.0" encoding="utf-8"?>
<ds:datastoreItem xmlns:ds="http://schemas.openxmlformats.org/officeDocument/2006/customXml" ds:itemID="{BC8BB474-93F7-4AEB-A918-C59328360D03}">
  <ds:schemaRefs>
    <ds:schemaRef ds:uri="http://schemas.microsoft.com/sharepoint/v3/contenttype/forms"/>
  </ds:schemaRefs>
</ds:datastoreItem>
</file>

<file path=customXml/itemProps2.xml><?xml version="1.0" encoding="utf-8"?>
<ds:datastoreItem xmlns:ds="http://schemas.openxmlformats.org/officeDocument/2006/customXml" ds:itemID="{5AAFFA05-7358-49E6-976A-CE2DFDE47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A4D613-A0E5-4544-9E49-6926F086B650}">
  <ds:schemaRefs>
    <ds:schemaRef ds:uri="Microsoft.SharePoint.Taxonomy.ContentTypeSync"/>
  </ds:schemaRefs>
</ds:datastoreItem>
</file>

<file path=customXml/itemProps4.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5.xml><?xml version="1.0" encoding="utf-8"?>
<ds:datastoreItem xmlns:ds="http://schemas.openxmlformats.org/officeDocument/2006/customXml" ds:itemID="{1034F67F-6A6F-4DCB-928B-242BC2A95368}">
  <ds:schemaRefs>
    <ds:schemaRef ds:uri="http://schemas.microsoft.com/office/2006/metadata/properties"/>
    <ds:schemaRef ds:uri="http://schemas.microsoft.com/office/infopath/2007/PartnerControls"/>
    <ds:schemaRef ds:uri="5e8733a2-e908-454b-85cf-c9d17e1d0943"/>
  </ds:schemaRefs>
</ds:datastoreItem>
</file>

<file path=docProps/app.xml><?xml version="1.0" encoding="utf-8"?>
<ap:Properties xmlns:vt="http://schemas.openxmlformats.org/officeDocument/2006/docPropsVTypes" xmlns:ap="http://schemas.openxmlformats.org/officeDocument/2006/extended-properties">
  <ap:TotalTime>0</ap:TotalTime>
  <ap:Pages>5</ap:Pages>
  <ap:Words>1218</ap:Words>
  <ap:Characters>6910</ap:Characters>
  <ap:Application>Microsoft Office Word</ap:Application>
  <ap:DocSecurity>0</ap:DocSecurity>
  <ap:Lines>132</ap:Lines>
  <ap:Paragraphs>45</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8083</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2026-09-21T13:13:00.0000000Z</dcterms:created>
  <dcterms:modified xsi:type="dcterms:W3CDTF">2026-09-21T13:43:00.0000000Z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