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FD49" w14:textId="77777777" w:rsidR="00300DBC" w:rsidRDefault="00DC3207">
      <w:pPr>
        <w:jc w:val="center"/>
      </w:pPr>
      <w:r>
        <w:t>197 FERC ¶ 61,020</w:t>
      </w:r>
    </w:p>
    <w:p w14:paraId="15869C95" w14:textId="77777777" w:rsidR="00704918" w:rsidRPr="00704918" w:rsidRDefault="00E70279" w:rsidP="009A00E0">
      <w:pPr>
        <w:jc w:val="center"/>
      </w:pPr>
      <w:r w:rsidRPr="00704918">
        <w:rPr>
          <w:b/>
        </w:rPr>
        <w:fldChar w:fldCharType="begin"/>
      </w:r>
      <w:r w:rsidRPr="00704918">
        <w:rPr>
          <w:b/>
        </w:rPr>
        <w:instrText xml:space="preserve"> MACROBUTTON  AcceptAllChangesInDoc </w:instrText>
      </w:r>
      <w:r w:rsidRPr="00704918">
        <w:rPr>
          <w:b/>
        </w:rPr>
        <w:fldChar w:fldCharType="end"/>
      </w:r>
      <w:r w:rsidR="00704918" w:rsidRPr="00704918">
        <w:t>UNITED STATES OF AMERICA</w:t>
      </w:r>
    </w:p>
    <w:p w14:paraId="6831C968" w14:textId="77777777" w:rsidR="00704918" w:rsidRPr="00704918" w:rsidRDefault="00704918">
      <w:pPr>
        <w:jc w:val="center"/>
      </w:pPr>
      <w:r w:rsidRPr="00704918">
        <w:t>FEDERAL ENERGY REGULATORY COMMISSION</w:t>
      </w:r>
    </w:p>
    <w:p w14:paraId="59088D58" w14:textId="77777777" w:rsidR="00704918" w:rsidRPr="00704918" w:rsidRDefault="00704918"/>
    <w:p w14:paraId="38235EC2" w14:textId="77777777" w:rsidR="00704918" w:rsidRPr="009A00E0" w:rsidRDefault="009A00E0" w:rsidP="009A00E0">
      <w:pPr>
        <w:widowControl/>
      </w:pPr>
      <w:r w:rsidRPr="009A00E0">
        <w:t>Before Commissioners:  Laura V. Swett, Chairman;</w:t>
      </w:r>
    </w:p>
    <w:p w14:paraId="3FF700A2" w14:textId="77777777" w:rsidR="009A00E0" w:rsidRPr="009A00E0" w:rsidRDefault="009A00E0" w:rsidP="009A00E0">
      <w:pPr>
        <w:widowControl/>
      </w:pPr>
      <w:r w:rsidRPr="009A00E0">
        <w:t xml:space="preserve">                                        David Rosner, Lindsay </w:t>
      </w:r>
      <w:proofErr w:type="gramStart"/>
      <w:r w:rsidRPr="009A00E0">
        <w:t xml:space="preserve">S. </w:t>
      </w:r>
      <w:proofErr w:type="gramEnd"/>
      <w:r w:rsidRPr="009A00E0">
        <w:t>See,</w:t>
      </w:r>
    </w:p>
    <w:p w14:paraId="01E01D9F" w14:textId="77777777" w:rsidR="009A00E0" w:rsidRPr="00704918" w:rsidRDefault="009A00E0" w:rsidP="009A00E0">
      <w:pPr>
        <w:widowControl/>
      </w:pPr>
      <w:r w:rsidRPr="009A00E0">
        <w:t xml:space="preserve">                                        Judy W. Chang, and David </w:t>
      </w:r>
      <w:proofErr w:type="spellStart"/>
      <w:r w:rsidRPr="009A00E0">
        <w:t>LaCerte</w:t>
      </w:r>
      <w:proofErr w:type="spellEnd"/>
      <w:r w:rsidRPr="009A00E0">
        <w:t>.</w:t>
      </w:r>
    </w:p>
    <w:p w14:paraId="0DDD1D47" w14:textId="77777777" w:rsidR="00704918" w:rsidRPr="00704918" w:rsidRDefault="0070491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31"/>
        <w:gridCol w:w="1535"/>
        <w:gridCol w:w="1894"/>
      </w:tblGrid>
      <w:tr w:rsidR="00704918" w:rsidRPr="00704918" w14:paraId="17F9453B" w14:textId="77777777" w:rsidTr="00E76ADA">
        <w:tc>
          <w:tcPr>
            <w:tcW w:w="6088" w:type="dxa"/>
          </w:tcPr>
          <w:p w14:paraId="76B8EF54" w14:textId="77777777" w:rsidR="00704918" w:rsidRPr="00704918" w:rsidRDefault="00704918">
            <w:pPr>
              <w:widowControl/>
              <w:autoSpaceDE/>
              <w:autoSpaceDN/>
              <w:adjustRightInd/>
              <w:rPr>
                <w:rFonts w:eastAsiaTheme="minorHAnsi"/>
                <w:szCs w:val="22"/>
              </w:rPr>
            </w:pPr>
            <w:r w:rsidRPr="00704918">
              <w:rPr>
                <w:rFonts w:eastAsiaTheme="minorHAnsi"/>
                <w:szCs w:val="22"/>
              </w:rPr>
              <w:t>Duke Energy Carolinas, LLC</w:t>
            </w:r>
          </w:p>
        </w:tc>
        <w:tc>
          <w:tcPr>
            <w:tcW w:w="1560" w:type="dxa"/>
          </w:tcPr>
          <w:p w14:paraId="2FC265C0" w14:textId="77777777" w:rsidR="00704918" w:rsidRPr="00704918" w:rsidRDefault="00704918" w:rsidP="00704918">
            <w:pPr>
              <w:widowControl/>
              <w:autoSpaceDE/>
              <w:autoSpaceDN/>
              <w:adjustRightInd/>
              <w:jc w:val="right"/>
              <w:rPr>
                <w:rFonts w:eastAsiaTheme="minorHAnsi"/>
                <w:szCs w:val="22"/>
              </w:rPr>
            </w:pPr>
            <w:r w:rsidRPr="00704918">
              <w:rPr>
                <w:rFonts w:eastAsiaTheme="minorHAnsi"/>
                <w:szCs w:val="22"/>
              </w:rPr>
              <w:t>Docket Nos.</w:t>
            </w:r>
          </w:p>
        </w:tc>
        <w:tc>
          <w:tcPr>
            <w:tcW w:w="1928" w:type="dxa"/>
            <w:tcMar>
              <w:left w:w="144" w:type="dxa"/>
            </w:tcMar>
          </w:tcPr>
          <w:p w14:paraId="4FC63085" w14:textId="77777777" w:rsidR="00704918" w:rsidRPr="00704918" w:rsidRDefault="009A00E0" w:rsidP="009A00E0">
            <w:pPr>
              <w:widowControl/>
              <w:autoSpaceDE/>
              <w:autoSpaceDN/>
              <w:adjustRightInd/>
              <w:ind w:hanging="140"/>
              <w:rPr>
                <w:rFonts w:eastAsiaTheme="minorHAnsi"/>
                <w:szCs w:val="22"/>
              </w:rPr>
            </w:pPr>
            <w:r>
              <w:rPr>
                <w:rFonts w:eastAsiaTheme="minorHAnsi"/>
                <w:szCs w:val="22"/>
              </w:rPr>
              <w:t xml:space="preserve"> </w:t>
            </w:r>
            <w:r w:rsidR="00704918" w:rsidRPr="00704918">
              <w:rPr>
                <w:rFonts w:eastAsiaTheme="minorHAnsi"/>
                <w:szCs w:val="22"/>
              </w:rPr>
              <w:t>ER26-2691-000</w:t>
            </w:r>
          </w:p>
          <w:p w14:paraId="014039E2" w14:textId="77777777" w:rsidR="00704918" w:rsidRPr="00704918" w:rsidRDefault="009A00E0">
            <w:pPr>
              <w:widowControl/>
              <w:autoSpaceDE/>
              <w:autoSpaceDN/>
              <w:adjustRightInd/>
              <w:ind w:hanging="140"/>
              <w:rPr>
                <w:rFonts w:eastAsiaTheme="minorHAnsi"/>
                <w:szCs w:val="22"/>
              </w:rPr>
            </w:pPr>
            <w:r>
              <w:rPr>
                <w:rFonts w:eastAsiaTheme="minorHAnsi"/>
                <w:szCs w:val="22"/>
              </w:rPr>
              <w:t xml:space="preserve"> </w:t>
            </w:r>
            <w:r w:rsidR="00704918" w:rsidRPr="00704918">
              <w:rPr>
                <w:rFonts w:eastAsiaTheme="minorHAnsi"/>
                <w:szCs w:val="22"/>
              </w:rPr>
              <w:t>ER26-2691-001</w:t>
            </w:r>
          </w:p>
        </w:tc>
      </w:tr>
    </w:tbl>
    <w:p w14:paraId="50E1AFC4" w14:textId="77777777" w:rsidR="00704918" w:rsidRPr="00704918" w:rsidRDefault="00704918" w:rsidP="009A00E0"/>
    <w:p w14:paraId="7D20D48B" w14:textId="77777777" w:rsidR="007D3A5B" w:rsidRPr="007D3A5B" w:rsidRDefault="007D3A5B" w:rsidP="00E76ADA">
      <w:pPr>
        <w:ind w:left="720"/>
        <w:jc w:val="center"/>
      </w:pPr>
      <w:r w:rsidRPr="007D3A5B">
        <w:t>ORDER ACCEPTING PROPOSED TARIFF REVISIONS</w:t>
      </w:r>
    </w:p>
    <w:p w14:paraId="6F86D506" w14:textId="77777777" w:rsidR="00704918" w:rsidRPr="00704918" w:rsidRDefault="00704918" w:rsidP="00E76ADA">
      <w:pPr>
        <w:ind w:left="720"/>
        <w:jc w:val="center"/>
      </w:pPr>
    </w:p>
    <w:p w14:paraId="22A74330" w14:textId="77777777" w:rsidR="009A00E0" w:rsidRPr="009A00E0" w:rsidRDefault="009A00E0" w:rsidP="009A00E0">
      <w:pPr>
        <w:widowControl/>
        <w:jc w:val="center"/>
      </w:pPr>
      <w:r w:rsidRPr="009A00E0">
        <w:t xml:space="preserve"> (Issued October 9, 2026)</w:t>
      </w:r>
    </w:p>
    <w:p w14:paraId="05C95398" w14:textId="77777777" w:rsidR="00704918" w:rsidRPr="00704918" w:rsidRDefault="00704918" w:rsidP="00E76ADA">
      <w:pPr>
        <w:ind w:left="720"/>
        <w:rPr>
          <w:bCs/>
        </w:rPr>
      </w:pPr>
    </w:p>
    <w:p w14:paraId="1798A8D1" w14:textId="77777777" w:rsidR="00704918" w:rsidRDefault="00CC4C16" w:rsidP="00746765">
      <w:pPr>
        <w:pStyle w:val="FERCparanumber"/>
      </w:pPr>
      <w:r w:rsidRPr="00E62E9B">
        <w:t>On May 29, 2026</w:t>
      </w:r>
      <w:r w:rsidR="000D6323" w:rsidRPr="00E62E9B">
        <w:t xml:space="preserve">, pursuant to </w:t>
      </w:r>
      <w:r w:rsidR="00BC32E4" w:rsidRPr="00E62E9B">
        <w:t>section 205 of the Federal Power Act (FPA)</w:t>
      </w:r>
      <w:r w:rsidR="00BC32E4" w:rsidRPr="00086665">
        <w:rPr>
          <w:rStyle w:val="FootnoteReference"/>
        </w:rPr>
        <w:footnoteReference w:id="2"/>
      </w:r>
      <w:r w:rsidR="00E668A8" w:rsidRPr="00E62E9B">
        <w:t xml:space="preserve"> and Part 35 of the Commission’s regulations</w:t>
      </w:r>
      <w:r w:rsidR="00882CCE" w:rsidRPr="00E62E9B">
        <w:t>,</w:t>
      </w:r>
      <w:r w:rsidR="00E668A8" w:rsidRPr="00086665">
        <w:rPr>
          <w:rStyle w:val="FootnoteReference"/>
        </w:rPr>
        <w:footnoteReference w:id="3"/>
      </w:r>
      <w:r w:rsidR="00882CCE" w:rsidRPr="00E62E9B">
        <w:t xml:space="preserve"> Duke Energy Carolinas, LLC (DEC)</w:t>
      </w:r>
      <w:r w:rsidR="001D1329" w:rsidRPr="00E62E9B">
        <w:t xml:space="preserve"> </w:t>
      </w:r>
      <w:r w:rsidR="00DC004B" w:rsidRPr="00E62E9B">
        <w:t xml:space="preserve">filed revisions to </w:t>
      </w:r>
      <w:r w:rsidR="00501D1E">
        <w:t>its</w:t>
      </w:r>
      <w:r w:rsidR="00DC004B">
        <w:t xml:space="preserve"> </w:t>
      </w:r>
      <w:r w:rsidR="00DC004B" w:rsidRPr="00006150">
        <w:rPr>
          <w:i/>
        </w:rPr>
        <w:t>pro forma</w:t>
      </w:r>
      <w:r w:rsidR="00DC004B" w:rsidRPr="00746765">
        <w:t xml:space="preserve"> </w:t>
      </w:r>
      <w:r w:rsidR="00DC004B" w:rsidRPr="00E62E9B">
        <w:t>Network Integrat</w:t>
      </w:r>
      <w:r w:rsidR="00103352">
        <w:t>ion</w:t>
      </w:r>
      <w:r w:rsidR="00DC004B" w:rsidRPr="00E62E9B">
        <w:t xml:space="preserve"> Transmission </w:t>
      </w:r>
      <w:r w:rsidR="00F91BBF" w:rsidRPr="00E62E9B">
        <w:t>Se</w:t>
      </w:r>
      <w:r w:rsidR="00F91BBF">
        <w:t>rvice</w:t>
      </w:r>
      <w:r w:rsidR="00F91BBF" w:rsidRPr="00E62E9B">
        <w:t xml:space="preserve"> </w:t>
      </w:r>
      <w:r w:rsidR="000624F5" w:rsidRPr="00E62E9B">
        <w:t>Agreement (NITSA</w:t>
      </w:r>
      <w:r w:rsidR="000624F5" w:rsidRPr="00E62E9B" w:rsidDel="00A55C46">
        <w:t>)</w:t>
      </w:r>
      <w:r w:rsidR="00A55C46">
        <w:t xml:space="preserve"> </w:t>
      </w:r>
      <w:r w:rsidR="00791E80" w:rsidRPr="00791E80">
        <w:t>under its Joint Open Access Transmission Tariff (Joint OATT)</w:t>
      </w:r>
      <w:r w:rsidR="00C13AAF" w:rsidRPr="00E62E9B">
        <w:t>.</w:t>
      </w:r>
      <w:r w:rsidR="003970A0">
        <w:rPr>
          <w:rStyle w:val="FootnoteReference"/>
        </w:rPr>
        <w:footnoteReference w:id="4"/>
      </w:r>
      <w:r w:rsidR="00C13AAF">
        <w:t xml:space="preserve"> </w:t>
      </w:r>
      <w:r w:rsidR="000624F5">
        <w:t xml:space="preserve"> </w:t>
      </w:r>
      <w:r w:rsidR="002912E4">
        <w:t xml:space="preserve">As discussed below, we accept the </w:t>
      </w:r>
      <w:r w:rsidR="00683190">
        <w:t xml:space="preserve">proposed revisions to </w:t>
      </w:r>
      <w:r w:rsidR="00086ACA">
        <w:t>DEC’s</w:t>
      </w:r>
      <w:r w:rsidR="00683190">
        <w:t xml:space="preserve"> </w:t>
      </w:r>
      <w:r w:rsidR="002912E4" w:rsidRPr="00055D09">
        <w:rPr>
          <w:i/>
        </w:rPr>
        <w:t>pro forma</w:t>
      </w:r>
      <w:r w:rsidR="002912E4">
        <w:t xml:space="preserve"> NITSA, effective</w:t>
      </w:r>
      <w:r w:rsidR="00DB75AB">
        <w:t xml:space="preserve"> August 1, 2026</w:t>
      </w:r>
      <w:r w:rsidR="00B2357A">
        <w:t>, as requested.</w:t>
      </w:r>
      <w:r w:rsidR="00882CCE">
        <w:t xml:space="preserve"> </w:t>
      </w:r>
    </w:p>
    <w:p w14:paraId="56910F0D" w14:textId="77777777" w:rsidR="00704918" w:rsidRDefault="00704918" w:rsidP="00746765">
      <w:pPr>
        <w:pStyle w:val="Heading1"/>
      </w:pPr>
      <w:r>
        <w:t>Background</w:t>
      </w:r>
    </w:p>
    <w:p w14:paraId="15FB373F" w14:textId="77777777" w:rsidR="000761BD" w:rsidRDefault="002425D0" w:rsidP="00746765">
      <w:pPr>
        <w:pStyle w:val="FERCparanumber"/>
      </w:pPr>
      <w:r w:rsidRPr="002425D0">
        <w:t xml:space="preserve">DEC provides </w:t>
      </w:r>
      <w:r w:rsidR="008F2642" w:rsidRPr="0093158B">
        <w:t>network integration transmission service</w:t>
      </w:r>
      <w:r w:rsidR="008F2642">
        <w:t xml:space="preserve"> (</w:t>
      </w:r>
      <w:r w:rsidR="00413EB5">
        <w:t>NITS</w:t>
      </w:r>
      <w:r w:rsidR="008F2642">
        <w:t>)</w:t>
      </w:r>
      <w:r w:rsidR="00413EB5">
        <w:t xml:space="preserve"> </w:t>
      </w:r>
      <w:r w:rsidRPr="002425D0">
        <w:t>to 20 network customers, including municipalities, cooperatives, universities, and government agencies</w:t>
      </w:r>
      <w:r w:rsidR="00780687">
        <w:t>,</w:t>
      </w:r>
      <w:r w:rsidRPr="002425D0">
        <w:t xml:space="preserve"> in the DEC balancing authority area, which spans North Carolina and South Carolina.</w:t>
      </w:r>
      <w:r w:rsidRPr="00086665">
        <w:rPr>
          <w:b/>
          <w:vertAlign w:val="superscript"/>
        </w:rPr>
        <w:footnoteReference w:id="5"/>
      </w:r>
      <w:r w:rsidR="0093158B">
        <w:t xml:space="preserve">  </w:t>
      </w:r>
      <w:r w:rsidR="006D0B7C">
        <w:t xml:space="preserve">DEC explains that </w:t>
      </w:r>
      <w:r w:rsidR="00E42953">
        <w:t>the</w:t>
      </w:r>
      <w:r w:rsidR="006D0B7C">
        <w:t xml:space="preserve"> </w:t>
      </w:r>
      <w:r w:rsidR="0093158B" w:rsidRPr="00006150">
        <w:rPr>
          <w:i/>
          <w:iCs/>
        </w:rPr>
        <w:t>pro forma</w:t>
      </w:r>
      <w:r w:rsidR="0093158B" w:rsidRPr="0093158B">
        <w:t xml:space="preserve"> NITSA sets forth the terms and conditions for DEC</w:t>
      </w:r>
      <w:r w:rsidR="000143BC">
        <w:t xml:space="preserve">, </w:t>
      </w:r>
      <w:r w:rsidR="0093158B" w:rsidRPr="0093158B">
        <w:t xml:space="preserve">as </w:t>
      </w:r>
      <w:r w:rsidR="002537CF">
        <w:t>t</w:t>
      </w:r>
      <w:r w:rsidR="0093158B" w:rsidRPr="0093158B">
        <w:t xml:space="preserve">ransmission </w:t>
      </w:r>
      <w:r w:rsidR="002537CF">
        <w:t>p</w:t>
      </w:r>
      <w:r w:rsidR="0093158B" w:rsidRPr="0093158B">
        <w:t>rovider</w:t>
      </w:r>
      <w:r w:rsidR="000143BC">
        <w:t xml:space="preserve">, </w:t>
      </w:r>
      <w:r w:rsidR="0093158B" w:rsidRPr="0093158B">
        <w:t xml:space="preserve">to provide </w:t>
      </w:r>
      <w:r w:rsidR="000143BC">
        <w:t>NITS</w:t>
      </w:r>
      <w:r w:rsidR="0093158B" w:rsidRPr="0093158B">
        <w:t xml:space="preserve"> to its </w:t>
      </w:r>
      <w:r w:rsidR="001048FD" w:rsidRPr="001048FD">
        <w:t>network customers and is included in the Joint OATT as Attachment F-2.</w:t>
      </w:r>
      <w:r w:rsidR="00086665">
        <w:t xml:space="preserve">  </w:t>
      </w:r>
      <w:proofErr w:type="gramStart"/>
      <w:r w:rsidRPr="002425D0">
        <w:t>All of</w:t>
      </w:r>
      <w:proofErr w:type="gramEnd"/>
      <w:r w:rsidRPr="002425D0">
        <w:t xml:space="preserve"> DEC’s network customers have existing </w:t>
      </w:r>
      <w:r w:rsidRPr="002425D0">
        <w:lastRenderedPageBreak/>
        <w:t>individual NITSAs on file with the Commission</w:t>
      </w:r>
      <w:r w:rsidR="00C17172">
        <w:t>,</w:t>
      </w:r>
      <w:r w:rsidR="00387556">
        <w:t xml:space="preserve"> most of which</w:t>
      </w:r>
      <w:r w:rsidR="001048FD">
        <w:t xml:space="preserve"> </w:t>
      </w:r>
      <w:r w:rsidRPr="002425D0">
        <w:t>predate the 2012 filing of DEC’s</w:t>
      </w:r>
      <w:r w:rsidRPr="00006150">
        <w:rPr>
          <w:i/>
        </w:rPr>
        <w:t xml:space="preserve"> pro forma</w:t>
      </w:r>
      <w:r w:rsidRPr="002425D0">
        <w:t xml:space="preserve"> NITSA</w:t>
      </w:r>
      <w:r w:rsidR="00387556">
        <w:t>.</w:t>
      </w:r>
      <w:r w:rsidR="005F7F07" w:rsidRPr="00086665">
        <w:rPr>
          <w:rStyle w:val="FootnoteReference"/>
        </w:rPr>
        <w:footnoteReference w:id="6"/>
      </w:r>
      <w:r w:rsidR="00387556">
        <w:t xml:space="preserve"> </w:t>
      </w:r>
    </w:p>
    <w:p w14:paraId="61833756" w14:textId="77777777" w:rsidR="00EB32C4" w:rsidRDefault="00EB32C4" w:rsidP="00EB32C4">
      <w:pPr>
        <w:pStyle w:val="Heading1"/>
      </w:pPr>
      <w:r>
        <w:t>Proposed Tariff Revisions</w:t>
      </w:r>
    </w:p>
    <w:p w14:paraId="01EEDB14" w14:textId="77777777" w:rsidR="00F556ED" w:rsidRDefault="00F556ED" w:rsidP="00F556ED">
      <w:pPr>
        <w:pStyle w:val="FERCparanumber"/>
      </w:pPr>
      <w:r w:rsidRPr="00F556ED">
        <w:t xml:space="preserve">DEC proposes revisions to the body of </w:t>
      </w:r>
      <w:r w:rsidR="00BB2922">
        <w:t>its</w:t>
      </w:r>
      <w:r w:rsidR="00BB2922" w:rsidRPr="00F556ED">
        <w:t xml:space="preserve"> </w:t>
      </w:r>
      <w:r w:rsidRPr="000D3EBB">
        <w:rPr>
          <w:i/>
          <w:iCs/>
        </w:rPr>
        <w:t>pro forma</w:t>
      </w:r>
      <w:r w:rsidRPr="00F556ED">
        <w:t xml:space="preserve"> NITSA and existing attachments, </w:t>
      </w:r>
      <w:r w:rsidR="00BB2922">
        <w:t>as well as to</w:t>
      </w:r>
      <w:r w:rsidRPr="00F556ED">
        <w:t xml:space="preserve"> add a new Attachment F.  These revisions make changes to terms, conditions, and procedures pertaining to:  (1) Network Load designations; </w:t>
      </w:r>
      <w:r w:rsidR="009A00E0">
        <w:t xml:space="preserve">                 </w:t>
      </w:r>
      <w:r w:rsidRPr="00F556ED">
        <w:t xml:space="preserve">(2) requests for changes in transmission service to accommodate new or transferred Network Load; (3) rate treatment and financial security requirements for Network Upgrades; (4) shortfall payments for loads of 100 MW or greater; and (5) transmission customer audits, among other related changes.  Proposed Attachment F to </w:t>
      </w:r>
      <w:r w:rsidR="00621C26">
        <w:t>DEC’s</w:t>
      </w:r>
      <w:r w:rsidR="00621C26" w:rsidRPr="00F556ED">
        <w:t xml:space="preserve"> </w:t>
      </w:r>
      <w:r w:rsidR="009A00E0">
        <w:t xml:space="preserve">                </w:t>
      </w:r>
      <w:r w:rsidRPr="00D74226">
        <w:rPr>
          <w:i/>
          <w:iCs/>
        </w:rPr>
        <w:t>pro forma</w:t>
      </w:r>
      <w:r w:rsidRPr="00F556ED">
        <w:t xml:space="preserve"> NITSA sets forth terms and conditions in cases in which the Transmission Customer has submitted a change in service request:  (1) for new Network Load at an existing Delivery Point; (2) for new Network Load at a new Delivery Point(s); or (3) to transfer existing Network Load from </w:t>
      </w:r>
      <w:r w:rsidR="00192A38">
        <w:t xml:space="preserve">an </w:t>
      </w:r>
      <w:r w:rsidRPr="00F556ED">
        <w:t>existing Delivery Point(s) to another Delivery Point(s) (existing or new).</w:t>
      </w:r>
    </w:p>
    <w:p w14:paraId="435732E8" w14:textId="77777777" w:rsidR="001A5AFC" w:rsidRDefault="001A5AFC" w:rsidP="001A5AFC">
      <w:pPr>
        <w:pStyle w:val="FERCparanumber"/>
      </w:pPr>
      <w:r w:rsidRPr="00054609">
        <w:t>DEC asserts that the</w:t>
      </w:r>
      <w:r>
        <w:t xml:space="preserve"> proposed</w:t>
      </w:r>
      <w:r w:rsidRPr="00054609">
        <w:t xml:space="preserve"> revisions are necessary to </w:t>
      </w:r>
      <w:r>
        <w:t>reflect</w:t>
      </w:r>
      <w:r w:rsidRPr="00054609">
        <w:t xml:space="preserve"> profound changes in service requests fueled by increasing </w:t>
      </w:r>
      <w:r w:rsidR="001C0101">
        <w:t>N</w:t>
      </w:r>
      <w:r w:rsidR="001C0101" w:rsidRPr="00054609">
        <w:t xml:space="preserve">etwork </w:t>
      </w:r>
      <w:r w:rsidR="001C0101">
        <w:t>L</w:t>
      </w:r>
      <w:r w:rsidR="001C0101" w:rsidRPr="00054609">
        <w:t xml:space="preserve">oad </w:t>
      </w:r>
      <w:r w:rsidRPr="00054609">
        <w:t xml:space="preserve">and the changing network resource mixes that have occurred since DEC’s last </w:t>
      </w:r>
      <w:r w:rsidR="00D14E8F">
        <w:t>update</w:t>
      </w:r>
      <w:r w:rsidRPr="00054609">
        <w:t xml:space="preserve"> to </w:t>
      </w:r>
      <w:r w:rsidR="00E14469">
        <w:t>its</w:t>
      </w:r>
      <w:r w:rsidR="00E14469" w:rsidRPr="00054609">
        <w:t xml:space="preserve"> </w:t>
      </w:r>
      <w:r w:rsidRPr="00006150">
        <w:rPr>
          <w:i/>
        </w:rPr>
        <w:t>pro forma</w:t>
      </w:r>
      <w:r w:rsidRPr="00746765">
        <w:t xml:space="preserve"> </w:t>
      </w:r>
      <w:r w:rsidRPr="00054609">
        <w:t>NITSA.</w:t>
      </w:r>
      <w:r w:rsidRPr="00D1361F">
        <w:rPr>
          <w:rStyle w:val="FootnoteReference"/>
        </w:rPr>
        <w:footnoteReference w:id="7"/>
      </w:r>
      <w:r w:rsidRPr="00054609">
        <w:t xml:space="preserve">  DEC notes that customer-served load has increased by approximately 800 MW since 2012, which includes nine customer requests to serve new large </w:t>
      </w:r>
      <w:r w:rsidR="00132E2B">
        <w:t>N</w:t>
      </w:r>
      <w:r w:rsidR="00132E2B" w:rsidRPr="00054609">
        <w:t xml:space="preserve">etwork </w:t>
      </w:r>
      <w:r w:rsidR="00132E2B">
        <w:t>L</w:t>
      </w:r>
      <w:r w:rsidR="00132E2B" w:rsidRPr="00054609">
        <w:t>oad</w:t>
      </w:r>
      <w:r w:rsidRPr="00D1361F">
        <w:rPr>
          <w:rStyle w:val="FootnoteReference"/>
        </w:rPr>
        <w:footnoteReference w:id="8"/>
      </w:r>
      <w:r w:rsidRPr="00054609">
        <w:t xml:space="preserve"> ranging from 102 MW to a multi-phase project of 945 MW.  DEC states that in that same timeframe, there have been 224 requests on </w:t>
      </w:r>
      <w:r w:rsidRPr="00122317">
        <w:t>DEC’s system to</w:t>
      </w:r>
      <w:r>
        <w:t>:</w:t>
      </w:r>
      <w:r w:rsidRPr="00122317">
        <w:t xml:space="preserve"> </w:t>
      </w:r>
      <w:r>
        <w:t xml:space="preserve"> </w:t>
      </w:r>
      <w:r w:rsidRPr="00122317">
        <w:t>(</w:t>
      </w:r>
      <w:r>
        <w:t>1</w:t>
      </w:r>
      <w:r w:rsidRPr="00122317">
        <w:t>)</w:t>
      </w:r>
      <w:r w:rsidRPr="00746765">
        <w:t xml:space="preserve"> designate new resources and new </w:t>
      </w:r>
      <w:r w:rsidR="00132E2B">
        <w:t>N</w:t>
      </w:r>
      <w:r w:rsidR="00132E2B" w:rsidRPr="00746765">
        <w:t xml:space="preserve">etwork </w:t>
      </w:r>
      <w:r w:rsidR="00132E2B">
        <w:t>L</w:t>
      </w:r>
      <w:r w:rsidR="00132E2B" w:rsidRPr="00746765">
        <w:t>oad</w:t>
      </w:r>
      <w:r w:rsidRPr="00746765">
        <w:t xml:space="preserve">; (2) </w:t>
      </w:r>
      <w:r w:rsidRPr="00122317">
        <w:t>establish new points of delivery</w:t>
      </w:r>
      <w:r>
        <w:t>; and</w:t>
      </w:r>
      <w:r w:rsidRPr="00122317">
        <w:t xml:space="preserve"> (</w:t>
      </w:r>
      <w:r>
        <w:t>3</w:t>
      </w:r>
      <w:r w:rsidRPr="00122317">
        <w:t xml:space="preserve">) modify </w:t>
      </w:r>
      <w:r>
        <w:t xml:space="preserve">or terminate existing </w:t>
      </w:r>
      <w:r w:rsidRPr="00122317">
        <w:t>points of delivery, which has resulted in the installation</w:t>
      </w:r>
      <w:r w:rsidRPr="00054609">
        <w:t xml:space="preserve"> of 289 new meters at points of delivery to provide network service.  </w:t>
      </w:r>
      <w:r w:rsidRPr="000226EF">
        <w:t xml:space="preserve">  </w:t>
      </w:r>
    </w:p>
    <w:p w14:paraId="0348C14F" w14:textId="77777777" w:rsidR="00372E65" w:rsidRDefault="006854D2" w:rsidP="00746765">
      <w:pPr>
        <w:pStyle w:val="FERCparanumber"/>
      </w:pPr>
      <w:r w:rsidRPr="006854D2">
        <w:t>DEC argues that it is reasonable to update its</w:t>
      </w:r>
      <w:r w:rsidRPr="00A15845">
        <w:rPr>
          <w:i/>
          <w:iCs/>
        </w:rPr>
        <w:t xml:space="preserve"> pro forma</w:t>
      </w:r>
      <w:r w:rsidRPr="00746765">
        <w:t xml:space="preserve"> </w:t>
      </w:r>
      <w:r w:rsidRPr="006854D2">
        <w:t xml:space="preserve">service agreements from time to time to reflect changing conditions, analogizing the proposed changes to the mandatory changes to </w:t>
      </w:r>
      <w:r w:rsidRPr="00A15845">
        <w:rPr>
          <w:i/>
          <w:iCs/>
        </w:rPr>
        <w:t>pro forma</w:t>
      </w:r>
      <w:r w:rsidRPr="006854D2">
        <w:t xml:space="preserve"> service agreements the Commission required in Order </w:t>
      </w:r>
      <w:r w:rsidRPr="006854D2">
        <w:lastRenderedPageBreak/>
        <w:t>No. 2023.</w:t>
      </w:r>
      <w:r w:rsidR="00E97917">
        <w:rPr>
          <w:rStyle w:val="FootnoteReference"/>
        </w:rPr>
        <w:footnoteReference w:id="9"/>
      </w:r>
      <w:r w:rsidRPr="006854D2">
        <w:t xml:space="preserve">  DEC states that the </w:t>
      </w:r>
      <w:r w:rsidRPr="008A314F">
        <w:rPr>
          <w:i/>
        </w:rPr>
        <w:t>pro forma</w:t>
      </w:r>
      <w:r w:rsidRPr="006854D2">
        <w:t xml:space="preserve"> NITSA revisions add terms and conditions that are present in many of DEC’s individual NITSAs with its network customers.  </w:t>
      </w:r>
    </w:p>
    <w:p w14:paraId="192CA1B5" w14:textId="77777777" w:rsidR="00CA55BF" w:rsidRDefault="00704918" w:rsidP="00746765">
      <w:pPr>
        <w:pStyle w:val="Heading1"/>
      </w:pPr>
      <w:r>
        <w:t>Notice</w:t>
      </w:r>
      <w:r w:rsidR="00C023B0">
        <w:t>s</w:t>
      </w:r>
      <w:r>
        <w:t xml:space="preserve"> and Responsive Pleadings </w:t>
      </w:r>
    </w:p>
    <w:p w14:paraId="60446476" w14:textId="77777777" w:rsidR="00536E32" w:rsidRDefault="00200FBF" w:rsidP="00746765">
      <w:pPr>
        <w:pStyle w:val="FERCparanumber"/>
      </w:pPr>
      <w:r>
        <w:t xml:space="preserve">Notice of DEC’s filing was published in the </w:t>
      </w:r>
      <w:r w:rsidRPr="009562E9">
        <w:rPr>
          <w:i/>
          <w:iCs/>
        </w:rPr>
        <w:t>Federal Register</w:t>
      </w:r>
      <w:r>
        <w:t xml:space="preserve">, </w:t>
      </w:r>
      <w:r w:rsidR="00180C26">
        <w:t xml:space="preserve">91 Fed. Reg. 33169 </w:t>
      </w:r>
      <w:r w:rsidR="003444AF">
        <w:t>(June 3, 2026)</w:t>
      </w:r>
      <w:r w:rsidR="00595C17">
        <w:t xml:space="preserve">, </w:t>
      </w:r>
      <w:r w:rsidR="002D4B58" w:rsidRPr="002D4B58">
        <w:t>with interventions and protests due on or before</w:t>
      </w:r>
      <w:r w:rsidR="00AE1528">
        <w:t xml:space="preserve"> June 22, 2026.</w:t>
      </w:r>
      <w:r w:rsidR="0098552E">
        <w:t xml:space="preserve">  </w:t>
      </w:r>
      <w:r w:rsidR="00536E32">
        <w:t xml:space="preserve">Timely motions to intervene were filed by </w:t>
      </w:r>
      <w:r w:rsidR="000314C7">
        <w:t xml:space="preserve">North Carolina </w:t>
      </w:r>
      <w:r w:rsidR="00BE0E34">
        <w:t>Electric Membership Corporation</w:t>
      </w:r>
      <w:r w:rsidR="00CF5C9F">
        <w:t xml:space="preserve"> and </w:t>
      </w:r>
      <w:r w:rsidR="00357F8A">
        <w:t>Seminole Electric Cooperative, Inc</w:t>
      </w:r>
      <w:r w:rsidR="00CF5C9F">
        <w:t xml:space="preserve">. </w:t>
      </w:r>
    </w:p>
    <w:p w14:paraId="3ACEED31" w14:textId="77777777" w:rsidR="00863D16" w:rsidRPr="00863D16" w:rsidRDefault="0020597D" w:rsidP="00746765">
      <w:pPr>
        <w:pStyle w:val="FERCparanumber"/>
      </w:pPr>
      <w:r w:rsidRPr="0020597D">
        <w:t xml:space="preserve">Southern Alliance for Clean Energy (SACE) and </w:t>
      </w:r>
      <w:proofErr w:type="spellStart"/>
      <w:r w:rsidRPr="0020597D">
        <w:t>ElectriCities</w:t>
      </w:r>
      <w:proofErr w:type="spellEnd"/>
      <w:r w:rsidRPr="0020597D">
        <w:t xml:space="preserve"> of North Carolina, Inc. (</w:t>
      </w:r>
      <w:proofErr w:type="spellStart"/>
      <w:r w:rsidRPr="0020597D">
        <w:t>ElectriCities</w:t>
      </w:r>
      <w:proofErr w:type="spellEnd"/>
      <w:r w:rsidRPr="0020597D">
        <w:t>)</w:t>
      </w:r>
      <w:r w:rsidR="007178C1" w:rsidRPr="00B14570">
        <w:rPr>
          <w:rStyle w:val="FootnoteReference"/>
        </w:rPr>
        <w:footnoteReference w:id="10"/>
      </w:r>
      <w:r w:rsidRPr="0020597D">
        <w:t xml:space="preserve"> filed</w:t>
      </w:r>
      <w:r>
        <w:t xml:space="preserve"> timely</w:t>
      </w:r>
      <w:r w:rsidRPr="0020597D">
        <w:t xml:space="preserve"> </w:t>
      </w:r>
      <w:r w:rsidR="00E21654">
        <w:t xml:space="preserve">motions to intervene and </w:t>
      </w:r>
      <w:r w:rsidRPr="0020597D">
        <w:t>protests</w:t>
      </w:r>
      <w:r>
        <w:t>.</w:t>
      </w:r>
      <w:r w:rsidR="00B03F27">
        <w:t xml:space="preserve">  DEC filed an answer to the protests on </w:t>
      </w:r>
      <w:r w:rsidR="00D5170C">
        <w:t>July 6, 2026.</w:t>
      </w:r>
      <w:r w:rsidR="00AE1528">
        <w:t xml:space="preserve"> </w:t>
      </w:r>
    </w:p>
    <w:p w14:paraId="2F6E40FA" w14:textId="77777777" w:rsidR="00200FBF" w:rsidRDefault="00200FBF" w:rsidP="00746765">
      <w:pPr>
        <w:pStyle w:val="FERCparanumber"/>
      </w:pPr>
      <w:r>
        <w:t xml:space="preserve">On </w:t>
      </w:r>
      <w:r w:rsidR="00B92624">
        <w:t xml:space="preserve">July 29, 2026, </w:t>
      </w:r>
      <w:r w:rsidR="0078670D" w:rsidRPr="0078670D">
        <w:t>a deficiency letter was issued requesting additional information regarding</w:t>
      </w:r>
      <w:r w:rsidR="0078670D">
        <w:t xml:space="preserve"> DEC’s proposal (Deficiency Letter). </w:t>
      </w:r>
      <w:r w:rsidR="00AE35BF">
        <w:t xml:space="preserve"> On August</w:t>
      </w:r>
      <w:r w:rsidR="007D738F">
        <w:t xml:space="preserve"> 13, 2026, </w:t>
      </w:r>
      <w:r w:rsidR="008953F2">
        <w:t xml:space="preserve">DEC submitted </w:t>
      </w:r>
      <w:r w:rsidR="007772AA">
        <w:t xml:space="preserve">its </w:t>
      </w:r>
      <w:r w:rsidR="00397548">
        <w:t xml:space="preserve">response </w:t>
      </w:r>
      <w:r w:rsidR="004E7032">
        <w:t>to the Deficiency Letter, which amended DEC’s filing (</w:t>
      </w:r>
      <w:r w:rsidR="007772AA">
        <w:t>Deficiency Response</w:t>
      </w:r>
      <w:r w:rsidR="004E7032">
        <w:t>)</w:t>
      </w:r>
      <w:r w:rsidR="007772AA">
        <w:t xml:space="preserve">.  Notice of </w:t>
      </w:r>
      <w:r w:rsidR="00A66DD2">
        <w:t xml:space="preserve">DEC’s Deficiency Response </w:t>
      </w:r>
      <w:r w:rsidR="00F30539" w:rsidRPr="00F30539">
        <w:t xml:space="preserve">was published in the </w:t>
      </w:r>
      <w:r w:rsidR="00F30539" w:rsidRPr="009562E9">
        <w:rPr>
          <w:i/>
          <w:iCs/>
        </w:rPr>
        <w:t>Federal Register</w:t>
      </w:r>
      <w:r w:rsidR="00F30539" w:rsidRPr="00F30539">
        <w:t xml:space="preserve">, </w:t>
      </w:r>
      <w:r w:rsidR="009A00E0">
        <w:t xml:space="preserve">                        </w:t>
      </w:r>
      <w:r w:rsidR="00F30539" w:rsidRPr="00F30539">
        <w:t xml:space="preserve">91 Fed. Reg. </w:t>
      </w:r>
      <w:r w:rsidR="001F2846">
        <w:t>53408</w:t>
      </w:r>
      <w:r w:rsidR="00F30539" w:rsidRPr="00F30539">
        <w:t xml:space="preserve"> (</w:t>
      </w:r>
      <w:r w:rsidR="001F2846">
        <w:t>Aug</w:t>
      </w:r>
      <w:r w:rsidR="00F30539" w:rsidRPr="00F30539">
        <w:t>. 1</w:t>
      </w:r>
      <w:r w:rsidR="001F2846">
        <w:t>8</w:t>
      </w:r>
      <w:r w:rsidR="00F30539" w:rsidRPr="00F30539">
        <w:t>, 2026), with interventions and protests due on or befor</w:t>
      </w:r>
      <w:r w:rsidR="004E0A8B">
        <w:t>e September</w:t>
      </w:r>
      <w:r w:rsidR="00F30539" w:rsidRPr="00F30539">
        <w:t xml:space="preserve"> </w:t>
      </w:r>
      <w:r w:rsidR="00551D1F">
        <w:t>3</w:t>
      </w:r>
      <w:r w:rsidR="00F30539" w:rsidRPr="00F30539">
        <w:t>, 2026.</w:t>
      </w:r>
      <w:r w:rsidR="00282F1C">
        <w:t xml:space="preserve">  </w:t>
      </w:r>
      <w:r w:rsidR="00236591">
        <w:t>None was filed.</w:t>
      </w:r>
      <w:r w:rsidR="0078670D">
        <w:t xml:space="preserve"> </w:t>
      </w:r>
    </w:p>
    <w:p w14:paraId="33BF77EF" w14:textId="77777777" w:rsidR="00704918" w:rsidRDefault="00704918" w:rsidP="006349C4">
      <w:pPr>
        <w:pStyle w:val="Heading1"/>
      </w:pPr>
      <w:r>
        <w:t>Discussion</w:t>
      </w:r>
    </w:p>
    <w:p w14:paraId="5368DFBE" w14:textId="77777777" w:rsidR="00AD44E0" w:rsidRPr="00AD44E0" w:rsidRDefault="00704918" w:rsidP="006349C4">
      <w:pPr>
        <w:pStyle w:val="Heading2"/>
      </w:pPr>
      <w:r>
        <w:t>Procedural Matters</w:t>
      </w:r>
    </w:p>
    <w:p w14:paraId="795C66A5" w14:textId="77777777" w:rsidR="00152170" w:rsidRDefault="00152170" w:rsidP="006349C4">
      <w:pPr>
        <w:pStyle w:val="FERCparanumber"/>
      </w:pPr>
      <w:r>
        <w:t xml:space="preserve">Pursuant to Rule 214 of the Commission’s Rules of Practice and Procedure, </w:t>
      </w:r>
      <w:r w:rsidR="009A00E0">
        <w:t xml:space="preserve">                    </w:t>
      </w:r>
      <w:r>
        <w:t xml:space="preserve">18 C.F.R. § 385.214, the timely, unopposed motions to intervene serve to make the entities that filed them parties to this proceeding. </w:t>
      </w:r>
    </w:p>
    <w:p w14:paraId="68DAB3FC" w14:textId="77777777" w:rsidR="00A4599C" w:rsidRPr="00A4599C" w:rsidRDefault="00DC1ADF" w:rsidP="006349C4">
      <w:pPr>
        <w:pStyle w:val="FERCparanumber"/>
      </w:pPr>
      <w:r w:rsidRPr="00A0788B">
        <w:t xml:space="preserve">Rule 213(a)(2) of the Commission’s Rules of Practice and Procedure, 18 C.F.R. </w:t>
      </w:r>
      <w:r w:rsidR="009A00E0">
        <w:t xml:space="preserve">               </w:t>
      </w:r>
      <w:r w:rsidRPr="00A0788B">
        <w:t xml:space="preserve">§ 385.213(a)(2), prohibits an answer to a protest unless otherwise ordered by the decisional authority. </w:t>
      </w:r>
      <w:r>
        <w:t xml:space="preserve"> </w:t>
      </w:r>
      <w:r w:rsidRPr="00A0788B">
        <w:t xml:space="preserve">We accept </w:t>
      </w:r>
      <w:r>
        <w:t xml:space="preserve">DEC’s </w:t>
      </w:r>
      <w:r w:rsidRPr="00A0788B">
        <w:t xml:space="preserve">answer because it has provided information that </w:t>
      </w:r>
      <w:proofErr w:type="gramStart"/>
      <w:r w:rsidRPr="00A0788B">
        <w:t>assisted</w:t>
      </w:r>
      <w:proofErr w:type="gramEnd"/>
      <w:r w:rsidRPr="00A0788B">
        <w:t xml:space="preserve"> us in our decision-making process.</w:t>
      </w:r>
    </w:p>
    <w:p w14:paraId="2937C80E" w14:textId="77777777" w:rsidR="00704918" w:rsidRDefault="00704918" w:rsidP="006349C4">
      <w:pPr>
        <w:pStyle w:val="Heading2"/>
      </w:pPr>
      <w:r>
        <w:lastRenderedPageBreak/>
        <w:t>Substantive Matters</w:t>
      </w:r>
    </w:p>
    <w:p w14:paraId="5C027E14" w14:textId="77777777" w:rsidR="00F22299" w:rsidRPr="00F22299" w:rsidRDefault="00E86D84" w:rsidP="00442780">
      <w:pPr>
        <w:pStyle w:val="FERCparanumber"/>
      </w:pPr>
      <w:r w:rsidRPr="00E86D84">
        <w:t xml:space="preserve">We accept </w:t>
      </w:r>
      <w:r w:rsidR="00330A9A">
        <w:t xml:space="preserve">DEC’s </w:t>
      </w:r>
      <w:r w:rsidR="000812B3">
        <w:t xml:space="preserve">proposed </w:t>
      </w:r>
      <w:r w:rsidR="00CC275B">
        <w:t xml:space="preserve">revisions </w:t>
      </w:r>
      <w:r w:rsidR="000812B3">
        <w:t xml:space="preserve">to </w:t>
      </w:r>
      <w:r w:rsidR="000335AD">
        <w:t xml:space="preserve">its </w:t>
      </w:r>
      <w:r w:rsidRPr="00006150">
        <w:rPr>
          <w:i/>
        </w:rPr>
        <w:t>pro forma</w:t>
      </w:r>
      <w:r>
        <w:t xml:space="preserve"> NITSA</w:t>
      </w:r>
      <w:r w:rsidR="000812B3">
        <w:t>,</w:t>
      </w:r>
      <w:r>
        <w:t xml:space="preserve"> </w:t>
      </w:r>
      <w:r w:rsidR="004E6536" w:rsidRPr="004E6536">
        <w:t>effective</w:t>
      </w:r>
      <w:r w:rsidR="004E6536">
        <w:t xml:space="preserve"> August </w:t>
      </w:r>
      <w:r w:rsidR="004E6536" w:rsidRPr="004E6536">
        <w:t>1, 2026, as requested</w:t>
      </w:r>
      <w:r w:rsidR="004E6536">
        <w:t xml:space="preserve">. </w:t>
      </w:r>
      <w:r w:rsidR="00904FE3">
        <w:t xml:space="preserve"> </w:t>
      </w:r>
      <w:r w:rsidR="00055A30" w:rsidRPr="00055A30">
        <w:t xml:space="preserve">We find that the </w:t>
      </w:r>
      <w:r w:rsidR="0002532D">
        <w:t xml:space="preserve">revisions to </w:t>
      </w:r>
      <w:r w:rsidR="00A97919">
        <w:t xml:space="preserve">DEC’s </w:t>
      </w:r>
      <w:r w:rsidR="0002532D">
        <w:rPr>
          <w:i/>
          <w:iCs/>
        </w:rPr>
        <w:t xml:space="preserve">pro forma </w:t>
      </w:r>
      <w:r w:rsidR="00055A30" w:rsidRPr="00055A30">
        <w:t xml:space="preserve">NITSA </w:t>
      </w:r>
      <w:r w:rsidR="00904FE3">
        <w:t>are</w:t>
      </w:r>
      <w:r w:rsidR="00055A30" w:rsidRPr="00055A30">
        <w:t xml:space="preserve"> just and reasonable and not unduly discriminatory or </w:t>
      </w:r>
      <w:r w:rsidR="00055A30" w:rsidRPr="00006150">
        <w:t>preferential</w:t>
      </w:r>
      <w:r w:rsidR="00F22299" w:rsidRPr="00F22299">
        <w:t xml:space="preserve">, as discussed below.  </w:t>
      </w:r>
    </w:p>
    <w:p w14:paraId="66AB998F" w14:textId="77777777" w:rsidR="00700D60" w:rsidRDefault="00700D60" w:rsidP="00F9574E">
      <w:pPr>
        <w:pStyle w:val="Heading3"/>
      </w:pPr>
      <w:r>
        <w:t>Network Load Provisions</w:t>
      </w:r>
    </w:p>
    <w:p w14:paraId="602EEA0D" w14:textId="77777777" w:rsidR="00BC5F96" w:rsidRPr="0039099C" w:rsidRDefault="00700D60" w:rsidP="0065604C">
      <w:pPr>
        <w:pStyle w:val="Heading4"/>
      </w:pPr>
      <w:r>
        <w:t>Filing</w:t>
      </w:r>
    </w:p>
    <w:p w14:paraId="02D5CC2B" w14:textId="77777777" w:rsidR="00816707" w:rsidRPr="00684601" w:rsidRDefault="00CF3175" w:rsidP="00816707">
      <w:pPr>
        <w:pStyle w:val="FERCparanumber"/>
        <w:rPr>
          <w:szCs w:val="26"/>
        </w:rPr>
      </w:pPr>
      <w:r w:rsidRPr="008038E7">
        <w:t>DEC</w:t>
      </w:r>
      <w:r w:rsidRPr="00CF3175">
        <w:t xml:space="preserve"> proposes language in section </w:t>
      </w:r>
      <w:r w:rsidR="00CE03AC">
        <w:t>4 of Attachment A and</w:t>
      </w:r>
      <w:r w:rsidRPr="00CF3175">
        <w:t xml:space="preserve"> section I.1 of </w:t>
      </w:r>
      <w:r w:rsidR="00852F49">
        <w:t>new</w:t>
      </w:r>
      <w:r w:rsidRPr="00CF3175">
        <w:t xml:space="preserve"> Attachment F to </w:t>
      </w:r>
      <w:r w:rsidR="000D3539">
        <w:t>its</w:t>
      </w:r>
      <w:r w:rsidR="000D3539" w:rsidRPr="00CF3175">
        <w:t xml:space="preserve"> </w:t>
      </w:r>
      <w:r w:rsidRPr="00CF3175">
        <w:rPr>
          <w:i/>
        </w:rPr>
        <w:t>pro forma</w:t>
      </w:r>
      <w:r w:rsidRPr="00CF3175">
        <w:t xml:space="preserve"> NITSA that </w:t>
      </w:r>
      <w:r w:rsidR="00367011">
        <w:t xml:space="preserve">would </w:t>
      </w:r>
      <w:r w:rsidR="00367011" w:rsidRPr="00CF3175">
        <w:t>appl</w:t>
      </w:r>
      <w:r w:rsidR="00367011">
        <w:t>y</w:t>
      </w:r>
      <w:r w:rsidR="00367011" w:rsidRPr="00CF3175">
        <w:t xml:space="preserve"> </w:t>
      </w:r>
      <w:r w:rsidRPr="00CF3175">
        <w:t>to all requests for a change in service to add new Network Load or transfer existing Network Load from one delivery point to another</w:t>
      </w:r>
      <w:r w:rsidR="00F2515A">
        <w:t>.</w:t>
      </w:r>
      <w:r w:rsidR="00690D0C">
        <w:rPr>
          <w:rStyle w:val="FootnoteReference"/>
        </w:rPr>
        <w:footnoteReference w:id="11"/>
      </w:r>
      <w:r w:rsidR="00F2515A">
        <w:t xml:space="preserve">  </w:t>
      </w:r>
      <w:r w:rsidR="00A92301">
        <w:t>Section I.1</w:t>
      </w:r>
      <w:r w:rsidR="00A92301" w:rsidRPr="00F9574E">
        <w:t xml:space="preserve"> </w:t>
      </w:r>
      <w:r w:rsidR="00367011">
        <w:t xml:space="preserve">of proposed new Attachment F would </w:t>
      </w:r>
      <w:r w:rsidR="00A92301" w:rsidRPr="00F9574E">
        <w:t xml:space="preserve">prohibit </w:t>
      </w:r>
      <w:r w:rsidR="00BE1A67">
        <w:t xml:space="preserve">a </w:t>
      </w:r>
      <w:r w:rsidR="00A92301" w:rsidRPr="00F9574E">
        <w:t xml:space="preserve">transmission customer from seeking to increase or decrease the MW value of Network Load, unless and until that customer follows the study procedures in sections 32.1-32.4 of </w:t>
      </w:r>
      <w:r w:rsidR="00A92301">
        <w:t xml:space="preserve">the </w:t>
      </w:r>
      <w:r w:rsidR="00A92301" w:rsidRPr="00F9574E">
        <w:t>Joint OATT.</w:t>
      </w:r>
      <w:r w:rsidR="00A92301" w:rsidRPr="00972AD0">
        <w:rPr>
          <w:rStyle w:val="FootnoteReference"/>
        </w:rPr>
        <w:footnoteReference w:id="12"/>
      </w:r>
      <w:r w:rsidR="00A92301">
        <w:t xml:space="preserve">  To that end, DEC proposes language in sections 6.2 and 6.3 of Attachment A specifying that requests for changes in service under a NITSA m</w:t>
      </w:r>
      <w:r w:rsidR="00D066F5">
        <w:t>a</w:t>
      </w:r>
      <w:r w:rsidR="00A92301">
        <w:t>y require a System Impact Study and/or Facilities Study.</w:t>
      </w:r>
      <w:r w:rsidR="00A92301">
        <w:rPr>
          <w:rStyle w:val="FootnoteReference"/>
        </w:rPr>
        <w:footnoteReference w:id="13"/>
      </w:r>
      <w:r w:rsidR="00A92301">
        <w:t xml:space="preserve">  </w:t>
      </w:r>
      <w:r w:rsidR="00F6291A">
        <w:t>In addition</w:t>
      </w:r>
      <w:r w:rsidR="004857BB">
        <w:t xml:space="preserve">, </w:t>
      </w:r>
      <w:r w:rsidR="00694A8E">
        <w:t xml:space="preserve">proposed </w:t>
      </w:r>
      <w:r w:rsidR="004857BB">
        <w:rPr>
          <w:rFonts w:eastAsia="Times New Roman"/>
          <w:szCs w:val="26"/>
        </w:rPr>
        <w:t>n</w:t>
      </w:r>
      <w:r w:rsidR="00816707">
        <w:rPr>
          <w:rFonts w:eastAsia="Times New Roman"/>
          <w:szCs w:val="26"/>
        </w:rPr>
        <w:t xml:space="preserve">ew </w:t>
      </w:r>
      <w:r w:rsidR="00EB461F">
        <w:rPr>
          <w:rFonts w:eastAsia="Times New Roman"/>
          <w:szCs w:val="26"/>
        </w:rPr>
        <w:t xml:space="preserve">                       </w:t>
      </w:r>
      <w:r w:rsidR="00816707">
        <w:rPr>
          <w:rFonts w:eastAsia="Times New Roman"/>
          <w:szCs w:val="26"/>
        </w:rPr>
        <w:t>subsection 4.4</w:t>
      </w:r>
      <w:r w:rsidR="00816707" w:rsidRPr="008038E7">
        <w:rPr>
          <w:rFonts w:eastAsia="Times New Roman"/>
          <w:szCs w:val="26"/>
        </w:rPr>
        <w:t xml:space="preserve"> </w:t>
      </w:r>
      <w:r w:rsidR="00816707">
        <w:rPr>
          <w:rFonts w:eastAsia="Times New Roman"/>
          <w:szCs w:val="26"/>
        </w:rPr>
        <w:t xml:space="preserve">of Attachment </w:t>
      </w:r>
      <w:r w:rsidR="00086E0C">
        <w:rPr>
          <w:rFonts w:eastAsia="Times New Roman"/>
          <w:szCs w:val="26"/>
        </w:rPr>
        <w:t>A</w:t>
      </w:r>
      <w:r w:rsidR="00816707">
        <w:rPr>
          <w:rFonts w:eastAsia="Times New Roman"/>
          <w:szCs w:val="26"/>
        </w:rPr>
        <w:t xml:space="preserve"> </w:t>
      </w:r>
      <w:r w:rsidR="00673D2F">
        <w:rPr>
          <w:rFonts w:eastAsia="Times New Roman"/>
          <w:szCs w:val="26"/>
        </w:rPr>
        <w:t>and</w:t>
      </w:r>
      <w:r w:rsidR="00816707">
        <w:rPr>
          <w:rFonts w:eastAsia="Times New Roman"/>
          <w:szCs w:val="26"/>
        </w:rPr>
        <w:t xml:space="preserve"> new Attachment F </w:t>
      </w:r>
      <w:r w:rsidR="004D28EC">
        <w:rPr>
          <w:rFonts w:eastAsia="Times New Roman"/>
          <w:szCs w:val="26"/>
        </w:rPr>
        <w:t xml:space="preserve">would require </w:t>
      </w:r>
      <w:r w:rsidR="00D83784">
        <w:rPr>
          <w:rFonts w:eastAsia="Times New Roman"/>
          <w:szCs w:val="26"/>
        </w:rPr>
        <w:t xml:space="preserve">a network customer to </w:t>
      </w:r>
      <w:r w:rsidR="00346E30" w:rsidRPr="00346E30">
        <w:rPr>
          <w:rFonts w:eastAsia="Times New Roman"/>
          <w:szCs w:val="26"/>
        </w:rPr>
        <w:t xml:space="preserve">submit a change in service request </w:t>
      </w:r>
      <w:r w:rsidR="002121B3">
        <w:rPr>
          <w:rFonts w:eastAsia="Times New Roman"/>
          <w:szCs w:val="26"/>
        </w:rPr>
        <w:t>any time it seeks</w:t>
      </w:r>
      <w:r w:rsidR="00816707">
        <w:rPr>
          <w:rFonts w:eastAsia="Times New Roman"/>
          <w:szCs w:val="26"/>
        </w:rPr>
        <w:t>:  (1) new Network Load at a new or existing delivery point or points; or (2) transfer of existing Network Load from an existing delivery point to an existing or new delivery point.</w:t>
      </w:r>
      <w:r w:rsidR="00816707">
        <w:rPr>
          <w:rStyle w:val="FootnoteReference"/>
          <w:rFonts w:eastAsia="Times New Roman"/>
          <w:szCs w:val="26"/>
        </w:rPr>
        <w:footnoteReference w:id="14"/>
      </w:r>
      <w:r w:rsidR="00816707">
        <w:rPr>
          <w:rFonts w:eastAsia="Times New Roman"/>
          <w:szCs w:val="26"/>
        </w:rPr>
        <w:t xml:space="preserve">  </w:t>
      </w:r>
      <w:r w:rsidR="0002709C">
        <w:t>Specifically</w:t>
      </w:r>
      <w:r w:rsidR="00B93D99">
        <w:rPr>
          <w:rFonts w:eastAsia="Times New Roman"/>
          <w:szCs w:val="26"/>
        </w:rPr>
        <w:t xml:space="preserve">, </w:t>
      </w:r>
      <w:r w:rsidR="00137227">
        <w:rPr>
          <w:rFonts w:eastAsia="Times New Roman"/>
          <w:szCs w:val="26"/>
        </w:rPr>
        <w:t xml:space="preserve">DEC proposes that </w:t>
      </w:r>
      <w:r w:rsidR="00B93D99">
        <w:rPr>
          <w:rFonts w:eastAsia="Times New Roman"/>
          <w:szCs w:val="26"/>
        </w:rPr>
        <w:t>t</w:t>
      </w:r>
      <w:r w:rsidR="00816707" w:rsidRPr="00F9574E">
        <w:t xml:space="preserve">he </w:t>
      </w:r>
      <w:r w:rsidR="00816707">
        <w:t xml:space="preserve">transmission </w:t>
      </w:r>
      <w:r w:rsidR="00816707" w:rsidRPr="00F9574E">
        <w:t>customer must specify</w:t>
      </w:r>
      <w:r w:rsidR="00816707">
        <w:t>:  (1)</w:t>
      </w:r>
      <w:r w:rsidR="00816707" w:rsidRPr="00F9574E">
        <w:t xml:space="preserve"> the amount of MWs</w:t>
      </w:r>
      <w:r w:rsidR="00816707">
        <w:t>; (2)</w:t>
      </w:r>
      <w:r w:rsidR="00816707" w:rsidRPr="00F9574E">
        <w:t xml:space="preserve"> the type of service requested</w:t>
      </w:r>
      <w:r w:rsidR="00816707">
        <w:t>; (3)</w:t>
      </w:r>
      <w:r w:rsidR="00816707" w:rsidRPr="00F9574E">
        <w:t xml:space="preserve"> the desired in-service date</w:t>
      </w:r>
      <w:r w:rsidR="00137227">
        <w:t>;</w:t>
      </w:r>
      <w:r w:rsidR="00137227" w:rsidRPr="00F9574E">
        <w:t xml:space="preserve"> </w:t>
      </w:r>
      <w:r w:rsidR="00816707" w:rsidRPr="00F9574E">
        <w:t>and</w:t>
      </w:r>
      <w:r w:rsidR="00816707">
        <w:t xml:space="preserve"> (4)</w:t>
      </w:r>
      <w:r w:rsidR="00816707" w:rsidRPr="00F9574E">
        <w:t xml:space="preserve"> a load schedule detailing the timing and amount of load to be connected</w:t>
      </w:r>
      <w:r w:rsidR="00816707">
        <w:t>.</w:t>
      </w:r>
      <w:r w:rsidR="00816707">
        <w:rPr>
          <w:rStyle w:val="FootnoteReference"/>
        </w:rPr>
        <w:footnoteReference w:id="15"/>
      </w:r>
      <w:r w:rsidR="00816707">
        <w:t xml:space="preserve">  </w:t>
      </w:r>
      <w:r w:rsidR="00816707" w:rsidRPr="006A688C">
        <w:rPr>
          <w:szCs w:val="26"/>
        </w:rPr>
        <w:t>DEC argues that these proposed revisions align with sections 29.2, 31.1</w:t>
      </w:r>
      <w:r w:rsidR="002D0A03">
        <w:rPr>
          <w:szCs w:val="26"/>
        </w:rPr>
        <w:t>,</w:t>
      </w:r>
      <w:r w:rsidR="00816707" w:rsidRPr="006A688C">
        <w:rPr>
          <w:szCs w:val="26"/>
        </w:rPr>
        <w:t xml:space="preserve"> and 31.2 of the Joint OATT, which DEC states mirrors the Commission’s </w:t>
      </w:r>
      <w:r w:rsidR="00816707" w:rsidRPr="006A688C">
        <w:rPr>
          <w:i/>
          <w:szCs w:val="26"/>
        </w:rPr>
        <w:t xml:space="preserve">pro forma </w:t>
      </w:r>
      <w:r w:rsidR="00816707" w:rsidRPr="006A688C">
        <w:rPr>
          <w:szCs w:val="26"/>
        </w:rPr>
        <w:t xml:space="preserve">OATT and are necessary for DEC to properly </w:t>
      </w:r>
      <w:r w:rsidR="00816707">
        <w:rPr>
          <w:szCs w:val="26"/>
        </w:rPr>
        <w:t xml:space="preserve">designate, </w:t>
      </w:r>
      <w:r w:rsidR="00816707" w:rsidRPr="006A688C">
        <w:rPr>
          <w:szCs w:val="26"/>
        </w:rPr>
        <w:t>study</w:t>
      </w:r>
      <w:r w:rsidR="00BF53D3">
        <w:rPr>
          <w:szCs w:val="26"/>
        </w:rPr>
        <w:t>,</w:t>
      </w:r>
      <w:r w:rsidR="00816707" w:rsidRPr="006A688C">
        <w:rPr>
          <w:szCs w:val="26"/>
        </w:rPr>
        <w:t xml:space="preserve"> and serve new load.</w:t>
      </w:r>
      <w:r w:rsidR="00816707" w:rsidRPr="006A688C">
        <w:rPr>
          <w:b/>
          <w:szCs w:val="26"/>
          <w:vertAlign w:val="superscript"/>
        </w:rPr>
        <w:footnoteReference w:id="16"/>
      </w:r>
      <w:r w:rsidR="00816707">
        <w:rPr>
          <w:szCs w:val="26"/>
        </w:rPr>
        <w:t xml:space="preserve">  </w:t>
      </w:r>
      <w:r w:rsidR="00816707">
        <w:t xml:space="preserve">  </w:t>
      </w:r>
    </w:p>
    <w:p w14:paraId="5F06401F" w14:textId="77777777" w:rsidR="00F335C0" w:rsidRPr="00816707" w:rsidRDefault="00816707" w:rsidP="00816707">
      <w:pPr>
        <w:pStyle w:val="FERCparanumber"/>
        <w:rPr>
          <w:szCs w:val="26"/>
        </w:rPr>
      </w:pPr>
      <w:r>
        <w:lastRenderedPageBreak/>
        <w:t>D</w:t>
      </w:r>
      <w:r w:rsidRPr="00684601">
        <w:rPr>
          <w:szCs w:val="26"/>
        </w:rPr>
        <w:t xml:space="preserve">EC contends that the </w:t>
      </w:r>
      <w:r w:rsidR="00D96017">
        <w:rPr>
          <w:szCs w:val="26"/>
        </w:rPr>
        <w:t xml:space="preserve">proposed </w:t>
      </w:r>
      <w:r w:rsidRPr="00684601">
        <w:rPr>
          <w:szCs w:val="26"/>
        </w:rPr>
        <w:t>restriction on increasing</w:t>
      </w:r>
      <w:r>
        <w:rPr>
          <w:szCs w:val="26"/>
        </w:rPr>
        <w:t xml:space="preserve"> or decreasing</w:t>
      </w:r>
      <w:r w:rsidRPr="00684601">
        <w:rPr>
          <w:szCs w:val="26"/>
        </w:rPr>
        <w:t xml:space="preserve"> a Network Load’s MW size under section I.1 of </w:t>
      </w:r>
      <w:r w:rsidR="00A879FB">
        <w:rPr>
          <w:szCs w:val="26"/>
        </w:rPr>
        <w:t xml:space="preserve">new </w:t>
      </w:r>
      <w:r w:rsidRPr="00684601">
        <w:rPr>
          <w:szCs w:val="26"/>
        </w:rPr>
        <w:t xml:space="preserve">Attachment F </w:t>
      </w:r>
      <w:r w:rsidR="00543802">
        <w:rPr>
          <w:szCs w:val="26"/>
        </w:rPr>
        <w:t>is</w:t>
      </w:r>
      <w:r w:rsidRPr="00684601">
        <w:rPr>
          <w:szCs w:val="26"/>
        </w:rPr>
        <w:t xml:space="preserve"> necessary to ensure that the Network Upgrades constructed to serve the Network Load are appropriately sized to meet the Network Load’s needs.</w:t>
      </w:r>
      <w:r>
        <w:rPr>
          <w:rStyle w:val="FootnoteReference"/>
          <w:szCs w:val="26"/>
        </w:rPr>
        <w:footnoteReference w:id="17"/>
      </w:r>
      <w:r w:rsidRPr="00684601">
        <w:rPr>
          <w:szCs w:val="26"/>
        </w:rPr>
        <w:t xml:space="preserve">  DEC explains that</w:t>
      </w:r>
      <w:r>
        <w:rPr>
          <w:szCs w:val="26"/>
        </w:rPr>
        <w:t>, on the one hand,</w:t>
      </w:r>
      <w:r w:rsidRPr="00684601">
        <w:rPr>
          <w:szCs w:val="26"/>
        </w:rPr>
        <w:t xml:space="preserve"> allowing late additions </w:t>
      </w:r>
      <w:r>
        <w:rPr>
          <w:szCs w:val="26"/>
        </w:rPr>
        <w:t>of</w:t>
      </w:r>
      <w:r w:rsidRPr="00684601">
        <w:rPr>
          <w:szCs w:val="26"/>
        </w:rPr>
        <w:t xml:space="preserve"> MWs could cause operational risks because the Network Upgrades that were constructed may be insufficient to reliably provide the additional service</w:t>
      </w:r>
      <w:r>
        <w:rPr>
          <w:szCs w:val="26"/>
        </w:rPr>
        <w:t xml:space="preserve">.  On the other hand, DEC states </w:t>
      </w:r>
      <w:r w:rsidRPr="00F9574E">
        <w:t>that</w:t>
      </w:r>
      <w:r>
        <w:t xml:space="preserve"> preventing Network Customers from decreasing MWs </w:t>
      </w:r>
      <w:r w:rsidRPr="00F9574E">
        <w:t xml:space="preserve">ensures that the transmission system is </w:t>
      </w:r>
      <w:r>
        <w:t>not overbuilt, thus preventing undue cost shifts to other transmission customers</w:t>
      </w:r>
      <w:r w:rsidRPr="00F9574E">
        <w:t>.</w:t>
      </w:r>
    </w:p>
    <w:p w14:paraId="0DD6CF71" w14:textId="77777777" w:rsidR="008038E7" w:rsidRDefault="004656B7" w:rsidP="008038E7">
      <w:pPr>
        <w:pStyle w:val="FERCparanumber"/>
        <w:rPr>
          <w:szCs w:val="26"/>
        </w:rPr>
      </w:pPr>
      <w:r>
        <w:t>In Attachment A</w:t>
      </w:r>
      <w:r w:rsidR="00627DF1">
        <w:t xml:space="preserve"> to its </w:t>
      </w:r>
      <w:r w:rsidR="00627DF1">
        <w:rPr>
          <w:i/>
          <w:iCs/>
        </w:rPr>
        <w:t xml:space="preserve">pro forma </w:t>
      </w:r>
      <w:r w:rsidR="00627DF1">
        <w:t>NITSA</w:t>
      </w:r>
      <w:r>
        <w:t xml:space="preserve">, </w:t>
      </w:r>
      <w:r>
        <w:rPr>
          <w:szCs w:val="26"/>
        </w:rPr>
        <w:t>DEC</w:t>
      </w:r>
      <w:r w:rsidRPr="00F2515A">
        <w:rPr>
          <w:szCs w:val="26"/>
        </w:rPr>
        <w:t xml:space="preserve"> </w:t>
      </w:r>
      <w:r w:rsidR="00627DF1">
        <w:rPr>
          <w:szCs w:val="26"/>
        </w:rPr>
        <w:t xml:space="preserve">proposed to </w:t>
      </w:r>
      <w:r w:rsidRPr="00F2515A">
        <w:rPr>
          <w:szCs w:val="26"/>
        </w:rPr>
        <w:t xml:space="preserve">add language </w:t>
      </w:r>
      <w:r>
        <w:rPr>
          <w:szCs w:val="26"/>
        </w:rPr>
        <w:t>in new subsection 4.1 stating</w:t>
      </w:r>
      <w:r w:rsidRPr="00F2515A">
        <w:rPr>
          <w:szCs w:val="26"/>
        </w:rPr>
        <w:t xml:space="preserve"> </w:t>
      </w:r>
      <w:r w:rsidRPr="004656B7">
        <w:t>that network customers’ load growth will not be treated as “Designation of Network Load” under Sections 31.2 and 31.3 of the Joint OATT and that a Network Customer’s estimated load growth will continue to be reflected in DEC’s annual update of forecasted Network Load under section 31.6 of the Joint OATT.</w:t>
      </w:r>
      <w:r>
        <w:rPr>
          <w:rStyle w:val="FootnoteReference"/>
        </w:rPr>
        <w:footnoteReference w:id="18"/>
      </w:r>
      <w:r w:rsidRPr="004656B7">
        <w:t xml:space="preserve">  DEC states that this addition is necessary to delineate between load growth that is considered Designation of Network Load and</w:t>
      </w:r>
      <w:r w:rsidR="00AF5B27">
        <w:t xml:space="preserve"> load growth</w:t>
      </w:r>
      <w:r w:rsidR="00DD47E9">
        <w:t xml:space="preserve"> </w:t>
      </w:r>
      <w:r w:rsidRPr="004656B7">
        <w:t>that is not</w:t>
      </w:r>
      <w:r w:rsidR="00913405">
        <w:t>,</w:t>
      </w:r>
      <w:r w:rsidR="00CB496F">
        <w:t xml:space="preserve"> consistent with the Joint OATT</w:t>
      </w:r>
      <w:r>
        <w:t>.</w:t>
      </w:r>
      <w:r w:rsidR="008038E7">
        <w:t xml:space="preserve">  </w:t>
      </w:r>
      <w:r w:rsidR="00B72DD3">
        <w:rPr>
          <w:szCs w:val="26"/>
        </w:rPr>
        <w:t>New subsection 4.2</w:t>
      </w:r>
      <w:r w:rsidR="00183415" w:rsidRPr="00F2515A">
        <w:rPr>
          <w:bCs/>
          <w:szCs w:val="26"/>
        </w:rPr>
        <w:t xml:space="preserve"> provides that the transmission customer</w:t>
      </w:r>
      <w:r w:rsidR="00B72DD3">
        <w:rPr>
          <w:bCs/>
          <w:szCs w:val="26"/>
        </w:rPr>
        <w:t>’s</w:t>
      </w:r>
      <w:r w:rsidR="00183415" w:rsidRPr="00F2515A">
        <w:rPr>
          <w:bCs/>
          <w:szCs w:val="26"/>
        </w:rPr>
        <w:t xml:space="preserve"> behind-the-meter generation shall be included in the calculation of transmission customer’s network load, regardless of whether the load is served at retail or wholesale.  </w:t>
      </w:r>
      <w:r w:rsidR="00183415" w:rsidRPr="00795BFA">
        <w:rPr>
          <w:bCs/>
          <w:szCs w:val="26"/>
        </w:rPr>
        <w:t xml:space="preserve">DEC argues that this addition is supported by </w:t>
      </w:r>
      <w:r w:rsidR="00183415" w:rsidRPr="00F2515A">
        <w:rPr>
          <w:szCs w:val="26"/>
        </w:rPr>
        <w:t>Commission policy and Order No. 888.</w:t>
      </w:r>
      <w:r w:rsidR="00183415" w:rsidRPr="005B4F9B">
        <w:rPr>
          <w:rStyle w:val="FootnoteReference"/>
          <w:szCs w:val="26"/>
        </w:rPr>
        <w:footnoteReference w:id="19"/>
      </w:r>
      <w:r w:rsidR="00183415" w:rsidRPr="00F2515A">
        <w:rPr>
          <w:szCs w:val="26"/>
        </w:rPr>
        <w:t xml:space="preserve">  </w:t>
      </w:r>
    </w:p>
    <w:p w14:paraId="04E0D4EE" w14:textId="77777777" w:rsidR="00700D60" w:rsidRDefault="00E94DB6" w:rsidP="00853DCC">
      <w:pPr>
        <w:pStyle w:val="Heading4"/>
      </w:pPr>
      <w:r>
        <w:lastRenderedPageBreak/>
        <w:t xml:space="preserve">Deficiency Letter and </w:t>
      </w:r>
      <w:r w:rsidR="00700D60">
        <w:t>Deficiency Response</w:t>
      </w:r>
    </w:p>
    <w:p w14:paraId="40556EC0" w14:textId="77777777" w:rsidR="00700D60" w:rsidRDefault="00700D60" w:rsidP="00853DCC">
      <w:pPr>
        <w:pStyle w:val="FERCparanumber"/>
      </w:pPr>
      <w:r w:rsidRPr="00C5030F">
        <w:t xml:space="preserve">The Deficiency Letter asked DEC to explain whether the methodology, scope, or assumptions of the System Impact Study or Facilities Study will vary based on the MW size or other characteristics of the requested Network Load, including for requests of </w:t>
      </w:r>
      <w:r w:rsidR="00EB461F">
        <w:t xml:space="preserve">            </w:t>
      </w:r>
      <w:r w:rsidRPr="00C5030F">
        <w:t>100 MW or greater.</w:t>
      </w:r>
      <w:r w:rsidRPr="00A41E55">
        <w:rPr>
          <w:rStyle w:val="FootnoteReference"/>
        </w:rPr>
        <w:footnoteReference w:id="20"/>
      </w:r>
      <w:r w:rsidRPr="00C5030F">
        <w:t xml:space="preserve">  In response, DEC asserts that it uses the same methodology for </w:t>
      </w:r>
      <w:r w:rsidR="00573028">
        <w:t xml:space="preserve">the </w:t>
      </w:r>
      <w:r w:rsidRPr="00C5030F">
        <w:t xml:space="preserve">system impact and facilities studies </w:t>
      </w:r>
      <w:r w:rsidR="002261C2">
        <w:t xml:space="preserve">that </w:t>
      </w:r>
      <w:r w:rsidRPr="00C5030F">
        <w:t xml:space="preserve">it performs regardless of the </w:t>
      </w:r>
      <w:r w:rsidR="002F7072">
        <w:t xml:space="preserve">requested </w:t>
      </w:r>
      <w:r w:rsidRPr="00C5030F">
        <w:t xml:space="preserve">MW amount, but </w:t>
      </w:r>
      <w:r w:rsidR="00205CE2">
        <w:t xml:space="preserve">notes </w:t>
      </w:r>
      <w:r w:rsidRPr="00C5030F">
        <w:t>that the characteristics of each NITS request drive individualized scope and assumptions for the studies.</w:t>
      </w:r>
      <w:r w:rsidR="0036618F">
        <w:rPr>
          <w:rStyle w:val="FootnoteReference"/>
        </w:rPr>
        <w:footnoteReference w:id="21"/>
      </w:r>
      <w:r w:rsidRPr="00C5030F">
        <w:t xml:space="preserve">  DEC explains that for the scope of the study, it establishes assumptions based on information </w:t>
      </w:r>
      <w:r w:rsidR="009C5C49">
        <w:t>in</w:t>
      </w:r>
      <w:r w:rsidRPr="00C5030F">
        <w:t xml:space="preserve"> the NITS request, including the type, size, location, and operating characteristics of the load.  For example, DEC states that it performed system impact and facilities studies on a 945 MW NITS request for new Network Load to be served in York, South Carolina</w:t>
      </w:r>
      <w:r w:rsidR="00BE1700">
        <w:t xml:space="preserve"> (Project Cobra)</w:t>
      </w:r>
      <w:r w:rsidRPr="00C5030F">
        <w:t xml:space="preserve">, as well as additional NERC-compliant stability and power quality studies given the load’s size. </w:t>
      </w:r>
      <w:r w:rsidR="009E66A9">
        <w:t xml:space="preserve"> </w:t>
      </w:r>
      <w:r w:rsidR="00FF58FB">
        <w:t xml:space="preserve">DEC adds that </w:t>
      </w:r>
      <w:r w:rsidR="00A65826">
        <w:t>the</w:t>
      </w:r>
      <w:r w:rsidR="00BE1700">
        <w:t xml:space="preserve"> Commission issued an order accepting </w:t>
      </w:r>
      <w:r w:rsidR="003D6A0C">
        <w:t>the</w:t>
      </w:r>
      <w:r w:rsidR="00DE5793">
        <w:t xml:space="preserve"> study agreement for Project Cobra.</w:t>
      </w:r>
      <w:r w:rsidR="00DE5793">
        <w:rPr>
          <w:rStyle w:val="FootnoteReference"/>
        </w:rPr>
        <w:footnoteReference w:id="22"/>
      </w:r>
      <w:r w:rsidR="00A65826">
        <w:t xml:space="preserve"> </w:t>
      </w:r>
      <w:r w:rsidRPr="00C5030F">
        <w:t xml:space="preserve"> </w:t>
      </w:r>
    </w:p>
    <w:p w14:paraId="28868FBF" w14:textId="77777777" w:rsidR="00A6117D" w:rsidRDefault="00900697" w:rsidP="00125680">
      <w:pPr>
        <w:pStyle w:val="FERCparanumber"/>
      </w:pPr>
      <w:r>
        <w:t xml:space="preserve">The </w:t>
      </w:r>
      <w:r w:rsidR="00700D60" w:rsidRPr="00314CDC">
        <w:t xml:space="preserve">Deficiency Letter </w:t>
      </w:r>
      <w:r>
        <w:t>also</w:t>
      </w:r>
      <w:r w:rsidR="00700D60" w:rsidRPr="00314CDC">
        <w:t xml:space="preserve"> asked whether it is appropriate to apply </w:t>
      </w:r>
      <w:r>
        <w:t xml:space="preserve">the </w:t>
      </w:r>
      <w:r w:rsidR="00BA1A83">
        <w:t xml:space="preserve">proposed </w:t>
      </w:r>
      <w:r w:rsidR="00FF6530">
        <w:t>N</w:t>
      </w:r>
      <w:r>
        <w:t xml:space="preserve">etwork </w:t>
      </w:r>
      <w:r w:rsidR="00FF6530">
        <w:t>L</w:t>
      </w:r>
      <w:r>
        <w:t xml:space="preserve">oad rules in </w:t>
      </w:r>
      <w:r w:rsidR="00FF6530">
        <w:t xml:space="preserve">section 4 of </w:t>
      </w:r>
      <w:r>
        <w:t>Attachment A and section I.1 of Attachment</w:t>
      </w:r>
      <w:r w:rsidR="00B57DF6">
        <w:t xml:space="preserve"> F </w:t>
      </w:r>
      <w:r w:rsidR="00BA1A83">
        <w:t xml:space="preserve">of DEC’s </w:t>
      </w:r>
      <w:r w:rsidR="00BA1A83">
        <w:rPr>
          <w:i/>
          <w:iCs/>
        </w:rPr>
        <w:t xml:space="preserve">pro forma </w:t>
      </w:r>
      <w:r w:rsidR="00BA1A83">
        <w:t xml:space="preserve">NITSA </w:t>
      </w:r>
      <w:r w:rsidR="00700D60" w:rsidRPr="00314CDC">
        <w:t xml:space="preserve">to all NITS requests, regardless of the size of the Network Load, as opposed to applying section I.1 </w:t>
      </w:r>
      <w:r w:rsidR="00DE1DFB">
        <w:t xml:space="preserve">of Attachment F </w:t>
      </w:r>
      <w:r w:rsidR="00700D60" w:rsidRPr="00314CDC">
        <w:t>solely to loads of 100 MW or greater.</w:t>
      </w:r>
      <w:r w:rsidR="00700D60" w:rsidRPr="00B95ABD">
        <w:rPr>
          <w:rStyle w:val="FootnoteReference"/>
        </w:rPr>
        <w:footnoteReference w:id="23"/>
      </w:r>
      <w:r w:rsidR="00700D60" w:rsidRPr="00314CDC">
        <w:t xml:space="preserve">  In response, DEC states that section I</w:t>
      </w:r>
      <w:r w:rsidR="00DE744A">
        <w:t>.1</w:t>
      </w:r>
      <w:r w:rsidR="00700D60" w:rsidRPr="00314CDC">
        <w:t xml:space="preserve"> applies to </w:t>
      </w:r>
      <w:r w:rsidR="00A9042E">
        <w:t>each</w:t>
      </w:r>
      <w:r w:rsidR="00700D60" w:rsidRPr="00314CDC">
        <w:t xml:space="preserve"> NITS request and does not prohibit customers from submitting successive requests to increase or decrease Network Load served by NITS.</w:t>
      </w:r>
      <w:r w:rsidR="007E434C">
        <w:rPr>
          <w:rStyle w:val="FootnoteReference"/>
        </w:rPr>
        <w:footnoteReference w:id="24"/>
      </w:r>
      <w:r w:rsidR="00700D60" w:rsidRPr="00314CDC">
        <w:t xml:space="preserve">  DEC </w:t>
      </w:r>
      <w:r w:rsidR="00F408BE">
        <w:t>notes</w:t>
      </w:r>
      <w:r w:rsidR="00700D60" w:rsidRPr="00314CDC">
        <w:t xml:space="preserve"> that </w:t>
      </w:r>
      <w:r w:rsidR="00F408BE">
        <w:t>th</w:t>
      </w:r>
      <w:r w:rsidR="00DB579A">
        <w:t>is</w:t>
      </w:r>
      <w:r w:rsidR="00F408BE">
        <w:t xml:space="preserve"> language </w:t>
      </w:r>
      <w:r w:rsidR="00700D60" w:rsidRPr="00314CDC">
        <w:t xml:space="preserve">is </w:t>
      </w:r>
      <w:r w:rsidR="00F408BE">
        <w:t>appropriate because the transmission customer has complete discretion to choose when to submit service requests, the desired MW amount, and the in-service date for requested load.</w:t>
      </w:r>
      <w:r w:rsidR="00F408BE">
        <w:rPr>
          <w:rStyle w:val="FootnoteReference"/>
        </w:rPr>
        <w:footnoteReference w:id="25"/>
      </w:r>
      <w:r w:rsidR="00F408BE" w:rsidRPr="00314CDC">
        <w:t xml:space="preserve"> </w:t>
      </w:r>
      <w:r w:rsidR="00F408BE">
        <w:t xml:space="preserve"> </w:t>
      </w:r>
      <w:r w:rsidR="003E7982">
        <w:t xml:space="preserve">DEC </w:t>
      </w:r>
      <w:r w:rsidR="008F596F">
        <w:t>asser</w:t>
      </w:r>
      <w:r w:rsidR="00770B06">
        <w:t xml:space="preserve">ts that it is appropriate to </w:t>
      </w:r>
      <w:r w:rsidR="00F534F6">
        <w:t>prevent transmission customers from increasing or decreasing the</w:t>
      </w:r>
      <w:r w:rsidR="00BA434E">
        <w:t xml:space="preserve"> MWs in </w:t>
      </w:r>
      <w:r w:rsidR="00802A1B">
        <w:t>their</w:t>
      </w:r>
      <w:r w:rsidR="00BA434E">
        <w:t xml:space="preserve"> service request</w:t>
      </w:r>
      <w:r w:rsidR="00802A1B">
        <w:t>s</w:t>
      </w:r>
      <w:r w:rsidR="00BA434E">
        <w:t xml:space="preserve"> because the increased or decreased amount </w:t>
      </w:r>
      <w:r w:rsidR="00BA434E">
        <w:lastRenderedPageBreak/>
        <w:t>was not stud</w:t>
      </w:r>
      <w:r w:rsidR="004D788D">
        <w:t>ied</w:t>
      </w:r>
      <w:r w:rsidR="00CE78B1">
        <w:t xml:space="preserve">, and, as </w:t>
      </w:r>
      <w:r w:rsidR="00573A5D">
        <w:t xml:space="preserve">a result, </w:t>
      </w:r>
      <w:r w:rsidR="00762342">
        <w:t>the study report would not have identified the appropriate Direct Assignment Facilities and Network Upgrades.</w:t>
      </w:r>
    </w:p>
    <w:p w14:paraId="4D455D9D" w14:textId="77777777" w:rsidR="00F36DBA" w:rsidRDefault="00700D60" w:rsidP="007A0B75">
      <w:pPr>
        <w:pStyle w:val="FERCparanumber"/>
        <w:tabs>
          <w:tab w:val="num" w:pos="1440"/>
        </w:tabs>
      </w:pPr>
      <w:r w:rsidRPr="00314CDC">
        <w:t>DEC argues that</w:t>
      </w:r>
      <w:r w:rsidR="00CE5A8A">
        <w:t xml:space="preserve">, accordingly, </w:t>
      </w:r>
      <w:r w:rsidR="00AA423E">
        <w:t>DEC</w:t>
      </w:r>
      <w:r w:rsidR="00CE5A8A">
        <w:t xml:space="preserve"> </w:t>
      </w:r>
      <w:r w:rsidR="0004497C" w:rsidRPr="00314CDC">
        <w:t>proposed section I.1</w:t>
      </w:r>
      <w:r w:rsidRPr="00314CDC">
        <w:t xml:space="preserve"> </w:t>
      </w:r>
      <w:r w:rsidR="00C7790C">
        <w:t xml:space="preserve">to </w:t>
      </w:r>
      <w:r w:rsidR="0004497C" w:rsidRPr="00314CDC">
        <w:t xml:space="preserve">apply to all NITS requests because it will </w:t>
      </w:r>
      <w:r w:rsidR="00C7790C">
        <w:t xml:space="preserve">ensure that </w:t>
      </w:r>
      <w:r w:rsidR="0004497C" w:rsidRPr="00314CDC">
        <w:t xml:space="preserve">Direct Assignment Facilities and </w:t>
      </w:r>
      <w:r w:rsidR="00C7790C">
        <w:t xml:space="preserve">Network Upgrades </w:t>
      </w:r>
      <w:r w:rsidR="0004497C" w:rsidRPr="00314CDC">
        <w:t>are</w:t>
      </w:r>
      <w:r w:rsidRPr="00314CDC">
        <w:t xml:space="preserve"> </w:t>
      </w:r>
      <w:r w:rsidR="00A452D8" w:rsidRPr="00314CDC">
        <w:t>truly needed and sized correctly</w:t>
      </w:r>
      <w:r w:rsidR="00A452D8" w:rsidRPr="00A452D8">
        <w:t xml:space="preserve"> to reliably serve the amount of load requested and </w:t>
      </w:r>
      <w:r w:rsidR="0004497C" w:rsidRPr="00314CDC">
        <w:t>to</w:t>
      </w:r>
      <w:r w:rsidR="00A452D8" w:rsidRPr="00A452D8">
        <w:t xml:space="preserve"> avoid potential cost shifts to other customers</w:t>
      </w:r>
      <w:r w:rsidR="0004497C">
        <w:t>.</w:t>
      </w:r>
      <w:r w:rsidR="0004497C">
        <w:rPr>
          <w:rStyle w:val="FootnoteReference"/>
        </w:rPr>
        <w:footnoteReference w:id="26"/>
      </w:r>
      <w:r w:rsidR="0004497C" w:rsidRPr="00314CDC">
        <w:t xml:space="preserve"> </w:t>
      </w:r>
      <w:r w:rsidR="0004497C">
        <w:t xml:space="preserve"> </w:t>
      </w:r>
      <w:r w:rsidR="00DB453B">
        <w:t>DEC explains that</w:t>
      </w:r>
      <w:r w:rsidR="0069374F">
        <w:t xml:space="preserve"> cost shifting to other transmission </w:t>
      </w:r>
      <w:r w:rsidR="009147A4">
        <w:t xml:space="preserve">customers </w:t>
      </w:r>
      <w:r w:rsidR="00625029">
        <w:t xml:space="preserve">could occur </w:t>
      </w:r>
      <w:r w:rsidR="00CF122E">
        <w:t>if</w:t>
      </w:r>
      <w:r w:rsidR="0004497C">
        <w:t xml:space="preserve"> its transmission</w:t>
      </w:r>
      <w:r w:rsidR="00A452D8" w:rsidRPr="00A452D8">
        <w:t xml:space="preserve"> system get</w:t>
      </w:r>
      <w:r w:rsidR="006B5CEF">
        <w:t>s</w:t>
      </w:r>
      <w:r w:rsidR="00A452D8" w:rsidRPr="00A452D8">
        <w:t xml:space="preserve"> “overbuilt” to accommodate a NITS request that is later decreased in MW amount.</w:t>
      </w:r>
      <w:r w:rsidR="00CF122E">
        <w:rPr>
          <w:rStyle w:val="FootnoteReference"/>
        </w:rPr>
        <w:footnoteReference w:id="27"/>
      </w:r>
      <w:r w:rsidR="00EC15BE">
        <w:t xml:space="preserve"> </w:t>
      </w:r>
      <w:r w:rsidR="0092560C">
        <w:t xml:space="preserve"> </w:t>
      </w:r>
      <w:r w:rsidR="00142F74">
        <w:t xml:space="preserve">DEC provides an example in which </w:t>
      </w:r>
      <w:r w:rsidR="0012065E">
        <w:t xml:space="preserve">certain transmission facilities are constructed to </w:t>
      </w:r>
      <w:r w:rsidR="00BB00FC">
        <w:t>accommodate a service request</w:t>
      </w:r>
      <w:r w:rsidR="001D63CF">
        <w:t xml:space="preserve"> but the </w:t>
      </w:r>
      <w:r w:rsidR="00431623">
        <w:t>requesting network customer takes less service</w:t>
      </w:r>
      <w:r w:rsidR="005C5818">
        <w:t xml:space="preserve"> than originally requested</w:t>
      </w:r>
      <w:r w:rsidR="00BF631B">
        <w:t xml:space="preserve">.  DEC </w:t>
      </w:r>
      <w:r w:rsidR="006B4E32">
        <w:t>explains</w:t>
      </w:r>
      <w:r w:rsidR="00900779">
        <w:t xml:space="preserve"> that</w:t>
      </w:r>
      <w:r w:rsidR="006B4E32">
        <w:t>,</w:t>
      </w:r>
      <w:r w:rsidR="00431623">
        <w:t xml:space="preserve"> </w:t>
      </w:r>
      <w:r w:rsidR="00900779">
        <w:t>in that case</w:t>
      </w:r>
      <w:r w:rsidR="00431623">
        <w:t xml:space="preserve">, the </w:t>
      </w:r>
      <w:r w:rsidR="00177CE3">
        <w:t xml:space="preserve">costs </w:t>
      </w:r>
      <w:r w:rsidR="00900779">
        <w:t xml:space="preserve">for Network Upgrades to </w:t>
      </w:r>
      <w:r w:rsidR="00493126">
        <w:t>serve the originally requested MW amount</w:t>
      </w:r>
      <w:r w:rsidR="00177CE3">
        <w:t xml:space="preserve"> are included in transmission rate base</w:t>
      </w:r>
      <w:r w:rsidR="004E72C8">
        <w:t xml:space="preserve">, </w:t>
      </w:r>
      <w:r w:rsidR="002D1A70">
        <w:t xml:space="preserve">shifting </w:t>
      </w:r>
      <w:r w:rsidR="00493D8F">
        <w:t xml:space="preserve">costs to other transmission customers for Network Upgrades that are </w:t>
      </w:r>
      <w:r w:rsidR="00E76A84">
        <w:t>more extensive than was necessary to accommodate actual service taken.</w:t>
      </w:r>
      <w:r w:rsidR="00E76A84">
        <w:rPr>
          <w:rStyle w:val="FootnoteReference"/>
        </w:rPr>
        <w:footnoteReference w:id="28"/>
      </w:r>
      <w:r w:rsidR="007A0B75">
        <w:t xml:space="preserve">  </w:t>
      </w:r>
      <w:r w:rsidR="00883E66">
        <w:t xml:space="preserve">Conversely, </w:t>
      </w:r>
      <w:r>
        <w:t xml:space="preserve">DEC </w:t>
      </w:r>
      <w:r w:rsidR="0092560C">
        <w:t>provides an example</w:t>
      </w:r>
      <w:r>
        <w:t xml:space="preserve"> </w:t>
      </w:r>
      <w:r w:rsidR="00883E66">
        <w:t xml:space="preserve">where </w:t>
      </w:r>
      <w:r>
        <w:t xml:space="preserve">a transmission customer </w:t>
      </w:r>
      <w:r w:rsidR="00883E66">
        <w:t>takes</w:t>
      </w:r>
      <w:r>
        <w:t xml:space="preserve"> </w:t>
      </w:r>
      <w:r w:rsidR="00A0010F">
        <w:t>more service than originally requested</w:t>
      </w:r>
      <w:r w:rsidR="00F36DBA">
        <w:t xml:space="preserve">.  DEC </w:t>
      </w:r>
      <w:r w:rsidR="003B45C9">
        <w:t>explains</w:t>
      </w:r>
      <w:r w:rsidR="00F36DBA">
        <w:t xml:space="preserve"> that</w:t>
      </w:r>
      <w:r w:rsidR="003B45C9">
        <w:t>,</w:t>
      </w:r>
      <w:r w:rsidR="00F36DBA">
        <w:t xml:space="preserve"> in that case, </w:t>
      </w:r>
      <w:r w:rsidR="00517EF1">
        <w:t xml:space="preserve">reliability could be compromised because more MWs are added to a system that was not designed to </w:t>
      </w:r>
      <w:r w:rsidR="00144772">
        <w:t>accommodate them.</w:t>
      </w:r>
      <w:r w:rsidR="00144772">
        <w:rPr>
          <w:rStyle w:val="FootnoteReference"/>
        </w:rPr>
        <w:footnoteReference w:id="29"/>
      </w:r>
      <w:r w:rsidR="00144772">
        <w:t xml:space="preserve">  DEC also notes that </w:t>
      </w:r>
      <w:r w:rsidR="006F05DF">
        <w:t xml:space="preserve">in </w:t>
      </w:r>
      <w:r w:rsidR="00144772">
        <w:t xml:space="preserve">such a </w:t>
      </w:r>
      <w:r w:rsidR="00F23F0F">
        <w:t>scenario</w:t>
      </w:r>
      <w:r w:rsidR="006F05DF">
        <w:t>,</w:t>
      </w:r>
      <w:r w:rsidR="00F23F0F">
        <w:t xml:space="preserve"> </w:t>
      </w:r>
      <w:r w:rsidR="006F05DF">
        <w:t xml:space="preserve">DEC </w:t>
      </w:r>
      <w:r w:rsidR="00727225">
        <w:t xml:space="preserve">could </w:t>
      </w:r>
      <w:r w:rsidR="006F05DF">
        <w:t>construct</w:t>
      </w:r>
      <w:r w:rsidR="002479D4">
        <w:t xml:space="preserve"> </w:t>
      </w:r>
      <w:r w:rsidR="00C64220">
        <w:t xml:space="preserve">certain </w:t>
      </w:r>
      <w:r w:rsidR="001A736E">
        <w:t xml:space="preserve">Network Upgrades </w:t>
      </w:r>
      <w:r w:rsidR="00C64220">
        <w:t xml:space="preserve">to </w:t>
      </w:r>
      <w:r w:rsidR="00246EC6">
        <w:t>accommodate</w:t>
      </w:r>
      <w:r w:rsidR="00C64220">
        <w:t xml:space="preserve"> the original request</w:t>
      </w:r>
      <w:r w:rsidR="00246EC6">
        <w:t xml:space="preserve"> that are later removed </w:t>
      </w:r>
      <w:r w:rsidR="00060A8E">
        <w:t xml:space="preserve">from </w:t>
      </w:r>
      <w:r w:rsidR="00246EC6">
        <w:t xml:space="preserve">the system </w:t>
      </w:r>
      <w:r w:rsidR="002209A5">
        <w:t xml:space="preserve">because they must be replaced by more extensive </w:t>
      </w:r>
      <w:r w:rsidR="001A736E">
        <w:t>Network Upgrades</w:t>
      </w:r>
      <w:r w:rsidR="007015EE">
        <w:t>.</w:t>
      </w:r>
      <w:r w:rsidR="00DD45EC">
        <w:rPr>
          <w:rStyle w:val="FootnoteReference"/>
        </w:rPr>
        <w:footnoteReference w:id="30"/>
      </w:r>
      <w:r w:rsidR="007015EE">
        <w:t xml:space="preserve">  DEC contends </w:t>
      </w:r>
      <w:r w:rsidR="00CA4D21">
        <w:t>that this</w:t>
      </w:r>
      <w:r w:rsidR="001B511C">
        <w:t xml:space="preserve"> </w:t>
      </w:r>
      <w:r w:rsidR="00CA5845">
        <w:t xml:space="preserve">also </w:t>
      </w:r>
      <w:r w:rsidR="00294282">
        <w:t>imprudently shift</w:t>
      </w:r>
      <w:r w:rsidR="008F4EDA">
        <w:t>s</w:t>
      </w:r>
      <w:r w:rsidR="00CA5845">
        <w:t xml:space="preserve"> costs to other transmission customers</w:t>
      </w:r>
      <w:r w:rsidR="00CA4D21">
        <w:t xml:space="preserve"> because they must </w:t>
      </w:r>
      <w:r w:rsidR="0048009F">
        <w:t xml:space="preserve">still </w:t>
      </w:r>
      <w:r w:rsidR="00CA4D21">
        <w:t xml:space="preserve">pay for </w:t>
      </w:r>
      <w:r w:rsidR="00606E94">
        <w:t xml:space="preserve">the </w:t>
      </w:r>
      <w:r w:rsidR="006568D5">
        <w:t>Network Upgrades that were removed from the system</w:t>
      </w:r>
      <w:r w:rsidR="0048009F">
        <w:t>.</w:t>
      </w:r>
    </w:p>
    <w:p w14:paraId="792537F5" w14:textId="77777777" w:rsidR="00700D60" w:rsidRPr="00C5030F" w:rsidRDefault="00ED7530" w:rsidP="00853DCC">
      <w:pPr>
        <w:pStyle w:val="FERCparanumber"/>
        <w:tabs>
          <w:tab w:val="num" w:pos="1440"/>
        </w:tabs>
      </w:pPr>
      <w:r>
        <w:t>Finally, DEC states that</w:t>
      </w:r>
      <w:r w:rsidR="00700D60">
        <w:t xml:space="preserve"> similar language </w:t>
      </w:r>
      <w:r>
        <w:t xml:space="preserve">to </w:t>
      </w:r>
      <w:r w:rsidR="00191E50">
        <w:t xml:space="preserve">section </w:t>
      </w:r>
      <w:r w:rsidR="00D50B2E">
        <w:t>I.1 of Attachment F w</w:t>
      </w:r>
      <w:r w:rsidR="00A67FDC">
        <w:t>as</w:t>
      </w:r>
      <w:r w:rsidR="00D50B2E">
        <w:t xml:space="preserve"> included</w:t>
      </w:r>
      <w:r w:rsidR="00700D60">
        <w:t xml:space="preserve"> in </w:t>
      </w:r>
      <w:r w:rsidR="0095789E">
        <w:t xml:space="preserve">11 </w:t>
      </w:r>
      <w:r w:rsidR="009A403C">
        <w:t>recent transmission security agreeme</w:t>
      </w:r>
      <w:r w:rsidR="0083703B">
        <w:t>nts and construction security agreements</w:t>
      </w:r>
      <w:r w:rsidR="006F009E">
        <w:t xml:space="preserve"> that </w:t>
      </w:r>
      <w:r w:rsidR="00700D60">
        <w:t xml:space="preserve">the Commission </w:t>
      </w:r>
      <w:r w:rsidR="006F009E">
        <w:t xml:space="preserve">accepted </w:t>
      </w:r>
      <w:r w:rsidR="00700D60">
        <w:t>without modification.</w:t>
      </w:r>
      <w:r w:rsidR="00AF1A22">
        <w:rPr>
          <w:rStyle w:val="FootnoteReference"/>
        </w:rPr>
        <w:footnoteReference w:id="31"/>
      </w:r>
      <w:r w:rsidR="00700D60">
        <w:t xml:space="preserve">  </w:t>
      </w:r>
    </w:p>
    <w:p w14:paraId="23E0AFBC" w14:textId="77777777" w:rsidR="00700D60" w:rsidRDefault="00700D60" w:rsidP="00F20272">
      <w:pPr>
        <w:pStyle w:val="Heading4"/>
      </w:pPr>
      <w:r>
        <w:lastRenderedPageBreak/>
        <w:t>Commission Determination</w:t>
      </w:r>
    </w:p>
    <w:p w14:paraId="7DC29157" w14:textId="77777777" w:rsidR="00D4686D" w:rsidRDefault="001F337E" w:rsidP="00F20272">
      <w:pPr>
        <w:pStyle w:val="FERCparanumber"/>
      </w:pPr>
      <w:r>
        <w:t xml:space="preserve">We find that </w:t>
      </w:r>
      <w:r w:rsidR="00D06193">
        <w:t xml:space="preserve">DEC’s proposed changes and additions to Attachments A and F of </w:t>
      </w:r>
      <w:r w:rsidR="00A73E22">
        <w:t xml:space="preserve">its </w:t>
      </w:r>
      <w:r w:rsidR="00D06193">
        <w:rPr>
          <w:i/>
          <w:iCs/>
        </w:rPr>
        <w:t xml:space="preserve">pro forma </w:t>
      </w:r>
      <w:r w:rsidR="00D06193">
        <w:t xml:space="preserve">NITSA are just and reasonable and not unduly </w:t>
      </w:r>
      <w:r w:rsidR="00F64F29">
        <w:t xml:space="preserve">discriminatory or preferential.  </w:t>
      </w:r>
      <w:r w:rsidR="00577CBA">
        <w:t>A</w:t>
      </w:r>
      <w:r w:rsidR="006B4391">
        <w:t xml:space="preserve">s DEC explains, many of the </w:t>
      </w:r>
      <w:r w:rsidR="00F40AE3">
        <w:t xml:space="preserve">revisions incorporate existing language and processes from the Joint OATT, providing further clarity and transparency to network customers </w:t>
      </w:r>
      <w:proofErr w:type="gramStart"/>
      <w:r w:rsidR="00F40AE3">
        <w:t>entering into</w:t>
      </w:r>
      <w:proofErr w:type="gramEnd"/>
      <w:r w:rsidR="00F40AE3">
        <w:t xml:space="preserve"> NITSAs.</w:t>
      </w:r>
      <w:r w:rsidR="00F64F29">
        <w:t xml:space="preserve">  </w:t>
      </w:r>
      <w:r w:rsidR="00F32021">
        <w:t xml:space="preserve">Moreover, we </w:t>
      </w:r>
      <w:r w:rsidR="00ED1D13">
        <w:t>find</w:t>
      </w:r>
      <w:r w:rsidR="00F32021">
        <w:t xml:space="preserve"> </w:t>
      </w:r>
      <w:r w:rsidR="00C42944">
        <w:t xml:space="preserve">that </w:t>
      </w:r>
      <w:r w:rsidR="00935412">
        <w:t xml:space="preserve">DEC’s </w:t>
      </w:r>
      <w:r w:rsidR="00C42944">
        <w:t>proposal to</w:t>
      </w:r>
      <w:r w:rsidR="00D31EE1">
        <w:t xml:space="preserve"> </w:t>
      </w:r>
      <w:r w:rsidR="00935412">
        <w:t>require</w:t>
      </w:r>
      <w:r w:rsidR="000F36FF">
        <w:t xml:space="preserve"> network customers </w:t>
      </w:r>
      <w:r w:rsidR="00935412">
        <w:t xml:space="preserve">to </w:t>
      </w:r>
      <w:r w:rsidR="00935412" w:rsidRPr="00346E30">
        <w:rPr>
          <w:rFonts w:eastAsia="Times New Roman"/>
          <w:szCs w:val="26"/>
        </w:rPr>
        <w:t>submit a change in service request</w:t>
      </w:r>
      <w:r w:rsidR="00935412">
        <w:t xml:space="preserve"> </w:t>
      </w:r>
      <w:r w:rsidR="00DC781A">
        <w:t xml:space="preserve">when they seek to </w:t>
      </w:r>
      <w:r w:rsidR="00E31807">
        <w:t xml:space="preserve">add new or transfer existing Network Load and to follow the study </w:t>
      </w:r>
      <w:r w:rsidR="00E31807" w:rsidRPr="00F9574E">
        <w:t xml:space="preserve">procedures in sections 32.1-32.4 of </w:t>
      </w:r>
      <w:r w:rsidR="00E31807">
        <w:t xml:space="preserve">the </w:t>
      </w:r>
      <w:r w:rsidR="00E31807" w:rsidRPr="00F9574E">
        <w:t>Joint OATT</w:t>
      </w:r>
      <w:r w:rsidR="00E31807">
        <w:t xml:space="preserve"> when seeking to </w:t>
      </w:r>
      <w:r w:rsidR="00E31807" w:rsidRPr="00F9574E">
        <w:t>increase or decrease the MW value of Network Load</w:t>
      </w:r>
      <w:r w:rsidR="00E31807">
        <w:t xml:space="preserve"> </w:t>
      </w:r>
      <w:r w:rsidR="003F3D15">
        <w:t>is</w:t>
      </w:r>
      <w:r w:rsidR="00A27CB7">
        <w:t xml:space="preserve"> reasonable</w:t>
      </w:r>
      <w:r w:rsidR="007F3354">
        <w:t xml:space="preserve">.  Specifically, it will </w:t>
      </w:r>
      <w:r w:rsidR="00332B0F">
        <w:t xml:space="preserve">help </w:t>
      </w:r>
      <w:r w:rsidR="00F6799F">
        <w:t xml:space="preserve">DEC </w:t>
      </w:r>
      <w:r w:rsidR="00332B0F">
        <w:t xml:space="preserve">to ensure that the Network Upgrades </w:t>
      </w:r>
      <w:r w:rsidR="00F6799F">
        <w:t>that it constructs</w:t>
      </w:r>
      <w:r w:rsidR="00332B0F">
        <w:t xml:space="preserve"> to </w:t>
      </w:r>
      <w:r w:rsidR="00F6799F">
        <w:t xml:space="preserve">serve a network customer’s Network Load </w:t>
      </w:r>
      <w:r w:rsidR="000C64D3">
        <w:t xml:space="preserve">are sufficient to reliably provide the requested service without resulting in </w:t>
      </w:r>
      <w:r w:rsidR="00E7381C">
        <w:t xml:space="preserve">DEC building </w:t>
      </w:r>
      <w:r w:rsidR="002703A2">
        <w:t xml:space="preserve">more extensive </w:t>
      </w:r>
      <w:r w:rsidR="00E7381C">
        <w:t>Network Upgrades</w:t>
      </w:r>
      <w:r w:rsidR="002703A2">
        <w:t xml:space="preserve"> than necessary to provide that service</w:t>
      </w:r>
      <w:r w:rsidR="00E7381C">
        <w:t>, which</w:t>
      </w:r>
      <w:r w:rsidR="000C64D3">
        <w:t xml:space="preserve"> could shift costs to DEC’s other transmission customers</w:t>
      </w:r>
      <w:r w:rsidR="008041F0">
        <w:t>.</w:t>
      </w:r>
      <w:r w:rsidR="000C64D3">
        <w:rPr>
          <w:rStyle w:val="FootnoteReference"/>
          <w:szCs w:val="26"/>
        </w:rPr>
        <w:footnoteReference w:id="32"/>
      </w:r>
      <w:r w:rsidR="008041F0">
        <w:t xml:space="preserve">  </w:t>
      </w:r>
    </w:p>
    <w:p w14:paraId="2C4EB2D7" w14:textId="77777777" w:rsidR="00700D60" w:rsidRPr="008178E2" w:rsidRDefault="000F310F" w:rsidP="00F20272">
      <w:pPr>
        <w:pStyle w:val="FERCparanumber"/>
      </w:pPr>
      <w:r>
        <w:t xml:space="preserve">As DEC details, </w:t>
      </w:r>
      <w:r w:rsidR="00996267">
        <w:t xml:space="preserve">it is </w:t>
      </w:r>
      <w:r w:rsidR="00114A42">
        <w:t xml:space="preserve">currently </w:t>
      </w:r>
      <w:r w:rsidR="00996267">
        <w:t>experiencing</w:t>
      </w:r>
      <w:r w:rsidR="00D4686D">
        <w:t xml:space="preserve"> </w:t>
      </w:r>
      <w:r w:rsidR="00E11130">
        <w:t xml:space="preserve">significant </w:t>
      </w:r>
      <w:r w:rsidR="00996267">
        <w:t>load gro</w:t>
      </w:r>
      <w:r w:rsidR="00FA1375">
        <w:t xml:space="preserve">wth </w:t>
      </w:r>
      <w:r w:rsidR="00BB1A0F">
        <w:t xml:space="preserve">in its </w:t>
      </w:r>
      <w:r w:rsidR="00520757">
        <w:t>service terri</w:t>
      </w:r>
      <w:r w:rsidR="00DD519D">
        <w:t>tory.</w:t>
      </w:r>
      <w:r w:rsidR="00DD519D">
        <w:rPr>
          <w:rStyle w:val="FootnoteReference"/>
        </w:rPr>
        <w:footnoteReference w:id="33"/>
      </w:r>
      <w:r w:rsidR="00D4686D">
        <w:t xml:space="preserve">  </w:t>
      </w:r>
      <w:r w:rsidR="004D2CCF">
        <w:t xml:space="preserve">We agree with </w:t>
      </w:r>
      <w:r w:rsidR="00140EB8">
        <w:t>DEC</w:t>
      </w:r>
      <w:r w:rsidR="0024432B">
        <w:t xml:space="preserve">’s </w:t>
      </w:r>
      <w:r w:rsidR="00CF7E72">
        <w:t>contention</w:t>
      </w:r>
      <w:r w:rsidR="003D7C03">
        <w:t xml:space="preserve"> that such load growth could lead to </w:t>
      </w:r>
      <w:r w:rsidR="00CC387D">
        <w:t xml:space="preserve">operational </w:t>
      </w:r>
      <w:r w:rsidR="00964BB6">
        <w:t xml:space="preserve">challenges </w:t>
      </w:r>
      <w:r w:rsidR="00CC387D">
        <w:t>and</w:t>
      </w:r>
      <w:r w:rsidR="00D4686D">
        <w:t xml:space="preserve"> </w:t>
      </w:r>
      <w:r w:rsidR="00FE7C20">
        <w:t>cost</w:t>
      </w:r>
      <w:r w:rsidR="001726C4">
        <w:t xml:space="preserve"> </w:t>
      </w:r>
      <w:r w:rsidR="00FE7C20">
        <w:t xml:space="preserve">shifting </w:t>
      </w:r>
      <w:r w:rsidR="008C0C7A">
        <w:t>w</w:t>
      </w:r>
      <w:r w:rsidR="00E942AA">
        <w:t>h</w:t>
      </w:r>
      <w:r w:rsidR="008C0C7A">
        <w:t xml:space="preserve">ere a network customer </w:t>
      </w:r>
      <w:r w:rsidR="003212D2">
        <w:t xml:space="preserve">is </w:t>
      </w:r>
      <w:r w:rsidR="00301040">
        <w:t>allowed</w:t>
      </w:r>
      <w:r w:rsidR="00390683">
        <w:t>, without any further study,</w:t>
      </w:r>
      <w:r w:rsidR="00301040">
        <w:t xml:space="preserve"> to take more or less service under a NITSA tha</w:t>
      </w:r>
      <w:r w:rsidR="00385EF2">
        <w:t xml:space="preserve">n </w:t>
      </w:r>
      <w:r w:rsidR="00992826">
        <w:t xml:space="preserve">the network customer </w:t>
      </w:r>
      <w:r w:rsidR="00390683">
        <w:t xml:space="preserve">initially </w:t>
      </w:r>
      <w:r w:rsidR="001726C4">
        <w:t>requested</w:t>
      </w:r>
      <w:r w:rsidR="00385EF2">
        <w:t xml:space="preserve">.  </w:t>
      </w:r>
      <w:r w:rsidR="007C71C2">
        <w:t xml:space="preserve">We </w:t>
      </w:r>
      <w:r w:rsidR="001668AD">
        <w:t xml:space="preserve">further </w:t>
      </w:r>
      <w:r w:rsidR="007C71C2">
        <w:t>find that, a</w:t>
      </w:r>
      <w:r w:rsidR="006912D3">
        <w:t>s</w:t>
      </w:r>
      <w:r w:rsidR="00153796">
        <w:t xml:space="preserve"> DEC</w:t>
      </w:r>
      <w:r w:rsidR="008859CD">
        <w:t xml:space="preserve"> </w:t>
      </w:r>
      <w:r w:rsidR="006912D3">
        <w:t xml:space="preserve">explains, </w:t>
      </w:r>
      <w:r w:rsidR="007C71C2">
        <w:t>the proposed revisions will</w:t>
      </w:r>
      <w:r w:rsidR="001F6201">
        <w:t xml:space="preserve"> </w:t>
      </w:r>
      <w:r w:rsidR="007C71C2">
        <w:t xml:space="preserve">help to </w:t>
      </w:r>
      <w:r w:rsidR="00AD5690">
        <w:t xml:space="preserve">prevent </w:t>
      </w:r>
      <w:r w:rsidR="0026074C">
        <w:t xml:space="preserve">the construction of inappropriately sized or </w:t>
      </w:r>
      <w:r w:rsidR="00153EDC">
        <w:t xml:space="preserve">unnecessary Network Upgrades </w:t>
      </w:r>
      <w:r w:rsidR="00C32454">
        <w:t>that could either shift cost</w:t>
      </w:r>
      <w:r w:rsidR="00094EA6">
        <w:t>s</w:t>
      </w:r>
      <w:r w:rsidR="00C32454">
        <w:t xml:space="preserve"> to </w:t>
      </w:r>
      <w:r w:rsidR="006B0E1E">
        <w:t xml:space="preserve">other transmission </w:t>
      </w:r>
      <w:r w:rsidR="00094EA6">
        <w:t xml:space="preserve">customers </w:t>
      </w:r>
      <w:r w:rsidR="006B0E1E">
        <w:t xml:space="preserve">(in the case of a </w:t>
      </w:r>
      <w:r w:rsidR="00B6458D">
        <w:t>decrease</w:t>
      </w:r>
      <w:r w:rsidR="006B0E1E">
        <w:t xml:space="preserve"> in service) or create reliability risks (</w:t>
      </w:r>
      <w:r w:rsidR="00376977">
        <w:t xml:space="preserve">in the case of an </w:t>
      </w:r>
      <w:r w:rsidR="00B6458D">
        <w:t>increase in service).</w:t>
      </w:r>
      <w:r w:rsidR="00A43BE5">
        <w:t xml:space="preserve"> </w:t>
      </w:r>
      <w:r w:rsidR="00D4686D">
        <w:t xml:space="preserve"> </w:t>
      </w:r>
      <w:r w:rsidR="002F4E34">
        <w:t>G</w:t>
      </w:r>
      <w:r w:rsidR="003D077F">
        <w:t xml:space="preserve">iven the </w:t>
      </w:r>
      <w:r w:rsidR="00EF01B7">
        <w:t>recent</w:t>
      </w:r>
      <w:r w:rsidR="003D077F">
        <w:t xml:space="preserve"> p</w:t>
      </w:r>
      <w:r w:rsidR="00682422">
        <w:t>roject</w:t>
      </w:r>
      <w:r w:rsidR="009E5A71">
        <w:t>ed</w:t>
      </w:r>
      <w:r w:rsidR="003D077F">
        <w:t xml:space="preserve"> rates of </w:t>
      </w:r>
      <w:r w:rsidR="00682422">
        <w:t xml:space="preserve">load growth in </w:t>
      </w:r>
      <w:r w:rsidR="00762FDC">
        <w:t>its</w:t>
      </w:r>
      <w:r w:rsidR="00682422">
        <w:t xml:space="preserve"> service t</w:t>
      </w:r>
      <w:r w:rsidR="007B68E5">
        <w:t>erritory</w:t>
      </w:r>
      <w:r w:rsidR="00682422">
        <w:t xml:space="preserve">, </w:t>
      </w:r>
      <w:r w:rsidR="002F4E34">
        <w:t xml:space="preserve">DEC has explained that </w:t>
      </w:r>
      <w:r w:rsidR="00682422">
        <w:t xml:space="preserve">its transmission customers </w:t>
      </w:r>
      <w:r w:rsidR="009445BE">
        <w:t xml:space="preserve">newly </w:t>
      </w:r>
      <w:r w:rsidR="00A7133E" w:rsidRPr="00C12939">
        <w:t>face</w:t>
      </w:r>
      <w:r w:rsidR="00C12939" w:rsidRPr="00C12939">
        <w:t xml:space="preserve"> </w:t>
      </w:r>
      <w:r w:rsidR="00DD043C">
        <w:t xml:space="preserve">both </w:t>
      </w:r>
      <w:r w:rsidR="001668AD" w:rsidRPr="00C12939">
        <w:t>cost</w:t>
      </w:r>
      <w:r w:rsidR="001668AD">
        <w:t>-</w:t>
      </w:r>
      <w:r w:rsidR="00C12939" w:rsidRPr="00C12939">
        <w:t xml:space="preserve">shifting </w:t>
      </w:r>
      <w:r w:rsidR="0035522D">
        <w:t>and reliability risks</w:t>
      </w:r>
      <w:r w:rsidR="00C12939" w:rsidRPr="00C12939">
        <w:t xml:space="preserve"> that they had not previously experienced</w:t>
      </w:r>
      <w:r w:rsidR="00F53577">
        <w:t xml:space="preserve">, </w:t>
      </w:r>
      <w:r w:rsidR="00730B12">
        <w:t xml:space="preserve">and </w:t>
      </w:r>
      <w:r w:rsidR="007044ED">
        <w:t xml:space="preserve">DEC’s proposed changes will </w:t>
      </w:r>
      <w:r w:rsidR="004A3A64">
        <w:t xml:space="preserve">help to mitigate </w:t>
      </w:r>
      <w:r w:rsidR="007044ED">
        <w:t>those risks</w:t>
      </w:r>
      <w:r w:rsidR="00C710E9">
        <w:t xml:space="preserve">. </w:t>
      </w:r>
      <w:r w:rsidR="007044ED">
        <w:t xml:space="preserve"> </w:t>
      </w:r>
      <w:r w:rsidR="00C710E9">
        <w:t>For these reasons</w:t>
      </w:r>
      <w:r w:rsidR="00F53577">
        <w:t>,</w:t>
      </w:r>
      <w:r w:rsidR="00F372BD">
        <w:t xml:space="preserve"> </w:t>
      </w:r>
      <w:r w:rsidR="00C710E9">
        <w:t xml:space="preserve">we find that </w:t>
      </w:r>
      <w:r w:rsidR="00DA133F">
        <w:t xml:space="preserve">DEC’s </w:t>
      </w:r>
      <w:r w:rsidR="0080469B">
        <w:t xml:space="preserve">new requirements for </w:t>
      </w:r>
      <w:r w:rsidR="00F35FE3">
        <w:t xml:space="preserve">adding or transferring Network Load </w:t>
      </w:r>
      <w:r w:rsidR="00F53577">
        <w:t>are just and reasonable.</w:t>
      </w:r>
      <w:r w:rsidR="00C16A7D" w:rsidRPr="00C12939">
        <w:t xml:space="preserve"> </w:t>
      </w:r>
    </w:p>
    <w:p w14:paraId="622F9BE0" w14:textId="77777777" w:rsidR="002C1A65" w:rsidRPr="008235DC" w:rsidRDefault="00647813" w:rsidP="00F20272">
      <w:pPr>
        <w:pStyle w:val="Heading3"/>
      </w:pPr>
      <w:r>
        <w:lastRenderedPageBreak/>
        <w:t xml:space="preserve">Network Upgrade Charges and </w:t>
      </w:r>
      <w:r w:rsidR="002C1A65">
        <w:t>Rolled-in Rate Treatment</w:t>
      </w:r>
    </w:p>
    <w:p w14:paraId="577BBBF0" w14:textId="77777777" w:rsidR="002C1A65" w:rsidRDefault="002C1A65" w:rsidP="00F20272">
      <w:pPr>
        <w:pStyle w:val="Heading4"/>
      </w:pPr>
      <w:r>
        <w:t>Filing</w:t>
      </w:r>
    </w:p>
    <w:p w14:paraId="40E5BEAE" w14:textId="77777777" w:rsidR="002C1A65" w:rsidRPr="009A2849" w:rsidRDefault="002C1A65" w:rsidP="00D70046">
      <w:pPr>
        <w:pStyle w:val="FERCparanumber"/>
      </w:pPr>
      <w:r>
        <w:t>DEC proposes a new section 6.6</w:t>
      </w:r>
      <w:r w:rsidR="00362569">
        <w:t xml:space="preserve"> to Attachment A</w:t>
      </w:r>
      <w:r>
        <w:t xml:space="preserve">, </w:t>
      </w:r>
      <w:r w:rsidR="000931F2">
        <w:t>titled “</w:t>
      </w:r>
      <w:r>
        <w:t>Network Upgrade Charge.</w:t>
      </w:r>
      <w:r w:rsidR="000931F2">
        <w:t>”</w:t>
      </w:r>
      <w:r>
        <w:t xml:space="preserve">  DEC </w:t>
      </w:r>
      <w:r w:rsidR="00AE2494">
        <w:t>asserts</w:t>
      </w:r>
      <w:r>
        <w:t xml:space="preserve"> that, for Network Upgrades that are identified as needed to accommodate a request for change in service during the studies conducted under </w:t>
      </w:r>
      <w:r w:rsidR="00EB461F">
        <w:t xml:space="preserve">         </w:t>
      </w:r>
      <w:r w:rsidR="009C601C">
        <w:t>s</w:t>
      </w:r>
      <w:r>
        <w:t>ections 32.3 and 32.4 of the Joint OATT, the transmission customer will make monthly payments for actual project costs while the upgrades are under construction</w:t>
      </w:r>
      <w:r w:rsidRPr="00543014">
        <w:t>.</w:t>
      </w:r>
      <w:r w:rsidRPr="00F91669">
        <w:rPr>
          <w:rStyle w:val="FootnoteReference"/>
        </w:rPr>
        <w:footnoteReference w:id="34"/>
      </w:r>
      <w:r>
        <w:t xml:space="preserve"> </w:t>
      </w:r>
      <w:r w:rsidRPr="00FF3933">
        <w:t xml:space="preserve"> </w:t>
      </w:r>
      <w:r>
        <w:t>DEC explains that</w:t>
      </w:r>
      <w:r w:rsidR="00D947A3">
        <w:t>,</w:t>
      </w:r>
      <w:r w:rsidRPr="00B136DF">
        <w:t xml:space="preserve"> once the upgrades have been placed in</w:t>
      </w:r>
      <w:r w:rsidR="00306BFF">
        <w:t>to</w:t>
      </w:r>
      <w:r w:rsidRPr="00B136DF">
        <w:t xml:space="preserve"> service</w:t>
      </w:r>
      <w:r>
        <w:t xml:space="preserve">, the transmission </w:t>
      </w:r>
      <w:r w:rsidRPr="00B136DF">
        <w:t xml:space="preserve">customer will receive a lump sum reimbursement of all costs advanced for </w:t>
      </w:r>
      <w:r w:rsidR="00702D16">
        <w:t>N</w:t>
      </w:r>
      <w:r w:rsidR="00702D16" w:rsidRPr="00B136DF">
        <w:t xml:space="preserve">etwork </w:t>
      </w:r>
      <w:r w:rsidR="00702D16">
        <w:t>U</w:t>
      </w:r>
      <w:r w:rsidR="00702D16" w:rsidRPr="00B136DF">
        <w:t xml:space="preserve">pgrades </w:t>
      </w:r>
      <w:r w:rsidRPr="00B136DF">
        <w:t>plus interest</w:t>
      </w:r>
      <w:r>
        <w:t xml:space="preserve">.  </w:t>
      </w:r>
      <w:r w:rsidR="005E765E">
        <w:t>Proposed section</w:t>
      </w:r>
      <w:r w:rsidR="005E765E" w:rsidRPr="005B3101">
        <w:t xml:space="preserve"> </w:t>
      </w:r>
      <w:r w:rsidRPr="005B3101">
        <w:t>6.6.2</w:t>
      </w:r>
      <w:r>
        <w:t xml:space="preserve"> </w:t>
      </w:r>
      <w:r w:rsidRPr="005B3101">
        <w:t xml:space="preserve">provides </w:t>
      </w:r>
      <w:r>
        <w:t xml:space="preserve">the </w:t>
      </w:r>
      <w:r w:rsidRPr="005B3101">
        <w:t xml:space="preserve">terms and conditions under which </w:t>
      </w:r>
      <w:r>
        <w:t>the t</w:t>
      </w:r>
      <w:r w:rsidRPr="005B3101">
        <w:t xml:space="preserve">ransmission </w:t>
      </w:r>
      <w:r>
        <w:t>p</w:t>
      </w:r>
      <w:r w:rsidRPr="005B3101">
        <w:t xml:space="preserve">rovider will continue to construct </w:t>
      </w:r>
      <w:r w:rsidR="002B6E97">
        <w:t>N</w:t>
      </w:r>
      <w:r w:rsidR="002B6E97" w:rsidRPr="005B3101">
        <w:t xml:space="preserve">etwork </w:t>
      </w:r>
      <w:r w:rsidR="002B6E97">
        <w:t>U</w:t>
      </w:r>
      <w:r w:rsidR="002B6E97" w:rsidRPr="005B3101">
        <w:t xml:space="preserve">pgrades </w:t>
      </w:r>
      <w:r>
        <w:t>in the event</w:t>
      </w:r>
      <w:r w:rsidRPr="005B3101">
        <w:t xml:space="preserve"> </w:t>
      </w:r>
      <w:r>
        <w:t>o</w:t>
      </w:r>
      <w:r w:rsidRPr="005B3101">
        <w:t>f a billing dispute</w:t>
      </w:r>
      <w:r w:rsidRPr="00543014">
        <w:t>.</w:t>
      </w:r>
      <w:r w:rsidR="00B44125" w:rsidRPr="00543014">
        <w:rPr>
          <w:rStyle w:val="FootnoteReference"/>
        </w:rPr>
        <w:footnoteReference w:id="35"/>
      </w:r>
      <w:r w:rsidRPr="00F91669">
        <w:rPr>
          <w:b/>
          <w:vertAlign w:val="superscript"/>
        </w:rPr>
        <w:t xml:space="preserve"> </w:t>
      </w:r>
      <w:r>
        <w:t xml:space="preserve"> Moreover, </w:t>
      </w:r>
      <w:r w:rsidR="0099694E">
        <w:t xml:space="preserve">DEC </w:t>
      </w:r>
      <w:r w:rsidR="00190573">
        <w:t xml:space="preserve">notes that </w:t>
      </w:r>
      <w:r w:rsidR="005E765E">
        <w:t xml:space="preserve">proposed </w:t>
      </w:r>
      <w:r>
        <w:t xml:space="preserve">section 6.6.3 (Cost Recovery of Network Upgrades Once Placed </w:t>
      </w:r>
      <w:proofErr w:type="gramStart"/>
      <w:r>
        <w:t>In</w:t>
      </w:r>
      <w:proofErr w:type="gramEnd"/>
      <w:r>
        <w:t xml:space="preserve"> Service) provides that DEC </w:t>
      </w:r>
      <w:r w:rsidRPr="00DB2C90">
        <w:t xml:space="preserve">will roll </w:t>
      </w:r>
      <w:r w:rsidR="000402CB" w:rsidRPr="00DB2C90">
        <w:t xml:space="preserve">the costs of Network Upgrades </w:t>
      </w:r>
      <w:r w:rsidRPr="00DB2C90">
        <w:t xml:space="preserve">into </w:t>
      </w:r>
      <w:r w:rsidR="00A37DFC" w:rsidRPr="00DB2C90">
        <w:t xml:space="preserve">network transmission </w:t>
      </w:r>
      <w:r w:rsidRPr="00DB2C90">
        <w:t>rates</w:t>
      </w:r>
      <w:r>
        <w:t xml:space="preserve"> </w:t>
      </w:r>
      <w:r w:rsidR="00940419">
        <w:t xml:space="preserve">once </w:t>
      </w:r>
      <w:r w:rsidR="000402CB">
        <w:t>those upgrades</w:t>
      </w:r>
      <w:r w:rsidR="00484901">
        <w:t xml:space="preserve"> have been placed </w:t>
      </w:r>
      <w:r w:rsidR="00701568">
        <w:t>into service</w:t>
      </w:r>
      <w:r w:rsidR="00190573">
        <w:t xml:space="preserve">.  </w:t>
      </w:r>
      <w:r w:rsidR="009D5401">
        <w:t>DEC states that th</w:t>
      </w:r>
      <w:r w:rsidR="00C44AFC">
        <w:t xml:space="preserve">e language was drafted broadly so that </w:t>
      </w:r>
      <w:r w:rsidR="00E164B5">
        <w:t xml:space="preserve">DEC </w:t>
      </w:r>
      <w:r w:rsidR="00C44AFC">
        <w:t xml:space="preserve">could </w:t>
      </w:r>
      <w:r w:rsidR="00271224">
        <w:t xml:space="preserve">efficiently </w:t>
      </w:r>
      <w:r w:rsidR="00C44AFC">
        <w:t>reimburse</w:t>
      </w:r>
      <w:r>
        <w:t xml:space="preserve"> </w:t>
      </w:r>
      <w:r w:rsidR="006B28CE">
        <w:t xml:space="preserve">transmission customers </w:t>
      </w:r>
      <w:r w:rsidR="005070FA">
        <w:t xml:space="preserve">as </w:t>
      </w:r>
      <w:r w:rsidR="00BE7BFB">
        <w:t>N</w:t>
      </w:r>
      <w:r w:rsidR="005070FA">
        <w:t xml:space="preserve">etwork </w:t>
      </w:r>
      <w:r w:rsidR="00BE7BFB">
        <w:t>U</w:t>
      </w:r>
      <w:r w:rsidR="005070FA">
        <w:t xml:space="preserve">pgrades are placed into service, </w:t>
      </w:r>
      <w:r w:rsidR="00D351C7">
        <w:t xml:space="preserve">including </w:t>
      </w:r>
      <w:r w:rsidR="00E35EBF">
        <w:t>when</w:t>
      </w:r>
      <w:r w:rsidR="005070FA">
        <w:t xml:space="preserve"> the service request triggered </w:t>
      </w:r>
      <w:r w:rsidR="00B27D43">
        <w:t>seve</w:t>
      </w:r>
      <w:r w:rsidR="00C80471">
        <w:t>ral separate Network Upgrad</w:t>
      </w:r>
      <w:r w:rsidR="00271224">
        <w:t>es.</w:t>
      </w:r>
      <w:r w:rsidR="00271224" w:rsidRPr="00F91669">
        <w:rPr>
          <w:rStyle w:val="FootnoteReference"/>
        </w:rPr>
        <w:footnoteReference w:id="36"/>
      </w:r>
      <w:r w:rsidR="005070FA" w:rsidRPr="00F91669">
        <w:rPr>
          <w:b/>
          <w:vertAlign w:val="superscript"/>
        </w:rPr>
        <w:t xml:space="preserve"> </w:t>
      </w:r>
      <w:r>
        <w:t xml:space="preserve"> </w:t>
      </w:r>
      <w:r w:rsidRPr="005B3101">
        <w:t xml:space="preserve"> </w:t>
      </w:r>
    </w:p>
    <w:p w14:paraId="48D0E08B" w14:textId="77777777" w:rsidR="002C1A65" w:rsidRDefault="002C1A65" w:rsidP="00F20272">
      <w:pPr>
        <w:pStyle w:val="Heading4"/>
      </w:pPr>
      <w:r>
        <w:t>SACE Protest</w:t>
      </w:r>
    </w:p>
    <w:p w14:paraId="10430B57" w14:textId="77777777" w:rsidR="002C1A65" w:rsidRDefault="002C1A65" w:rsidP="0027413A">
      <w:pPr>
        <w:pStyle w:val="FERCparanumber"/>
      </w:pPr>
      <w:r w:rsidRPr="00C03C1B">
        <w:t xml:space="preserve">SACE objects to DEC’s proposal to roll the costs of all Network Upgrades into </w:t>
      </w:r>
      <w:r w:rsidR="004732AB">
        <w:t xml:space="preserve">transmission </w:t>
      </w:r>
      <w:r w:rsidRPr="00C03C1B">
        <w:t xml:space="preserve">rates, which SACE claims could fail to insulate existing customers from the cost impacts of </w:t>
      </w:r>
      <w:r w:rsidR="00202CE4">
        <w:t>l</w:t>
      </w:r>
      <w:r w:rsidRPr="00C03C1B">
        <w:t xml:space="preserve">arge </w:t>
      </w:r>
      <w:r w:rsidR="00202CE4">
        <w:t>l</w:t>
      </w:r>
      <w:r w:rsidRPr="00C03C1B">
        <w:t>oad interconnections.</w:t>
      </w:r>
      <w:r>
        <w:rPr>
          <w:rStyle w:val="FootnoteReference"/>
          <w:rFonts w:eastAsia="Aptos"/>
        </w:rPr>
        <w:footnoteReference w:id="37"/>
      </w:r>
      <w:r w:rsidRPr="00C03C1B">
        <w:t xml:space="preserve">  SACE argues that, although the language proposed in section 6.6 of Attachment A to </w:t>
      </w:r>
      <w:r w:rsidR="00CD3745">
        <w:t>DEC’s</w:t>
      </w:r>
      <w:r w:rsidR="00CD3745" w:rsidRPr="00C03C1B">
        <w:t xml:space="preserve"> </w:t>
      </w:r>
      <w:r w:rsidRPr="0027413A">
        <w:rPr>
          <w:i/>
        </w:rPr>
        <w:t xml:space="preserve">pro forma </w:t>
      </w:r>
      <w:r w:rsidRPr="00C03C1B">
        <w:t>NITSA largely formalizes DEC’s traditional rate treatment for Network Upgrades, “current conditions caution against broad cost allocation in every case.”</w:t>
      </w:r>
      <w:r w:rsidR="00BA015E">
        <w:rPr>
          <w:rStyle w:val="FootnoteReference"/>
          <w:rFonts w:eastAsia="Aptos"/>
        </w:rPr>
        <w:footnoteReference w:id="38"/>
      </w:r>
      <w:r w:rsidRPr="00C03C1B">
        <w:t xml:space="preserve">  Instead, SACE asserts that the Commission should maintain the flexibility to assess rate treatment for Network Upgrades on a case-by-case basis, at least for Network Upgrades caused by the addition </w:t>
      </w:r>
      <w:r w:rsidRPr="00C03C1B">
        <w:lastRenderedPageBreak/>
        <w:t xml:space="preserve">of </w:t>
      </w:r>
      <w:r w:rsidR="00BA015E">
        <w:t>l</w:t>
      </w:r>
      <w:r w:rsidRPr="00C03C1B">
        <w:t xml:space="preserve">arge </w:t>
      </w:r>
      <w:r w:rsidR="00BA015E">
        <w:t>l</w:t>
      </w:r>
      <w:r w:rsidRPr="00C03C1B">
        <w:t>oads.</w:t>
      </w:r>
      <w:r w:rsidR="00BA015E">
        <w:rPr>
          <w:rStyle w:val="FootnoteReference"/>
          <w:rFonts w:eastAsia="Aptos"/>
        </w:rPr>
        <w:footnoteReference w:id="39"/>
      </w:r>
      <w:r>
        <w:t xml:space="preserve">  </w:t>
      </w:r>
      <w:r w:rsidRPr="00C03C1B">
        <w:t xml:space="preserve">SACE </w:t>
      </w:r>
      <w:r w:rsidR="00F64E53">
        <w:t>contends</w:t>
      </w:r>
      <w:r w:rsidR="00F64E53" w:rsidRPr="00C03C1B">
        <w:t xml:space="preserve"> </w:t>
      </w:r>
      <w:r w:rsidRPr="00C03C1B">
        <w:t>that</w:t>
      </w:r>
      <w:r w:rsidR="00F64E53">
        <w:t>,</w:t>
      </w:r>
      <w:r w:rsidRPr="00C03C1B">
        <w:t xml:space="preserve"> should DEC expand its transmission system in a “piecemeal manner”—that is, building Network Upgrades to accommodate individual </w:t>
      </w:r>
      <w:r w:rsidR="00F83F0A">
        <w:t>l</w:t>
      </w:r>
      <w:r w:rsidRPr="00C03C1B">
        <w:t xml:space="preserve">arge </w:t>
      </w:r>
      <w:r w:rsidR="00F83F0A">
        <w:t>l</w:t>
      </w:r>
      <w:r w:rsidRPr="00C03C1B">
        <w:t>oads</w:t>
      </w:r>
      <w:r w:rsidR="00905CEE">
        <w:t>—</w:t>
      </w:r>
      <w:r w:rsidRPr="00C03C1B">
        <w:t>and</w:t>
      </w:r>
      <w:r w:rsidR="00905CEE">
        <w:t xml:space="preserve"> roll</w:t>
      </w:r>
      <w:r w:rsidRPr="00C03C1B">
        <w:t xml:space="preserve"> those costs into broadly applicable rates, existing customers’ rates will increase.</w:t>
      </w:r>
      <w:r w:rsidR="002F3674">
        <w:rPr>
          <w:rStyle w:val="FootnoteReference"/>
          <w:rFonts w:eastAsia="Aptos"/>
        </w:rPr>
        <w:footnoteReference w:id="40"/>
      </w:r>
      <w:r w:rsidRPr="00C03C1B">
        <w:t xml:space="preserve">  SACE asserts that existing customers should not have to pay for facilities from which they will not significantly benefit.  SACE states, moreover, that the Commission also cannot rely on state regulators to protect retail customers from </w:t>
      </w:r>
      <w:r w:rsidR="00EB461F">
        <w:t xml:space="preserve">                </w:t>
      </w:r>
      <w:r w:rsidRPr="00C03C1B">
        <w:t>large-load driven cost shifts because neither the North Carolina Utilities Commission nor the Public Service Commission of South Carolina has jurisdiction over DEC’s cooperative and municipal network customers.</w:t>
      </w:r>
      <w:r>
        <w:t xml:space="preserve"> </w:t>
      </w:r>
    </w:p>
    <w:p w14:paraId="7716D016" w14:textId="77777777" w:rsidR="00B60761" w:rsidRDefault="002C1A65" w:rsidP="0027413A">
      <w:pPr>
        <w:pStyle w:val="FERCparanumber"/>
      </w:pPr>
      <w:r w:rsidRPr="00A75C22">
        <w:t>SACE avers that mandating rolled-in rate treatment in all cases is inappropriate because it undermines the Commission’s longstanding encouragement of transmission pricing flexibility.</w:t>
      </w:r>
      <w:r>
        <w:rPr>
          <w:rStyle w:val="FootnoteReference"/>
          <w:rFonts w:eastAsia="Aptos"/>
        </w:rPr>
        <w:footnoteReference w:id="41"/>
      </w:r>
      <w:r w:rsidRPr="00A75C22">
        <w:t xml:space="preserve">  </w:t>
      </w:r>
      <w:r w:rsidR="001317E1">
        <w:t xml:space="preserve">SACE </w:t>
      </w:r>
      <w:r w:rsidRPr="00A75C22">
        <w:t>points to the Commission’s “or”/higher-of pricing policy as providing the flexibility to protect existing customers from unwarranted cost impacts.</w:t>
      </w:r>
      <w:r w:rsidR="00714DD9">
        <w:rPr>
          <w:rStyle w:val="FootnoteReference"/>
          <w:rFonts w:eastAsia="Aptos"/>
        </w:rPr>
        <w:footnoteReference w:id="42"/>
      </w:r>
      <w:r w:rsidRPr="00A75C22">
        <w:t xml:space="preserve">  </w:t>
      </w:r>
      <w:r w:rsidR="00F916A2">
        <w:t>SACE stresses that</w:t>
      </w:r>
      <w:r w:rsidR="002B6D35">
        <w:t>,</w:t>
      </w:r>
      <w:r w:rsidR="00F916A2">
        <w:t xml:space="preserve"> while it is not advocating for any particular rate treatment of Network Upgrades in this proceeding, </w:t>
      </w:r>
      <w:r w:rsidRPr="00A75C22">
        <w:t xml:space="preserve">“the Commission should maintain optionality to pursue alternative cost recovery arrangements </w:t>
      </w:r>
      <w:proofErr w:type="spellStart"/>
      <w:r w:rsidRPr="00A75C22">
        <w:t>where</w:t>
      </w:r>
      <w:proofErr w:type="spellEnd"/>
      <w:r w:rsidRPr="00A75C22">
        <w:t xml:space="preserve"> doing so will protect existing customers from unduly bearing costs caused by large load” such as through incremental rates.</w:t>
      </w:r>
      <w:r w:rsidR="00B65FCC">
        <w:rPr>
          <w:rStyle w:val="FootnoteReference"/>
          <w:rFonts w:eastAsia="Aptos"/>
        </w:rPr>
        <w:footnoteReference w:id="43"/>
      </w:r>
      <w:r>
        <w:t xml:space="preserve">  </w:t>
      </w:r>
      <w:r w:rsidRPr="00A75C22">
        <w:t xml:space="preserve">  </w:t>
      </w:r>
    </w:p>
    <w:p w14:paraId="4139C0C5" w14:textId="77777777" w:rsidR="002C1A65" w:rsidRPr="00A75C22" w:rsidRDefault="002C1A65" w:rsidP="0027413A">
      <w:pPr>
        <w:pStyle w:val="FERCparanumber"/>
      </w:pPr>
      <w:r w:rsidRPr="00A75C22">
        <w:t xml:space="preserve">SACE </w:t>
      </w:r>
      <w:r w:rsidR="00B60761">
        <w:t>also</w:t>
      </w:r>
      <w:r>
        <w:t xml:space="preserve"> </w:t>
      </w:r>
      <w:r w:rsidRPr="00A75C22">
        <w:t xml:space="preserve">argues that codifying rolled-in rate treatment for all Network Upgrades into a </w:t>
      </w:r>
      <w:r w:rsidRPr="000146EA">
        <w:rPr>
          <w:i/>
          <w:iCs/>
        </w:rPr>
        <w:t>pro forma</w:t>
      </w:r>
      <w:r w:rsidRPr="00A75C22">
        <w:t xml:space="preserve"> service agreement undermines such pricing flexibility because it is difficult to file non-conforming agreements.</w:t>
      </w:r>
      <w:r w:rsidR="00B65FCC">
        <w:rPr>
          <w:rStyle w:val="FootnoteReference"/>
          <w:rFonts w:eastAsia="Aptos"/>
        </w:rPr>
        <w:footnoteReference w:id="44"/>
      </w:r>
      <w:r w:rsidRPr="00A75C22">
        <w:t xml:space="preserve">  Relatedly, SACE states that DEC could bypass Commission review because transmission providers need not submit service agreements that track the </w:t>
      </w:r>
      <w:r w:rsidRPr="000146EA">
        <w:rPr>
          <w:i/>
          <w:iCs/>
        </w:rPr>
        <w:t xml:space="preserve">pro forma </w:t>
      </w:r>
      <w:r w:rsidRPr="00A75C22">
        <w:t xml:space="preserve">language and such rolled-in Network Upgrades </w:t>
      </w:r>
      <w:r w:rsidRPr="00A75C22">
        <w:lastRenderedPageBreak/>
        <w:t>would only show up in DEC’s Electric Quarterly Reports.</w:t>
      </w:r>
      <w:r w:rsidR="004F4646">
        <w:rPr>
          <w:rStyle w:val="FootnoteReference"/>
          <w:rFonts w:eastAsia="Aptos"/>
        </w:rPr>
        <w:footnoteReference w:id="45"/>
      </w:r>
      <w:r w:rsidRPr="00A75C22">
        <w:t xml:space="preserve">  SACE claims that accordingly, DEC’s </w:t>
      </w:r>
      <w:r w:rsidR="00FE5B0C">
        <w:t xml:space="preserve">network </w:t>
      </w:r>
      <w:r w:rsidRPr="00A75C22">
        <w:t xml:space="preserve">customers would have “no immediate recourse” and would lack the ability to timely scrutinize Network Upgrade cost recovery </w:t>
      </w:r>
      <w:r w:rsidR="00FE5B0C">
        <w:t>should they</w:t>
      </w:r>
      <w:r w:rsidRPr="00A75C22">
        <w:t xml:space="preserve"> disagree with DEC that rolled-in rate treatment is appropriate in a given proceeding.</w:t>
      </w:r>
      <w:r w:rsidR="00FE5B0C">
        <w:rPr>
          <w:rStyle w:val="FootnoteReference"/>
          <w:rFonts w:eastAsia="Aptos"/>
        </w:rPr>
        <w:footnoteReference w:id="46"/>
      </w:r>
      <w:r w:rsidRPr="00A75C22">
        <w:t xml:space="preserve"> </w:t>
      </w:r>
    </w:p>
    <w:p w14:paraId="5FA52B3E" w14:textId="77777777" w:rsidR="002C1A65" w:rsidRDefault="002C1A65" w:rsidP="0027413A">
      <w:pPr>
        <w:pStyle w:val="FERCparanumber"/>
      </w:pPr>
      <w:r w:rsidRPr="00765B21">
        <w:t xml:space="preserve">Additionally, SACE asserts </w:t>
      </w:r>
      <w:r w:rsidR="004041D0">
        <w:t>that</w:t>
      </w:r>
      <w:r w:rsidR="00096866">
        <w:t xml:space="preserve"> </w:t>
      </w:r>
      <w:r w:rsidRPr="00765B21">
        <w:t>DEC d</w:t>
      </w:r>
      <w:r w:rsidR="009124B7">
        <w:t>oes</w:t>
      </w:r>
      <w:r w:rsidRPr="00765B21">
        <w:t xml:space="preserve"> not connect</w:t>
      </w:r>
      <w:r>
        <w:t xml:space="preserve"> </w:t>
      </w:r>
      <w:r w:rsidR="00B94AA0">
        <w:t xml:space="preserve">the inclusion of the </w:t>
      </w:r>
      <w:r w:rsidR="00EB461F">
        <w:t xml:space="preserve">         </w:t>
      </w:r>
      <w:r w:rsidRPr="00765B21">
        <w:t xml:space="preserve">rolled-in rate treatment </w:t>
      </w:r>
      <w:r w:rsidR="00B94AA0">
        <w:t>provision</w:t>
      </w:r>
      <w:r w:rsidR="00B84430">
        <w:t xml:space="preserve"> with </w:t>
      </w:r>
      <w:r w:rsidRPr="00765B21">
        <w:t xml:space="preserve">DEC’s other proposed changes to </w:t>
      </w:r>
      <w:r w:rsidR="008E4DD8">
        <w:t>its</w:t>
      </w:r>
      <w:r w:rsidR="008E4DD8" w:rsidRPr="00096866">
        <w:rPr>
          <w:i/>
          <w:iCs/>
        </w:rPr>
        <w:t xml:space="preserve"> </w:t>
      </w:r>
      <w:r w:rsidRPr="00096866">
        <w:rPr>
          <w:i/>
          <w:iCs/>
        </w:rPr>
        <w:t>pro forma</w:t>
      </w:r>
      <w:r w:rsidRPr="00765B21">
        <w:t xml:space="preserve"> NITSA</w:t>
      </w:r>
      <w:r w:rsidR="00B84430">
        <w:t xml:space="preserve"> that target the impact</w:t>
      </w:r>
      <w:r w:rsidR="00BA7290">
        <w:t>s</w:t>
      </w:r>
      <w:r w:rsidR="00B84430">
        <w:t xml:space="preserve"> of </w:t>
      </w:r>
      <w:r w:rsidR="00BA7290">
        <w:t>large load growth</w:t>
      </w:r>
      <w:r w:rsidRPr="00765B21">
        <w:t>.</w:t>
      </w:r>
      <w:r w:rsidR="00045218">
        <w:rPr>
          <w:rStyle w:val="FootnoteReference"/>
          <w:rFonts w:eastAsia="Aptos"/>
        </w:rPr>
        <w:footnoteReference w:id="47"/>
      </w:r>
      <w:r w:rsidRPr="00765B21">
        <w:t xml:space="preserve">  SACE </w:t>
      </w:r>
      <w:r w:rsidR="004A7F27">
        <w:t>argues that large load growth cautions against</w:t>
      </w:r>
      <w:r>
        <w:t xml:space="preserve"> </w:t>
      </w:r>
      <w:r w:rsidR="00A314A1">
        <w:t>this uniform approach to</w:t>
      </w:r>
      <w:r w:rsidR="002741E3">
        <w:t xml:space="preserve"> rate treatment and </w:t>
      </w:r>
      <w:r w:rsidRPr="00765B21">
        <w:t>notes that DEC’s peer OATTs do not appear to include similar</w:t>
      </w:r>
      <w:r w:rsidR="002741E3">
        <w:t xml:space="preserve"> provisions in their OATTs and </w:t>
      </w:r>
      <w:r w:rsidR="002741E3" w:rsidRPr="00887D7D">
        <w:rPr>
          <w:i/>
        </w:rPr>
        <w:t xml:space="preserve">pro forma </w:t>
      </w:r>
      <w:r w:rsidR="002741E3">
        <w:t>NITSAs</w:t>
      </w:r>
      <w:r w:rsidRPr="00765B21">
        <w:t xml:space="preserve">.  SACE </w:t>
      </w:r>
      <w:r w:rsidR="0077566F">
        <w:t>avers</w:t>
      </w:r>
      <w:r>
        <w:t xml:space="preserve"> </w:t>
      </w:r>
      <w:r w:rsidRPr="00765B21">
        <w:t>that DEC’s citations to similar provisions in other</w:t>
      </w:r>
      <w:r>
        <w:t xml:space="preserve"> </w:t>
      </w:r>
      <w:r w:rsidR="003C0E33">
        <w:t>individual</w:t>
      </w:r>
      <w:r w:rsidRPr="00765B21">
        <w:t xml:space="preserve"> NITSAs </w:t>
      </w:r>
      <w:r w:rsidR="003C0E33">
        <w:t>between DEC and</w:t>
      </w:r>
      <w:r w:rsidRPr="00765B21">
        <w:t xml:space="preserve"> network customers, which the Commission has had the opportunity to review, does not support including the rolled-in rate provision in the </w:t>
      </w:r>
      <w:r w:rsidR="00EB461F">
        <w:t xml:space="preserve">              </w:t>
      </w:r>
      <w:r w:rsidRPr="008152C3">
        <w:rPr>
          <w:i/>
        </w:rPr>
        <w:t>pro forma</w:t>
      </w:r>
      <w:r w:rsidRPr="00765B21">
        <w:t xml:space="preserve"> NITSA.  SACE </w:t>
      </w:r>
      <w:r w:rsidR="00836E04">
        <w:t>contends</w:t>
      </w:r>
      <w:r w:rsidRPr="00765B21">
        <w:t xml:space="preserve"> that DEC’s citation to </w:t>
      </w:r>
      <w:r w:rsidR="00045218">
        <w:t>11</w:t>
      </w:r>
      <w:r w:rsidRPr="00765B21">
        <w:t xml:space="preserve"> transmission service agreements between </w:t>
      </w:r>
      <w:r w:rsidR="009D1E89">
        <w:t xml:space="preserve">large load customers </w:t>
      </w:r>
      <w:r w:rsidRPr="00765B21">
        <w:t xml:space="preserve">and transmission providers the Commission has approved is </w:t>
      </w:r>
      <w:r w:rsidR="001534B7">
        <w:t xml:space="preserve">likewise </w:t>
      </w:r>
      <w:r w:rsidRPr="00765B21">
        <w:t>unpersuasive</w:t>
      </w:r>
      <w:r w:rsidR="008A7CFC">
        <w:t xml:space="preserve"> because</w:t>
      </w:r>
      <w:r w:rsidRPr="00765B21">
        <w:t xml:space="preserve"> those agreements were bilateral contracts </w:t>
      </w:r>
      <w:r w:rsidR="00C016D6">
        <w:t>to which</w:t>
      </w:r>
      <w:r w:rsidRPr="00765B21">
        <w:t xml:space="preserve"> the </w:t>
      </w:r>
      <w:r w:rsidRPr="009562E9">
        <w:rPr>
          <w:i/>
          <w:iCs/>
        </w:rPr>
        <w:t>Mobile-Sierra</w:t>
      </w:r>
      <w:r w:rsidRPr="00765B21">
        <w:t xml:space="preserve"> presumption</w:t>
      </w:r>
      <w:r w:rsidR="00C016D6">
        <w:t xml:space="preserve"> applied</w:t>
      </w:r>
      <w:r w:rsidRPr="00765B21">
        <w:t>, which requires a “showing of serious harm to the public interest to overcome.”</w:t>
      </w:r>
      <w:r w:rsidR="00836E04">
        <w:rPr>
          <w:rStyle w:val="FootnoteReference"/>
          <w:rFonts w:eastAsia="Aptos"/>
        </w:rPr>
        <w:footnoteReference w:id="48"/>
      </w:r>
      <w:r w:rsidRPr="00765B21">
        <w:t xml:space="preserve">  SACE </w:t>
      </w:r>
      <w:r w:rsidR="00836E04">
        <w:t>states</w:t>
      </w:r>
      <w:r w:rsidRPr="00765B21">
        <w:t xml:space="preserve"> that, in contrast, the </w:t>
      </w:r>
      <w:r w:rsidR="00EB461F">
        <w:t xml:space="preserve">               </w:t>
      </w:r>
      <w:r w:rsidRPr="00887D7D">
        <w:rPr>
          <w:i/>
        </w:rPr>
        <w:t>Mobile-Sierra</w:t>
      </w:r>
      <w:r w:rsidRPr="00765B21">
        <w:t xml:space="preserve"> presumption does not apply to DEC’s proposed revisions to </w:t>
      </w:r>
      <w:r w:rsidR="00A54087">
        <w:t>its</w:t>
      </w:r>
      <w:r w:rsidR="00A54087" w:rsidRPr="00096866">
        <w:rPr>
          <w:i/>
          <w:iCs/>
        </w:rPr>
        <w:t xml:space="preserve"> </w:t>
      </w:r>
      <w:r w:rsidRPr="00096866">
        <w:rPr>
          <w:i/>
          <w:iCs/>
        </w:rPr>
        <w:t xml:space="preserve">pro forma </w:t>
      </w:r>
      <w:r w:rsidRPr="00765B21">
        <w:t>NITSA because they are generally applicable terms and conditions.</w:t>
      </w:r>
    </w:p>
    <w:p w14:paraId="5E78D605" w14:textId="77777777" w:rsidR="008A2705" w:rsidRPr="00C03C1B" w:rsidRDefault="008A2705" w:rsidP="0027413A">
      <w:pPr>
        <w:pStyle w:val="FERCparanumber"/>
      </w:pPr>
      <w:r>
        <w:t xml:space="preserve">Finally, SACE </w:t>
      </w:r>
      <w:r w:rsidR="00AB16B8">
        <w:t>c</w:t>
      </w:r>
      <w:r w:rsidR="00453E85">
        <w:t xml:space="preserve">ontends that, given </w:t>
      </w:r>
      <w:r w:rsidR="005E25AC">
        <w:t xml:space="preserve">DEC’s proposal to also require Shortfall Payments </w:t>
      </w:r>
      <w:r w:rsidR="006662C2">
        <w:t>(discussed below)</w:t>
      </w:r>
      <w:r w:rsidR="005E25AC">
        <w:t xml:space="preserve"> for </w:t>
      </w:r>
      <w:r w:rsidR="006662C2">
        <w:t>service requests of 100 MW or greater</w:t>
      </w:r>
      <w:r w:rsidR="00F407DE">
        <w:t xml:space="preserve">, </w:t>
      </w:r>
      <w:r w:rsidR="00BC79DB">
        <w:t xml:space="preserve">the automatic application of rolled-in rate treatment </w:t>
      </w:r>
      <w:r w:rsidR="00EB4693">
        <w:t xml:space="preserve">could </w:t>
      </w:r>
      <w:r w:rsidR="009906F7">
        <w:t xml:space="preserve">in reality be limited </w:t>
      </w:r>
      <w:r w:rsidR="00BC79DB">
        <w:t xml:space="preserve">to those </w:t>
      </w:r>
      <w:r w:rsidR="005746F9">
        <w:t>service requests, rather than all service requests.</w:t>
      </w:r>
      <w:r w:rsidR="005746F9">
        <w:rPr>
          <w:rStyle w:val="FootnoteReference"/>
        </w:rPr>
        <w:footnoteReference w:id="49"/>
      </w:r>
      <w:r w:rsidR="006662C2">
        <w:t xml:space="preserve"> </w:t>
      </w:r>
      <w:r w:rsidR="00D40D59">
        <w:t xml:space="preserve"> SACE </w:t>
      </w:r>
      <w:r w:rsidR="00202DED">
        <w:t xml:space="preserve">argues that this approach </w:t>
      </w:r>
      <w:r w:rsidR="00D80A18">
        <w:t>“</w:t>
      </w:r>
      <w:r w:rsidR="00E57DE3">
        <w:t>would limit Commission scrutiny to those cases</w:t>
      </w:r>
      <w:r w:rsidR="00650D48">
        <w:t xml:space="preserve"> </w:t>
      </w:r>
      <w:r w:rsidR="00E57DE3">
        <w:t>most likely to require significant network upgrades and create the potential for unjust and</w:t>
      </w:r>
      <w:r w:rsidR="00650D48">
        <w:t xml:space="preserve"> </w:t>
      </w:r>
      <w:r w:rsidR="00E57DE3">
        <w:t>unreasonable cost shifts</w:t>
      </w:r>
      <w:r w:rsidR="00650D48">
        <w:t>.”</w:t>
      </w:r>
      <w:r w:rsidR="00650D48">
        <w:rPr>
          <w:rStyle w:val="FootnoteReference"/>
        </w:rPr>
        <w:footnoteReference w:id="50"/>
      </w:r>
      <w:r w:rsidR="00650D48">
        <w:t xml:space="preserve">  </w:t>
      </w:r>
      <w:r w:rsidR="0052192E">
        <w:t xml:space="preserve">SACE suggests that, to that end, the Commission could find that only </w:t>
      </w:r>
      <w:r w:rsidR="00AA5AB3">
        <w:t xml:space="preserve">Network Upgrades that are identified through a proactive </w:t>
      </w:r>
      <w:r w:rsidR="0073577C">
        <w:t>regional transmission planning process</w:t>
      </w:r>
      <w:r w:rsidR="001F5ACE">
        <w:t xml:space="preserve"> w</w:t>
      </w:r>
      <w:r w:rsidR="00095BCB">
        <w:t xml:space="preserve">arrant automatic rolled-in </w:t>
      </w:r>
      <w:r w:rsidR="00095BCB">
        <w:lastRenderedPageBreak/>
        <w:t>rate treatment</w:t>
      </w:r>
      <w:r w:rsidR="00F759F6">
        <w:t>.</w:t>
      </w:r>
      <w:r w:rsidR="00C3443A">
        <w:rPr>
          <w:rStyle w:val="FootnoteReference"/>
        </w:rPr>
        <w:footnoteReference w:id="51"/>
      </w:r>
      <w:r w:rsidR="00F759F6">
        <w:t xml:space="preserve">  According to SACE, this</w:t>
      </w:r>
      <w:r w:rsidR="008B3EF9">
        <w:t xml:space="preserve"> ensures that</w:t>
      </w:r>
      <w:r w:rsidR="00C3443A">
        <w:t xml:space="preserve"> “</w:t>
      </w:r>
      <w:r w:rsidR="00C3443A" w:rsidRPr="00C3443A">
        <w:t>only the costs of broadly beneficial projects are spread across the customer base, rather than piecemeal upgrades meant to serve individual loads.</w:t>
      </w:r>
      <w:r w:rsidR="00C3443A">
        <w:t>”</w:t>
      </w:r>
      <w:r w:rsidR="00C3443A">
        <w:rPr>
          <w:rStyle w:val="FootnoteReference"/>
        </w:rPr>
        <w:footnoteReference w:id="52"/>
      </w:r>
    </w:p>
    <w:p w14:paraId="5CB75841" w14:textId="77777777" w:rsidR="002C1A65" w:rsidRDefault="002C1A65" w:rsidP="00F20272">
      <w:pPr>
        <w:pStyle w:val="Heading4"/>
      </w:pPr>
      <w:r>
        <w:t>DEC Answer</w:t>
      </w:r>
    </w:p>
    <w:p w14:paraId="00C198AC" w14:textId="77777777" w:rsidR="00D641DA" w:rsidRDefault="002C1A65" w:rsidP="00EC5366">
      <w:pPr>
        <w:pStyle w:val="FERCparanumber"/>
      </w:pPr>
      <w:r w:rsidRPr="00667DE5">
        <w:rPr>
          <w:rFonts w:eastAsia="Aptos"/>
        </w:rPr>
        <w:t>DEC contends that SACE’s objection to rolling Network Upgrade costs into broadly applicable transmission rates rests on flawed premises.</w:t>
      </w:r>
      <w:r>
        <w:rPr>
          <w:rStyle w:val="FootnoteReference"/>
          <w:rFonts w:eastAsia="Aptos"/>
        </w:rPr>
        <w:footnoteReference w:id="53"/>
      </w:r>
      <w:r w:rsidRPr="00667DE5">
        <w:rPr>
          <w:rFonts w:eastAsia="Aptos"/>
        </w:rPr>
        <w:t xml:space="preserve">  </w:t>
      </w:r>
      <w:r w:rsidR="00412D4C">
        <w:rPr>
          <w:rFonts w:eastAsia="Aptos"/>
        </w:rPr>
        <w:t>DEC notes that the Commission has long held that network transmission facilities provide benefits to all users</w:t>
      </w:r>
      <w:r w:rsidR="00D26E3A">
        <w:rPr>
          <w:rFonts w:eastAsia="Aptos"/>
        </w:rPr>
        <w:t xml:space="preserve"> and </w:t>
      </w:r>
      <w:r w:rsidR="00DE2463">
        <w:rPr>
          <w:rFonts w:eastAsia="Aptos"/>
        </w:rPr>
        <w:t>th</w:t>
      </w:r>
      <w:r w:rsidR="00653E00">
        <w:rPr>
          <w:rFonts w:eastAsia="Aptos"/>
        </w:rPr>
        <w:t>at</w:t>
      </w:r>
      <w:r w:rsidR="00F91A80">
        <w:rPr>
          <w:rFonts w:eastAsia="Aptos"/>
        </w:rPr>
        <w:t xml:space="preserve"> </w:t>
      </w:r>
      <w:r w:rsidR="000973E1">
        <w:rPr>
          <w:rFonts w:eastAsia="Aptos"/>
        </w:rPr>
        <w:t>th</w:t>
      </w:r>
      <w:r w:rsidR="00942AB1">
        <w:rPr>
          <w:rFonts w:eastAsia="Aptos"/>
        </w:rPr>
        <w:t>e costs of</w:t>
      </w:r>
      <w:r w:rsidR="000973E1">
        <w:rPr>
          <w:rFonts w:eastAsia="Aptos"/>
        </w:rPr>
        <w:t xml:space="preserve"> </w:t>
      </w:r>
      <w:r w:rsidR="008B10EE">
        <w:rPr>
          <w:rFonts w:eastAsia="Aptos"/>
        </w:rPr>
        <w:t>those facilities</w:t>
      </w:r>
      <w:r w:rsidR="00784F3A">
        <w:rPr>
          <w:rFonts w:eastAsia="Aptos"/>
        </w:rPr>
        <w:t xml:space="preserve"> (i.e., Network Upgrades)</w:t>
      </w:r>
      <w:r w:rsidR="008B10EE">
        <w:rPr>
          <w:rFonts w:eastAsia="Aptos"/>
        </w:rPr>
        <w:t xml:space="preserve"> should generally be</w:t>
      </w:r>
      <w:r w:rsidR="00F91A80" w:rsidRPr="00667DE5">
        <w:rPr>
          <w:rFonts w:eastAsia="Aptos"/>
        </w:rPr>
        <w:t xml:space="preserve"> roll</w:t>
      </w:r>
      <w:r w:rsidR="00E72E03">
        <w:rPr>
          <w:rFonts w:eastAsia="Aptos"/>
        </w:rPr>
        <w:t>ed</w:t>
      </w:r>
      <w:r w:rsidR="00F91A80" w:rsidRPr="00667DE5">
        <w:rPr>
          <w:rFonts w:eastAsia="Aptos"/>
        </w:rPr>
        <w:t xml:space="preserve"> in</w:t>
      </w:r>
      <w:r w:rsidR="00E618CD">
        <w:rPr>
          <w:rFonts w:eastAsia="Aptos"/>
        </w:rPr>
        <w:t>to</w:t>
      </w:r>
      <w:r w:rsidR="00F91A80" w:rsidRPr="00667DE5">
        <w:rPr>
          <w:rFonts w:eastAsia="Aptos"/>
        </w:rPr>
        <w:t xml:space="preserve"> the transmission rate base.</w:t>
      </w:r>
      <w:r w:rsidR="00F91A80">
        <w:rPr>
          <w:rStyle w:val="FootnoteReference"/>
          <w:rFonts w:eastAsia="Aptos"/>
        </w:rPr>
        <w:footnoteReference w:id="54"/>
      </w:r>
      <w:r w:rsidR="00412D4C" w:rsidRPr="00667DE5">
        <w:rPr>
          <w:rFonts w:eastAsia="Aptos"/>
        </w:rPr>
        <w:t xml:space="preserve"> </w:t>
      </w:r>
      <w:r w:rsidR="00412869">
        <w:rPr>
          <w:rFonts w:eastAsia="Aptos"/>
        </w:rPr>
        <w:t xml:space="preserve"> </w:t>
      </w:r>
      <w:r w:rsidRPr="00667DE5">
        <w:rPr>
          <w:rFonts w:eastAsia="Aptos"/>
        </w:rPr>
        <w:t>DEC asserts that</w:t>
      </w:r>
      <w:r w:rsidR="003603FE">
        <w:rPr>
          <w:rFonts w:eastAsia="Aptos"/>
        </w:rPr>
        <w:t xml:space="preserve"> accordingly,</w:t>
      </w:r>
      <w:r w:rsidRPr="00667DE5">
        <w:rPr>
          <w:rFonts w:eastAsia="Aptos"/>
        </w:rPr>
        <w:t xml:space="preserve"> the language in section 6.6.3 of Attachment A simply restates its existing Commission-approved rate design and is consistent with </w:t>
      </w:r>
      <w:r w:rsidR="003603FE">
        <w:rPr>
          <w:rFonts w:eastAsia="Aptos"/>
        </w:rPr>
        <w:t>Commission policy.</w:t>
      </w:r>
      <w:r w:rsidRPr="00667DE5">
        <w:rPr>
          <w:rFonts w:eastAsia="Aptos"/>
        </w:rPr>
        <w:t xml:space="preserve"> </w:t>
      </w:r>
      <w:r w:rsidR="00412D4C">
        <w:rPr>
          <w:rFonts w:eastAsia="Aptos"/>
        </w:rPr>
        <w:t xml:space="preserve"> </w:t>
      </w:r>
      <w:r w:rsidRPr="00667DE5">
        <w:rPr>
          <w:rFonts w:eastAsia="Aptos"/>
        </w:rPr>
        <w:t xml:space="preserve">Further, because the formula rate itself is unaffected by DEC’s proposed revisions to its </w:t>
      </w:r>
      <w:r w:rsidRPr="009E27CE">
        <w:rPr>
          <w:rFonts w:eastAsia="Aptos"/>
          <w:i/>
          <w:iCs/>
        </w:rPr>
        <w:t>pro forma</w:t>
      </w:r>
      <w:r w:rsidRPr="00667DE5">
        <w:rPr>
          <w:rFonts w:eastAsia="Aptos"/>
        </w:rPr>
        <w:t xml:space="preserve"> NITSA, DEC argues that SACE’s concern regarding rate recovery of Network Upgrade costs through DEC’s formula rates falls outside the scope of this </w:t>
      </w:r>
      <w:r w:rsidR="00ED2CD9">
        <w:rPr>
          <w:rFonts w:eastAsia="Aptos"/>
        </w:rPr>
        <w:t xml:space="preserve">FPA </w:t>
      </w:r>
      <w:r w:rsidRPr="00667DE5">
        <w:rPr>
          <w:rFonts w:eastAsia="Aptos"/>
        </w:rPr>
        <w:t>section 205 proceeding.</w:t>
      </w:r>
      <w:r w:rsidR="0011194B">
        <w:rPr>
          <w:rStyle w:val="FootnoteReference"/>
          <w:rFonts w:eastAsia="Aptos"/>
        </w:rPr>
        <w:footnoteReference w:id="55"/>
      </w:r>
      <w:r w:rsidRPr="00667DE5">
        <w:rPr>
          <w:rFonts w:eastAsia="Aptos"/>
        </w:rPr>
        <w:t xml:space="preserve">   </w:t>
      </w:r>
    </w:p>
    <w:p w14:paraId="1E0AB6E8" w14:textId="77777777" w:rsidR="002C1A65" w:rsidRPr="00240818" w:rsidRDefault="002C1A65" w:rsidP="00E03FF6">
      <w:pPr>
        <w:pStyle w:val="FERCparanumber"/>
      </w:pPr>
      <w:r w:rsidRPr="00667DE5">
        <w:rPr>
          <w:rFonts w:eastAsia="Aptos"/>
        </w:rPr>
        <w:t>DEC also pushes back on SACE’s argument that the Commission must preserve incremental rates as an alternative cost-recovery option.</w:t>
      </w:r>
      <w:r w:rsidR="0038562C">
        <w:rPr>
          <w:rStyle w:val="FootnoteReference"/>
          <w:rFonts w:eastAsia="Aptos"/>
        </w:rPr>
        <w:footnoteReference w:id="56"/>
      </w:r>
      <w:r w:rsidRPr="00667DE5">
        <w:rPr>
          <w:rFonts w:eastAsia="Aptos"/>
        </w:rPr>
        <w:t xml:space="preserve">  </w:t>
      </w:r>
      <w:r w:rsidR="004B440A">
        <w:rPr>
          <w:rFonts w:eastAsia="Aptos"/>
        </w:rPr>
        <w:t>Fi</w:t>
      </w:r>
      <w:r w:rsidR="00E03FF6">
        <w:rPr>
          <w:rFonts w:eastAsia="Aptos"/>
        </w:rPr>
        <w:t>r</w:t>
      </w:r>
      <w:r w:rsidR="004B440A">
        <w:rPr>
          <w:rFonts w:eastAsia="Aptos"/>
        </w:rPr>
        <w:t>st</w:t>
      </w:r>
      <w:r w:rsidR="00244328">
        <w:rPr>
          <w:rFonts w:eastAsia="Aptos"/>
        </w:rPr>
        <w:t>,</w:t>
      </w:r>
      <w:r w:rsidR="004B440A">
        <w:rPr>
          <w:rFonts w:eastAsia="Aptos"/>
        </w:rPr>
        <w:t xml:space="preserve"> </w:t>
      </w:r>
      <w:r w:rsidR="00444CB2">
        <w:rPr>
          <w:rFonts w:eastAsia="Aptos"/>
        </w:rPr>
        <w:t xml:space="preserve">DEC notes that </w:t>
      </w:r>
      <w:r w:rsidR="0041360F">
        <w:rPr>
          <w:rFonts w:eastAsia="Aptos"/>
        </w:rPr>
        <w:t xml:space="preserve">transmission providers, not </w:t>
      </w:r>
      <w:r w:rsidR="00162111">
        <w:rPr>
          <w:rFonts w:eastAsia="Aptos"/>
        </w:rPr>
        <w:t xml:space="preserve">transmission customers, </w:t>
      </w:r>
      <w:r w:rsidR="00CE26B0">
        <w:rPr>
          <w:rFonts w:eastAsia="Aptos"/>
        </w:rPr>
        <w:t xml:space="preserve">have the burden to </w:t>
      </w:r>
      <w:r w:rsidR="0008709D">
        <w:rPr>
          <w:rFonts w:eastAsia="Aptos"/>
        </w:rPr>
        <w:t xml:space="preserve">propose and justify cost recovery </w:t>
      </w:r>
      <w:r w:rsidR="00B353C6">
        <w:rPr>
          <w:rFonts w:eastAsia="Aptos"/>
        </w:rPr>
        <w:t>for Network Upgrades</w:t>
      </w:r>
      <w:r w:rsidR="004B440A">
        <w:rPr>
          <w:rFonts w:eastAsia="Aptos"/>
        </w:rPr>
        <w:t xml:space="preserve">, including </w:t>
      </w:r>
      <w:r w:rsidR="00B353C6">
        <w:rPr>
          <w:rFonts w:eastAsia="Aptos"/>
        </w:rPr>
        <w:t xml:space="preserve">through </w:t>
      </w:r>
      <w:r w:rsidR="004B440A">
        <w:rPr>
          <w:rFonts w:eastAsia="Aptos"/>
        </w:rPr>
        <w:t>incremental rates</w:t>
      </w:r>
      <w:r w:rsidR="0079204A">
        <w:rPr>
          <w:rFonts w:eastAsia="Aptos"/>
        </w:rPr>
        <w:t>.</w:t>
      </w:r>
      <w:r w:rsidRPr="00667DE5">
        <w:rPr>
          <w:rFonts w:eastAsia="Aptos"/>
        </w:rPr>
        <w:t xml:space="preserve">  </w:t>
      </w:r>
      <w:r w:rsidR="00C5032D">
        <w:rPr>
          <w:rFonts w:eastAsia="Aptos"/>
        </w:rPr>
        <w:t xml:space="preserve">Second, </w:t>
      </w:r>
      <w:r w:rsidRPr="00667DE5">
        <w:rPr>
          <w:rFonts w:eastAsia="Aptos"/>
        </w:rPr>
        <w:t xml:space="preserve">DEC states that acceptance of </w:t>
      </w:r>
      <w:r w:rsidR="004161F8">
        <w:rPr>
          <w:rFonts w:eastAsia="Aptos"/>
        </w:rPr>
        <w:t>its</w:t>
      </w:r>
      <w:r w:rsidR="004161F8" w:rsidRPr="00667DE5">
        <w:rPr>
          <w:rFonts w:eastAsia="Aptos"/>
        </w:rPr>
        <w:t xml:space="preserve"> </w:t>
      </w:r>
      <w:r w:rsidRPr="00667DE5">
        <w:rPr>
          <w:rFonts w:eastAsia="Aptos"/>
        </w:rPr>
        <w:t xml:space="preserve">proposed </w:t>
      </w:r>
      <w:r w:rsidRPr="009E27CE">
        <w:rPr>
          <w:rFonts w:eastAsia="Aptos"/>
          <w:i/>
          <w:iCs/>
        </w:rPr>
        <w:t>pro forma</w:t>
      </w:r>
      <w:r w:rsidRPr="00667DE5">
        <w:rPr>
          <w:rFonts w:eastAsia="Aptos"/>
        </w:rPr>
        <w:t xml:space="preserve"> NITSA would not diminish DEC’s ability to file a non-conforming NITSA should an alternative cost-recovery mechanism be needed to maintain just and reasonable rates.  DEC also </w:t>
      </w:r>
      <w:r w:rsidR="00292D11">
        <w:rPr>
          <w:rFonts w:eastAsia="Aptos"/>
        </w:rPr>
        <w:t>asserts</w:t>
      </w:r>
      <w:r w:rsidRPr="00667DE5">
        <w:rPr>
          <w:rFonts w:eastAsia="Aptos"/>
        </w:rPr>
        <w:t xml:space="preserve"> that SACE</w:t>
      </w:r>
      <w:r w:rsidR="00712568">
        <w:rPr>
          <w:rFonts w:eastAsia="Aptos"/>
        </w:rPr>
        <w:t xml:space="preserve"> provides no evidence </w:t>
      </w:r>
      <w:r w:rsidR="00835CE9">
        <w:rPr>
          <w:rFonts w:eastAsia="Aptos"/>
        </w:rPr>
        <w:t xml:space="preserve">that continuing DEC’s practice of rolled-in rate treatment for Network Upgrades </w:t>
      </w:r>
      <w:r w:rsidR="00DB1863">
        <w:rPr>
          <w:rFonts w:eastAsia="Aptos"/>
        </w:rPr>
        <w:t xml:space="preserve">is unjust and reasonable.  </w:t>
      </w:r>
      <w:r w:rsidR="001E47DD">
        <w:rPr>
          <w:rFonts w:eastAsia="Aptos"/>
        </w:rPr>
        <w:t>DEC</w:t>
      </w:r>
      <w:r w:rsidR="00202FA6">
        <w:rPr>
          <w:rFonts w:eastAsia="Aptos"/>
        </w:rPr>
        <w:t xml:space="preserve"> </w:t>
      </w:r>
      <w:r w:rsidR="00DE582B">
        <w:rPr>
          <w:rFonts w:eastAsia="Aptos"/>
        </w:rPr>
        <w:t>states that, moreover,</w:t>
      </w:r>
      <w:r w:rsidRPr="00667DE5">
        <w:rPr>
          <w:rFonts w:eastAsia="Aptos"/>
        </w:rPr>
        <w:t xml:space="preserve"> SACE does not provide any examples of cases in which incremental rates have been assessed to network </w:t>
      </w:r>
      <w:r w:rsidRPr="00667DE5">
        <w:rPr>
          <w:rFonts w:eastAsia="Aptos"/>
        </w:rPr>
        <w:lastRenderedPageBreak/>
        <w:t>customers.</w:t>
      </w:r>
      <w:r w:rsidR="00DE582B">
        <w:rPr>
          <w:rStyle w:val="FootnoteReference"/>
          <w:rFonts w:eastAsia="Aptos"/>
        </w:rPr>
        <w:footnoteReference w:id="57"/>
      </w:r>
      <w:r w:rsidRPr="00667DE5">
        <w:rPr>
          <w:rFonts w:eastAsia="Aptos"/>
        </w:rPr>
        <w:t xml:space="preserve">  DEC states that instead, in the 32 years since the Commission’s Transmission Pricing Policy was established, the Commission has not approved incremental rates under any NITSA.</w:t>
      </w:r>
      <w:r w:rsidR="00DE582B">
        <w:rPr>
          <w:rStyle w:val="FootnoteReference"/>
          <w:rFonts w:eastAsia="Aptos"/>
        </w:rPr>
        <w:footnoteReference w:id="58"/>
      </w:r>
    </w:p>
    <w:p w14:paraId="1C17B382" w14:textId="77777777" w:rsidR="002C1A65" w:rsidRPr="000C2BFD" w:rsidRDefault="002C1A65" w:rsidP="00F20272">
      <w:pPr>
        <w:pStyle w:val="Heading4"/>
      </w:pPr>
      <w:r>
        <w:t>Commission Determination</w:t>
      </w:r>
    </w:p>
    <w:p w14:paraId="544E3D4E" w14:textId="77777777" w:rsidR="00B46256" w:rsidRPr="00B46256" w:rsidRDefault="00115B3B" w:rsidP="00922371">
      <w:pPr>
        <w:pStyle w:val="FERCparanumber"/>
      </w:pPr>
      <w:r>
        <w:t>W</w:t>
      </w:r>
      <w:r w:rsidR="00B46256" w:rsidRPr="00922371">
        <w:t xml:space="preserve">e find that </w:t>
      </w:r>
      <w:r w:rsidR="004B48B9" w:rsidRPr="00922371">
        <w:t>DEC</w:t>
      </w:r>
      <w:r w:rsidR="0077017B" w:rsidRPr="00922371">
        <w:t xml:space="preserve">’s </w:t>
      </w:r>
      <w:r w:rsidR="008D2ED6" w:rsidRPr="00922371">
        <w:t>propos</w:t>
      </w:r>
      <w:r w:rsidR="00CF0732">
        <w:t>al</w:t>
      </w:r>
      <w:r w:rsidR="00F8784D">
        <w:t xml:space="preserve"> </w:t>
      </w:r>
      <w:r w:rsidR="000F4E19">
        <w:t xml:space="preserve">to </w:t>
      </w:r>
      <w:r w:rsidR="00D8798B">
        <w:t xml:space="preserve">revise its </w:t>
      </w:r>
      <w:r w:rsidR="00D8798B">
        <w:rPr>
          <w:i/>
          <w:iCs/>
        </w:rPr>
        <w:t xml:space="preserve">pro forma </w:t>
      </w:r>
      <w:r w:rsidR="009E4422">
        <w:t xml:space="preserve">NITSA </w:t>
      </w:r>
      <w:r w:rsidR="00F8784D">
        <w:t xml:space="preserve">to </w:t>
      </w:r>
      <w:r w:rsidR="009E4422">
        <w:t xml:space="preserve">specify that it will </w:t>
      </w:r>
      <w:r w:rsidR="00F8784D">
        <w:t>roll in</w:t>
      </w:r>
      <w:r w:rsidR="00FC7C32">
        <w:t>to its rates for network transmission service</w:t>
      </w:r>
      <w:r w:rsidR="00F8784D">
        <w:t xml:space="preserve"> the cost of Network Upgrades </w:t>
      </w:r>
      <w:r w:rsidR="00D9672F">
        <w:t xml:space="preserve">constructed to accommodate a </w:t>
      </w:r>
      <w:proofErr w:type="gramStart"/>
      <w:r w:rsidR="002378E0">
        <w:t>NITS</w:t>
      </w:r>
      <w:proofErr w:type="gramEnd"/>
      <w:r w:rsidR="002378E0">
        <w:t xml:space="preserve"> request</w:t>
      </w:r>
      <w:r w:rsidR="00FB1EE3">
        <w:t>, as reflected</w:t>
      </w:r>
      <w:r w:rsidR="002566F8" w:rsidRPr="00922371">
        <w:t xml:space="preserve"> in </w:t>
      </w:r>
      <w:r w:rsidR="00B16DDF">
        <w:t>s</w:t>
      </w:r>
      <w:r w:rsidR="002566F8" w:rsidRPr="00922371">
        <w:t>ection 6.6.3</w:t>
      </w:r>
      <w:r w:rsidR="001A088E" w:rsidRPr="00922371">
        <w:t xml:space="preserve"> of </w:t>
      </w:r>
      <w:r w:rsidR="00EB461F">
        <w:t xml:space="preserve">            </w:t>
      </w:r>
      <w:r w:rsidR="001A088E" w:rsidRPr="00922371">
        <w:t>Attachment A</w:t>
      </w:r>
      <w:r w:rsidR="00F24EDE">
        <w:t xml:space="preserve"> of </w:t>
      </w:r>
      <w:r w:rsidR="00513777">
        <w:t xml:space="preserve">its </w:t>
      </w:r>
      <w:r w:rsidR="00F24EDE">
        <w:rPr>
          <w:i/>
          <w:iCs/>
        </w:rPr>
        <w:t xml:space="preserve">pro forma </w:t>
      </w:r>
      <w:r w:rsidR="00F24EDE">
        <w:t>NITSA</w:t>
      </w:r>
      <w:r w:rsidR="008E1259" w:rsidRPr="00922371">
        <w:t xml:space="preserve">, as well as </w:t>
      </w:r>
      <w:r w:rsidR="00C1221F" w:rsidRPr="00922371">
        <w:t>supporting language in other portions of section 6,</w:t>
      </w:r>
      <w:r w:rsidR="001A088E" w:rsidRPr="00922371">
        <w:t xml:space="preserve"> </w:t>
      </w:r>
      <w:r w:rsidR="00C30EF5">
        <w:t>is</w:t>
      </w:r>
      <w:r w:rsidR="00C30EF5" w:rsidRPr="00922371">
        <w:t xml:space="preserve"> </w:t>
      </w:r>
      <w:r w:rsidR="001A088E" w:rsidRPr="00922371">
        <w:t>just and reasonable and not unduly discriminatory or preferential.</w:t>
      </w:r>
      <w:r w:rsidR="00924F35" w:rsidRPr="00922371">
        <w:t xml:space="preserve"> </w:t>
      </w:r>
    </w:p>
    <w:p w14:paraId="5892CEEF" w14:textId="77777777" w:rsidR="002C1A65" w:rsidRDefault="002C1A65" w:rsidP="00922371">
      <w:pPr>
        <w:pStyle w:val="FERCparanumber"/>
      </w:pPr>
      <w:r>
        <w:t>First, as the Commission has repeatedly explained, Network Upgrades that are part of an integrated system benefit all system users.</w:t>
      </w:r>
      <w:r>
        <w:rPr>
          <w:rStyle w:val="FootnoteReference"/>
        </w:rPr>
        <w:footnoteReference w:id="59"/>
      </w:r>
      <w:r>
        <w:t xml:space="preserve">  This principle is reflected in the Joint OATT, which incorporates the Commission’s definition of Network Upgrades in the </w:t>
      </w:r>
      <w:r w:rsidR="00EB461F">
        <w:t xml:space="preserve">        </w:t>
      </w:r>
      <w:r>
        <w:rPr>
          <w:i/>
          <w:iCs/>
        </w:rPr>
        <w:t xml:space="preserve">pro forma </w:t>
      </w:r>
      <w:r>
        <w:t>OATT.</w:t>
      </w:r>
      <w:r>
        <w:rPr>
          <w:rStyle w:val="FootnoteReference"/>
        </w:rPr>
        <w:footnoteReference w:id="60"/>
      </w:r>
      <w:r>
        <w:t xml:space="preserve">  The Commission has, as a result, favored rolling the costs of network transmission facilities into</w:t>
      </w:r>
      <w:r w:rsidRPr="00E302F6">
        <w:t xml:space="preserve"> </w:t>
      </w:r>
      <w:r>
        <w:t>rates for network transmission service</w:t>
      </w:r>
      <w:r w:rsidR="006369B8">
        <w:t xml:space="preserve"> as a default</w:t>
      </w:r>
      <w:r w:rsidR="003B51F0">
        <w:t xml:space="preserve"> rate design</w:t>
      </w:r>
      <w:r>
        <w:t>,</w:t>
      </w:r>
      <w:r>
        <w:rPr>
          <w:rStyle w:val="FootnoteReference"/>
        </w:rPr>
        <w:footnoteReference w:id="61"/>
      </w:r>
      <w:r>
        <w:t xml:space="preserve"> with </w:t>
      </w:r>
      <w:r w:rsidR="00253583">
        <w:t>some</w:t>
      </w:r>
      <w:r>
        <w:t xml:space="preserve"> exception.</w:t>
      </w:r>
      <w:r>
        <w:rPr>
          <w:rStyle w:val="FootnoteReference"/>
        </w:rPr>
        <w:footnoteReference w:id="62"/>
      </w:r>
      <w:r w:rsidRPr="00E302F6">
        <w:t xml:space="preserve">  </w:t>
      </w:r>
      <w:r>
        <w:t xml:space="preserve">Accordingly, </w:t>
      </w:r>
      <w:r w:rsidRPr="00922371">
        <w:t xml:space="preserve">we find that DEC’s proposal to </w:t>
      </w:r>
      <w:r w:rsidR="00814C33">
        <w:t xml:space="preserve">codify </w:t>
      </w:r>
      <w:r w:rsidR="00814C33">
        <w:lastRenderedPageBreak/>
        <w:t xml:space="preserve">in the </w:t>
      </w:r>
      <w:r w:rsidR="00814C33" w:rsidRPr="00ED4C14">
        <w:rPr>
          <w:i/>
          <w:iCs/>
        </w:rPr>
        <w:t>pro forma</w:t>
      </w:r>
      <w:r w:rsidR="00814C33">
        <w:t xml:space="preserve"> NITSA </w:t>
      </w:r>
      <w:r w:rsidR="00577C89">
        <w:t>that</w:t>
      </w:r>
      <w:r w:rsidRPr="00922371">
        <w:t xml:space="preserve"> the cost of Network Upgrades </w:t>
      </w:r>
      <w:r w:rsidR="00577C89">
        <w:t xml:space="preserve">will be rolled </w:t>
      </w:r>
      <w:r w:rsidR="00950B90">
        <w:t xml:space="preserve">into its transmission rates </w:t>
      </w:r>
      <w:r w:rsidR="00317970">
        <w:t xml:space="preserve">as the default </w:t>
      </w:r>
      <w:r w:rsidRPr="00922371">
        <w:t>comports with longstanding Commission policy</w:t>
      </w:r>
      <w:r>
        <w:t xml:space="preserve">. </w:t>
      </w:r>
    </w:p>
    <w:p w14:paraId="13199712" w14:textId="77777777" w:rsidR="002C1A65" w:rsidRDefault="002C1A65" w:rsidP="00922371">
      <w:pPr>
        <w:pStyle w:val="FERCparanumber"/>
      </w:pPr>
      <w:r>
        <w:t xml:space="preserve">Second, we disagree with SACE that </w:t>
      </w:r>
      <w:r w:rsidR="001B39D8">
        <w:t xml:space="preserve">proposed </w:t>
      </w:r>
      <w:r w:rsidR="000616F0">
        <w:t>s</w:t>
      </w:r>
      <w:r>
        <w:t xml:space="preserve">ection 6.6.3 of Attachment A undermines the Commission’s policy on transmission pricing flexibility.  </w:t>
      </w:r>
      <w:r w:rsidR="006873ED">
        <w:t>As DEC correctly states, t</w:t>
      </w:r>
      <w:r>
        <w:t xml:space="preserve">he </w:t>
      </w:r>
      <w:r w:rsidRPr="00922371">
        <w:t>Transmission Pricing Policy Statement</w:t>
      </w:r>
      <w:r>
        <w:t xml:space="preserve"> gives the </w:t>
      </w:r>
      <w:r w:rsidRPr="00746134">
        <w:t xml:space="preserve">transmission provider, not the </w:t>
      </w:r>
      <w:r w:rsidR="00093CA0">
        <w:t xml:space="preserve">transmission </w:t>
      </w:r>
      <w:r w:rsidRPr="00746134">
        <w:t>customer, the option to charge the higher of the embedded or incremental cost rate.</w:t>
      </w:r>
      <w:r w:rsidRPr="00746134">
        <w:rPr>
          <w:b/>
          <w:vertAlign w:val="superscript"/>
        </w:rPr>
        <w:footnoteReference w:id="63"/>
      </w:r>
      <w:r>
        <w:t xml:space="preserve">  We are also unpersuaded by SACE’s related argument that DEC’s proposal is unjust and unreasonable because</w:t>
      </w:r>
      <w:r w:rsidR="00FE5039">
        <w:t xml:space="preserve"> it</w:t>
      </w:r>
      <w:r>
        <w:t xml:space="preserve"> would be difficult </w:t>
      </w:r>
      <w:r w:rsidR="003A0D73">
        <w:t xml:space="preserve">for DEC to justify </w:t>
      </w:r>
      <w:r>
        <w:t xml:space="preserve">a non-conforming NITSA that uses alternative pricing.  We agree with DEC that </w:t>
      </w:r>
      <w:r w:rsidR="001B05C8">
        <w:t xml:space="preserve">its proposed </w:t>
      </w:r>
      <w:r>
        <w:rPr>
          <w:i/>
          <w:iCs/>
        </w:rPr>
        <w:t xml:space="preserve">pro forma </w:t>
      </w:r>
      <w:r>
        <w:t xml:space="preserve">language does </w:t>
      </w:r>
      <w:r w:rsidRPr="00C66363">
        <w:t xml:space="preserve">not diminish DEC’s ability to file a </w:t>
      </w:r>
      <w:r w:rsidR="00EB461F">
        <w:t xml:space="preserve">                          </w:t>
      </w:r>
      <w:r w:rsidRPr="00C66363">
        <w:t xml:space="preserve">non-conforming NITSA should </w:t>
      </w:r>
      <w:r w:rsidR="00F52434">
        <w:t xml:space="preserve">it determine that </w:t>
      </w:r>
      <w:r w:rsidRPr="00C66363">
        <w:t xml:space="preserve">an alternative cost-recovery mechanism </w:t>
      </w:r>
      <w:r w:rsidR="00F52434">
        <w:t>is necessary</w:t>
      </w:r>
      <w:r w:rsidRPr="00C66363">
        <w:t xml:space="preserve"> to maintain just and reasonable rates</w:t>
      </w:r>
      <w:r>
        <w:t xml:space="preserve">.  </w:t>
      </w:r>
      <w:r w:rsidRPr="007C6D17">
        <w:t>The Commission on a case-by-case basis “analyzes proposed deviations from </w:t>
      </w:r>
      <w:r w:rsidRPr="007C6D17">
        <w:rPr>
          <w:i/>
          <w:iCs/>
        </w:rPr>
        <w:t>pro forma</w:t>
      </w:r>
      <w:r w:rsidRPr="007C6D17">
        <w:t> agreements to ensure that operational or other reasons make the non-conforming provisions necessary” such as “to address specific reliability concerns, novel legal issues, or other unique factors.</w:t>
      </w:r>
      <w:r>
        <w:t>”</w:t>
      </w:r>
      <w:r w:rsidRPr="007C6D17">
        <w:rPr>
          <w:b/>
          <w:vertAlign w:val="superscript"/>
        </w:rPr>
        <w:footnoteReference w:id="64"/>
      </w:r>
      <w:r>
        <w:t xml:space="preserve">  Accordingly, the Commission will consider non-conforming NITSAs that include an alternative </w:t>
      </w:r>
      <w:r w:rsidR="00B87549">
        <w:t>cost-</w:t>
      </w:r>
      <w:r>
        <w:t>recovery mechanism</w:t>
      </w:r>
      <w:r w:rsidR="009F0377">
        <w:t xml:space="preserve"> such as an incremental rate</w:t>
      </w:r>
      <w:r>
        <w:t>.</w:t>
      </w:r>
      <w:r>
        <w:rPr>
          <w:rStyle w:val="FootnoteReference"/>
        </w:rPr>
        <w:footnoteReference w:id="65"/>
      </w:r>
      <w:r>
        <w:t xml:space="preserve">      </w:t>
      </w:r>
      <w:r w:rsidRPr="00E302F6">
        <w:t xml:space="preserve"> </w:t>
      </w:r>
    </w:p>
    <w:p w14:paraId="57C544C3" w14:textId="77777777" w:rsidR="002C1A65" w:rsidRDefault="002C1A65" w:rsidP="00922371">
      <w:pPr>
        <w:pStyle w:val="FERCparanumber"/>
      </w:pPr>
      <w:r>
        <w:t xml:space="preserve">Third, </w:t>
      </w:r>
      <w:r w:rsidR="00E15507">
        <w:t>we note that</w:t>
      </w:r>
      <w:r w:rsidR="00081EBF">
        <w:t xml:space="preserve">, as is currently the case with respect to Network Upgrade cost </w:t>
      </w:r>
      <w:r w:rsidR="00EE2F7C">
        <w:t>challenges,</w:t>
      </w:r>
      <w:r w:rsidR="00E15507">
        <w:t xml:space="preserve"> </w:t>
      </w:r>
      <w:r>
        <w:t xml:space="preserve">transmission customers maintain the </w:t>
      </w:r>
      <w:r w:rsidR="00ED6ADD">
        <w:t xml:space="preserve">opportunity </w:t>
      </w:r>
      <w:r>
        <w:t>to challenge the</w:t>
      </w:r>
      <w:r w:rsidRPr="003F7931">
        <w:t xml:space="preserve"> recovery of </w:t>
      </w:r>
      <w:r w:rsidRPr="003F7931">
        <w:lastRenderedPageBreak/>
        <w:t>Network Upgrade</w:t>
      </w:r>
      <w:r w:rsidR="00F45EB2">
        <w:t xml:space="preserve"> cost</w:t>
      </w:r>
      <w:r w:rsidRPr="003F7931">
        <w:t>s through DEC’s annual transmission formula rate update</w:t>
      </w:r>
      <w:r>
        <w:rPr>
          <w:rStyle w:val="FootnoteReference"/>
        </w:rPr>
        <w:footnoteReference w:id="66"/>
      </w:r>
      <w:r w:rsidRPr="00E302F6">
        <w:t xml:space="preserve"> </w:t>
      </w:r>
      <w:r>
        <w:t xml:space="preserve">and to </w:t>
      </w:r>
      <w:r w:rsidRPr="006605F7">
        <w:t xml:space="preserve">file an FPA section 206 complaint </w:t>
      </w:r>
      <w:r w:rsidR="00F720F0">
        <w:t>if</w:t>
      </w:r>
      <w:r w:rsidR="00F720F0" w:rsidRPr="006605F7">
        <w:t xml:space="preserve"> </w:t>
      </w:r>
      <w:r w:rsidRPr="006605F7">
        <w:t>they believe that the cost allocation for particular Network Upgrades or the formula rate protocols are unjust and unreasonable.</w:t>
      </w:r>
      <w:r w:rsidRPr="006605F7">
        <w:rPr>
          <w:b/>
          <w:vertAlign w:val="superscript"/>
        </w:rPr>
        <w:footnoteReference w:id="67"/>
      </w:r>
      <w:r w:rsidRPr="00E302F6">
        <w:t xml:space="preserve"> </w:t>
      </w:r>
      <w:r>
        <w:t xml:space="preserve"> Neither avenue is affected by the fact that some Network Upgrades will be reflected initially in DEC’s EQRs.  Accordingly, we disagree with SACE that DEC’s proposed revisions negatively affect a network customer’s ability to </w:t>
      </w:r>
      <w:r w:rsidR="00E932C0">
        <w:t>challenge</w:t>
      </w:r>
      <w:r>
        <w:t xml:space="preserve"> Network Upgrade</w:t>
      </w:r>
      <w:r w:rsidR="00855421">
        <w:t xml:space="preserve"> costs in</w:t>
      </w:r>
      <w:r w:rsidR="0046607E">
        <w:t>cluded in</w:t>
      </w:r>
      <w:r w:rsidR="00855421">
        <w:t xml:space="preserve"> the rolled-in ra</w:t>
      </w:r>
      <w:r w:rsidR="009751A5">
        <w:t>te</w:t>
      </w:r>
      <w:r>
        <w:t xml:space="preserve">. </w:t>
      </w:r>
    </w:p>
    <w:p w14:paraId="45EBC1A9" w14:textId="77777777" w:rsidR="002C1A65" w:rsidRPr="000B71EA" w:rsidRDefault="002C1A65" w:rsidP="00A71215">
      <w:pPr>
        <w:pStyle w:val="FERCparanumber"/>
      </w:pPr>
      <w:r>
        <w:t>Fourth, we disagree with SACE that DEC</w:t>
      </w:r>
      <w:r w:rsidR="0080300D">
        <w:t xml:space="preserve"> </w:t>
      </w:r>
      <w:r w:rsidR="00584074">
        <w:t xml:space="preserve">was required to </w:t>
      </w:r>
      <w:r w:rsidR="00FC2694">
        <w:t xml:space="preserve">tie </w:t>
      </w:r>
      <w:r w:rsidR="000F244F">
        <w:t xml:space="preserve">the </w:t>
      </w:r>
      <w:r w:rsidR="00312326">
        <w:t>“</w:t>
      </w:r>
      <w:r w:rsidR="000F244F">
        <w:t xml:space="preserve">invocation of </w:t>
      </w:r>
      <w:r w:rsidRPr="00724A6C">
        <w:t xml:space="preserve">rolled-in rate treatment </w:t>
      </w:r>
      <w:r w:rsidR="000F244F">
        <w:t xml:space="preserve">in the </w:t>
      </w:r>
      <w:r w:rsidR="00EF38DD">
        <w:rPr>
          <w:i/>
          <w:iCs/>
        </w:rPr>
        <w:t xml:space="preserve">pro forma </w:t>
      </w:r>
      <w:r w:rsidR="00EF38DD">
        <w:t xml:space="preserve">NITSA </w:t>
      </w:r>
      <w:r w:rsidRPr="00724A6C">
        <w:t xml:space="preserve">to the large load growth that supports </w:t>
      </w:r>
      <w:r w:rsidR="00EF38DD">
        <w:t>its</w:t>
      </w:r>
      <w:r w:rsidRPr="00724A6C">
        <w:t xml:space="preserve"> other proposed changes</w:t>
      </w:r>
      <w:r>
        <w:t>.”</w:t>
      </w:r>
      <w:r>
        <w:rPr>
          <w:rStyle w:val="FootnoteReference"/>
        </w:rPr>
        <w:footnoteReference w:id="68"/>
      </w:r>
      <w:r>
        <w:t xml:space="preserve">  As discussed above, the Commission has a longstanding policy of </w:t>
      </w:r>
      <w:r w:rsidR="0025358C">
        <w:t xml:space="preserve">allowing transmission providers to </w:t>
      </w:r>
      <w:r>
        <w:t>roll the costs of Network Upgrades</w:t>
      </w:r>
      <w:r w:rsidR="0025358C">
        <w:t xml:space="preserve"> into their transmission rates</w:t>
      </w:r>
      <w:r>
        <w:t xml:space="preserve">.  That policy does not change based on the size or scope of Network Upgrades constructed to fulfill a transmission customer’s request for </w:t>
      </w:r>
      <w:r w:rsidR="00397529">
        <w:t>network service</w:t>
      </w:r>
      <w:r>
        <w:t>.</w:t>
      </w:r>
      <w:r w:rsidR="00B9105C">
        <w:rPr>
          <w:rStyle w:val="FootnoteReference"/>
        </w:rPr>
        <w:footnoteReference w:id="69"/>
      </w:r>
      <w:r>
        <w:t xml:space="preserve">  </w:t>
      </w:r>
    </w:p>
    <w:p w14:paraId="00713B8D" w14:textId="77777777" w:rsidR="004D7B77" w:rsidRPr="000B71EA" w:rsidRDefault="00B67569" w:rsidP="007171E7">
      <w:pPr>
        <w:pStyle w:val="FERCparanumber"/>
      </w:pPr>
      <w:bookmarkStart w:id="0" w:name="_Ref241503845"/>
      <w:r>
        <w:t>F</w:t>
      </w:r>
      <w:r w:rsidR="00183268">
        <w:t xml:space="preserve">inally, we </w:t>
      </w:r>
      <w:r w:rsidR="005529BA">
        <w:t>note that SACE’s</w:t>
      </w:r>
      <w:r w:rsidR="00DE199C">
        <w:t xml:space="preserve"> concerns</w:t>
      </w:r>
      <w:r w:rsidR="0000447C">
        <w:t xml:space="preserve"> regarding </w:t>
      </w:r>
      <w:r w:rsidR="00165882">
        <w:t xml:space="preserve">retail cost allocation </w:t>
      </w:r>
      <w:r w:rsidR="0032145C">
        <w:t xml:space="preserve">and rates pertaining to </w:t>
      </w:r>
      <w:r w:rsidR="00BB6911">
        <w:t>load additions are</w:t>
      </w:r>
      <w:r w:rsidR="00E95446">
        <w:t xml:space="preserve"> beyond </w:t>
      </w:r>
      <w:r w:rsidR="00E87766">
        <w:t>the Commission’s jurisdiction.</w:t>
      </w:r>
      <w:r w:rsidR="00E87766">
        <w:rPr>
          <w:rStyle w:val="FootnoteReference"/>
        </w:rPr>
        <w:footnoteReference w:id="70"/>
      </w:r>
      <w:bookmarkEnd w:id="0"/>
      <w:r w:rsidR="00DE199C">
        <w:t xml:space="preserve"> </w:t>
      </w:r>
      <w:r w:rsidR="00DD2996">
        <w:t xml:space="preserve"> </w:t>
      </w:r>
    </w:p>
    <w:p w14:paraId="13064AD2" w14:textId="77777777" w:rsidR="00700D60" w:rsidRPr="00942F21" w:rsidRDefault="00700D60" w:rsidP="00CA656B">
      <w:pPr>
        <w:pStyle w:val="Heading3"/>
      </w:pPr>
      <w:r w:rsidRPr="00942F21">
        <w:lastRenderedPageBreak/>
        <w:t>Shortfall Payments</w:t>
      </w:r>
      <w:r w:rsidR="005112F7">
        <w:t xml:space="preserve"> and Comparability of Terms </w:t>
      </w:r>
    </w:p>
    <w:p w14:paraId="73710F69" w14:textId="77777777" w:rsidR="00104646" w:rsidRDefault="00DD0FB0" w:rsidP="00CA656B">
      <w:pPr>
        <w:pStyle w:val="Heading4"/>
      </w:pPr>
      <w:r>
        <w:t xml:space="preserve">Filing </w:t>
      </w:r>
    </w:p>
    <w:p w14:paraId="53693288" w14:textId="77777777" w:rsidR="00EA16D6" w:rsidRDefault="00187BE4" w:rsidP="001E29A3">
      <w:pPr>
        <w:pStyle w:val="FERCparanumber"/>
      </w:pPr>
      <w:r w:rsidRPr="00A91F68">
        <w:t xml:space="preserve">DEC states that, to minimize the potential cost and reliability impacts of large load service requests on other transmission customers, section II.5 of </w:t>
      </w:r>
      <w:r w:rsidR="00776AAA">
        <w:t>proposed</w:t>
      </w:r>
      <w:r w:rsidRPr="00A91F68">
        <w:t xml:space="preserve"> Attachment F requires a Shortfall Payment for new</w:t>
      </w:r>
      <w:r w:rsidRPr="00054609">
        <w:t xml:space="preserve"> or transferred Network Load of 100 MW or greater.</w:t>
      </w:r>
      <w:r>
        <w:rPr>
          <w:rStyle w:val="FootnoteReference"/>
        </w:rPr>
        <w:footnoteReference w:id="71"/>
      </w:r>
      <w:r w:rsidRPr="00054609">
        <w:t xml:space="preserve">  </w:t>
      </w:r>
      <w:r w:rsidRPr="00237851">
        <w:t>Under this provision, the network customer must pay a Committed Revenue Contribution equal to 75% of the MW value in the load schedule for each applicable month and year during the 15-year period following the in-service date of the Network Upgrades required to accommodate the load</w:t>
      </w:r>
      <w:r w:rsidRPr="00054609">
        <w:t>.  DEC states that, beginning on June 1 following the network customer’s commercial operation date and continuing each calendar year thereafter until the expiration of the 15-year term, DEC shall determine whether the transmission customer’s Actual Revenue Contribution equals or exceeds the Committed Revenue Contribution for the prior billing year.</w:t>
      </w:r>
      <w:r w:rsidR="00EA40EE">
        <w:rPr>
          <w:rStyle w:val="FootnoteReference"/>
        </w:rPr>
        <w:footnoteReference w:id="72"/>
      </w:r>
      <w:r w:rsidRPr="00054609">
        <w:t xml:space="preserve">  </w:t>
      </w:r>
      <w:r w:rsidRPr="00237851">
        <w:t xml:space="preserve">DEC </w:t>
      </w:r>
      <w:r w:rsidRPr="00F9574E">
        <w:t xml:space="preserve">explains that, if the Actual Revenue Contribution does not equal or exceed the Committed Revenue Contribution for that calendar year, a “Customer Shortfall Event” is deemed to have occurred for that calendar year, and the </w:t>
      </w:r>
      <w:r w:rsidRPr="00054609">
        <w:t>customer would then have to make a Shortfall Payment to DEC’s transmission revenue requirement for each month and year the customer’s actual NITS falls short of the minimum, equivalent to the difference between the Actual Revenue Contribution and the Committed Revenue Contribution</w:t>
      </w:r>
      <w:r w:rsidR="0083223F">
        <w:t xml:space="preserve"> (</w:t>
      </w:r>
      <w:r w:rsidR="0083223F" w:rsidRPr="0083223F">
        <w:t>Transmission Customer Shortfall Payment Obligation)</w:t>
      </w:r>
      <w:r w:rsidRPr="00054609">
        <w:t>.</w:t>
      </w:r>
      <w:r>
        <w:rPr>
          <w:rStyle w:val="FootnoteReference"/>
        </w:rPr>
        <w:footnoteReference w:id="73"/>
      </w:r>
      <w:r w:rsidR="002B2F17">
        <w:t xml:space="preserve"> </w:t>
      </w:r>
      <w:r w:rsidR="0059678B">
        <w:t xml:space="preserve"> </w:t>
      </w:r>
      <w:r w:rsidR="002B2F17">
        <w:t>DEC states that the t</w:t>
      </w:r>
      <w:r w:rsidR="002B2F17" w:rsidRPr="002B2F17">
        <w:t xml:space="preserve">ransmission </w:t>
      </w:r>
      <w:r w:rsidR="002B2F17">
        <w:t>c</w:t>
      </w:r>
      <w:r w:rsidR="002B2F17" w:rsidRPr="002B2F17">
        <w:t>ustomer shall pay the Shortfall Payment Obligation within 20 days of receipt of the invoice, which</w:t>
      </w:r>
      <w:r w:rsidR="00935FBF">
        <w:t xml:space="preserve"> DEC explains</w:t>
      </w:r>
      <w:r w:rsidR="002B2F17" w:rsidRPr="002B2F17">
        <w:t xml:space="preserve"> is the standard payment period for bills relating to network transmission service.</w:t>
      </w:r>
      <w:r w:rsidR="002B2F17" w:rsidRPr="009E27CE">
        <w:rPr>
          <w:b/>
          <w:vertAlign w:val="superscript"/>
        </w:rPr>
        <w:footnoteReference w:id="74"/>
      </w:r>
      <w:r w:rsidRPr="009E27CE">
        <w:rPr>
          <w:b/>
        </w:rPr>
        <w:t xml:space="preserve">  </w:t>
      </w:r>
      <w:r w:rsidRPr="00054609">
        <w:t xml:space="preserve">DEC </w:t>
      </w:r>
      <w:r w:rsidR="00C80750">
        <w:t>ass</w:t>
      </w:r>
      <w:r w:rsidR="005848E9">
        <w:t>e</w:t>
      </w:r>
      <w:r w:rsidR="00C80750">
        <w:t>rts</w:t>
      </w:r>
      <w:r w:rsidR="00C80750" w:rsidRPr="00054609">
        <w:t xml:space="preserve"> </w:t>
      </w:r>
      <w:r w:rsidRPr="00054609">
        <w:t xml:space="preserve">that it chose the 100 MW threshold to distinguish </w:t>
      </w:r>
      <w:r>
        <w:t>large load</w:t>
      </w:r>
      <w:r w:rsidRPr="00054609">
        <w:t xml:space="preserve">s as presenting a higher risk of shifting costs to other customers if the load does not materialize.  </w:t>
      </w:r>
      <w:r w:rsidR="00126C72" w:rsidRPr="00126C72">
        <w:t>DEC explain</w:t>
      </w:r>
      <w:r w:rsidR="00126C72">
        <w:t>s</w:t>
      </w:r>
      <w:r w:rsidR="00126C72" w:rsidRPr="00126C72">
        <w:t xml:space="preserve"> that this threshold targets load requests likely to significantly affect the bulk electric system and note</w:t>
      </w:r>
      <w:r w:rsidR="009C7973">
        <w:t>s that “</w:t>
      </w:r>
      <w:r w:rsidR="00163381">
        <w:t>[it]</w:t>
      </w:r>
      <w:r w:rsidR="00126C72" w:rsidRPr="00126C72">
        <w:t xml:space="preserve"> </w:t>
      </w:r>
      <w:r w:rsidR="00163381" w:rsidRPr="00163381">
        <w:t xml:space="preserve">has been successful with reliably integrating and serving such loads less than 100 MW on </w:t>
      </w:r>
      <w:r w:rsidR="00163381">
        <w:t>[its]</w:t>
      </w:r>
      <w:r w:rsidR="00163381" w:rsidRPr="00163381">
        <w:t xml:space="preserve"> </w:t>
      </w:r>
      <w:r w:rsidR="00163381" w:rsidRPr="00163381">
        <w:lastRenderedPageBreak/>
        <w:t>system for decades</w:t>
      </w:r>
      <w:r w:rsidR="009D1D94">
        <w:t>.”</w:t>
      </w:r>
      <w:r w:rsidR="0079160F">
        <w:rPr>
          <w:rStyle w:val="FootnoteReference"/>
        </w:rPr>
        <w:footnoteReference w:id="75"/>
      </w:r>
      <w:r w:rsidR="001E29A3">
        <w:t xml:space="preserve">  </w:t>
      </w:r>
      <w:r w:rsidR="00126C72" w:rsidRPr="00126C72">
        <w:t xml:space="preserve">By setting the threshold at 100 MW or above, DEC </w:t>
      </w:r>
      <w:r w:rsidR="001E29A3">
        <w:t>states that it</w:t>
      </w:r>
      <w:r w:rsidR="000F10A4">
        <w:t xml:space="preserve"> aims</w:t>
      </w:r>
      <w:r w:rsidR="00407A1E">
        <w:t xml:space="preserve"> </w:t>
      </w:r>
      <w:r w:rsidR="00407A1E" w:rsidRPr="00407A1E">
        <w:t>“to achieve timely, orderly, and non-discriminatory interconnection by avoiding unintended consequences of subjecting load that has traditionally been effectively integrated through existing processes.”</w:t>
      </w:r>
      <w:r w:rsidR="00407A1E" w:rsidRPr="009E27CE">
        <w:rPr>
          <w:b/>
          <w:vertAlign w:val="superscript"/>
        </w:rPr>
        <w:footnoteReference w:id="76"/>
      </w:r>
      <w:r w:rsidR="00407A1E" w:rsidRPr="009E27CE">
        <w:rPr>
          <w:b/>
        </w:rPr>
        <w:t xml:space="preserve"> </w:t>
      </w:r>
      <w:r w:rsidR="00407A1E" w:rsidRPr="00407A1E">
        <w:t xml:space="preserve"> </w:t>
      </w:r>
      <w:r w:rsidR="009E46AF">
        <w:t>DEC states that this</w:t>
      </w:r>
      <w:r w:rsidR="00126C72" w:rsidRPr="00126C72">
        <w:t xml:space="preserve"> threshold also aligns with DEC’s retail agreements, which require increased customer protections for larger loads.</w:t>
      </w:r>
    </w:p>
    <w:p w14:paraId="05C4658D" w14:textId="77777777" w:rsidR="005112F7" w:rsidRPr="00F53E0C" w:rsidRDefault="00EA16D6" w:rsidP="005112F7">
      <w:pPr>
        <w:pStyle w:val="FERCparanumber"/>
      </w:pPr>
      <w:r>
        <w:t>DEC states that</w:t>
      </w:r>
      <w:r w:rsidR="00864A03">
        <w:t>,</w:t>
      </w:r>
      <w:r>
        <w:t xml:space="preserve"> </w:t>
      </w:r>
      <w:r w:rsidRPr="00EA16D6">
        <w:t xml:space="preserve">to prevent double recovery of transmission facility costs, </w:t>
      </w:r>
      <w:r w:rsidR="00722089" w:rsidRPr="00722089">
        <w:t xml:space="preserve">any payment made by a customer after a </w:t>
      </w:r>
      <w:r w:rsidR="00592341">
        <w:t>t</w:t>
      </w:r>
      <w:r w:rsidR="00722089" w:rsidRPr="00722089">
        <w:t xml:space="preserve">ransmission </w:t>
      </w:r>
      <w:r w:rsidR="00592341">
        <w:t>c</w:t>
      </w:r>
      <w:r w:rsidR="00722089" w:rsidRPr="00722089">
        <w:t>ustomer Shortfall Event will be reflected in the transmission provider</w:t>
      </w:r>
      <w:r w:rsidR="002D3FE1">
        <w:t>’</w:t>
      </w:r>
      <w:r w:rsidR="00722089" w:rsidRPr="00722089">
        <w:t>s cost of service</w:t>
      </w:r>
      <w:r w:rsidR="00E627A8" w:rsidRPr="00E627A8">
        <w:t xml:space="preserve"> </w:t>
      </w:r>
      <w:r w:rsidR="0065021A" w:rsidRPr="0065021A">
        <w:t>pursuant to Attachment H to the Joint OATT.</w:t>
      </w:r>
      <w:r w:rsidR="003273B8">
        <w:rPr>
          <w:rStyle w:val="FootnoteReference"/>
        </w:rPr>
        <w:footnoteReference w:id="77"/>
      </w:r>
      <w:r w:rsidR="0065021A" w:rsidRPr="0065021A">
        <w:t xml:space="preserve">  </w:t>
      </w:r>
      <w:r w:rsidR="00F53E0C">
        <w:t xml:space="preserve">DEC states that </w:t>
      </w:r>
      <w:r w:rsidR="008B7890">
        <w:t xml:space="preserve">rate treatment </w:t>
      </w:r>
      <w:r w:rsidR="001C6FB2">
        <w:t xml:space="preserve">of such proceeds </w:t>
      </w:r>
      <w:r w:rsidR="00050F7C">
        <w:t>should be appr</w:t>
      </w:r>
      <w:r w:rsidR="00913941">
        <w:t xml:space="preserve">opriately </w:t>
      </w:r>
      <w:r w:rsidR="0097121C">
        <w:t xml:space="preserve">addressed in </w:t>
      </w:r>
      <w:r w:rsidR="00AB2514">
        <w:t>the</w:t>
      </w:r>
      <w:r w:rsidR="0097121C">
        <w:t xml:space="preserve"> </w:t>
      </w:r>
      <w:r w:rsidR="00F53E0C" w:rsidRPr="00F53E0C">
        <w:t>annual formula rate update process</w:t>
      </w:r>
      <w:r w:rsidR="00321980">
        <w:t>.</w:t>
      </w:r>
    </w:p>
    <w:p w14:paraId="5A78730A" w14:textId="77777777" w:rsidR="001E6AF4" w:rsidRDefault="001E6AF4" w:rsidP="00CA656B">
      <w:pPr>
        <w:pStyle w:val="Heading4"/>
      </w:pPr>
      <w:proofErr w:type="spellStart"/>
      <w:r>
        <w:t>ElectriCities</w:t>
      </w:r>
      <w:proofErr w:type="spellEnd"/>
      <w:r>
        <w:t xml:space="preserve"> Protest </w:t>
      </w:r>
    </w:p>
    <w:p w14:paraId="59E235E6" w14:textId="77777777" w:rsidR="000F423A" w:rsidRPr="000F423A" w:rsidRDefault="00AE1A22" w:rsidP="007375B4">
      <w:pPr>
        <w:pStyle w:val="FERCparanumber"/>
      </w:pPr>
      <w:proofErr w:type="spellStart"/>
      <w:r>
        <w:t>E</w:t>
      </w:r>
      <w:r w:rsidRPr="00AE1A22">
        <w:t>lectriCities</w:t>
      </w:r>
      <w:proofErr w:type="spellEnd"/>
      <w:r w:rsidRPr="00AE1A22">
        <w:t xml:space="preserve"> objects to Duke’s proposed changes to network transmission service terms for customers seeking new or transferred loads of 100 MW or more.</w:t>
      </w:r>
      <w:r w:rsidR="00A146F7">
        <w:rPr>
          <w:rStyle w:val="FootnoteReference"/>
        </w:rPr>
        <w:footnoteReference w:id="78"/>
      </w:r>
      <w:r w:rsidR="00A146F7">
        <w:t xml:space="preserve"> </w:t>
      </w:r>
      <w:r w:rsidRPr="00AE1A22">
        <w:t xml:space="preserve"> While recognizing that Duke’s </w:t>
      </w:r>
      <w:r w:rsidR="00F41CD9">
        <w:t>proposal</w:t>
      </w:r>
      <w:r w:rsidRPr="00AE1A22">
        <w:t xml:space="preserve"> address</w:t>
      </w:r>
      <w:r w:rsidR="002415B5">
        <w:t>es</w:t>
      </w:r>
      <w:r w:rsidRPr="00AE1A22">
        <w:t xml:space="preserve"> industry challenges related to rapid load growth</w:t>
      </w:r>
      <w:r w:rsidR="006A0243">
        <w:t xml:space="preserve"> and </w:t>
      </w:r>
      <w:r w:rsidR="006A0243" w:rsidRPr="006A0243">
        <w:t>protect</w:t>
      </w:r>
      <w:r w:rsidR="006A0243">
        <w:t>s</w:t>
      </w:r>
      <w:r w:rsidR="006A0243" w:rsidRPr="006A0243">
        <w:t xml:space="preserve"> transmission customers against the costs of stranded </w:t>
      </w:r>
      <w:r w:rsidR="00DA4642">
        <w:t>N</w:t>
      </w:r>
      <w:r w:rsidR="00DA4642" w:rsidRPr="006A0243">
        <w:t xml:space="preserve">etwork </w:t>
      </w:r>
      <w:r w:rsidR="00DA4642">
        <w:t>U</w:t>
      </w:r>
      <w:r w:rsidR="00DA4642" w:rsidRPr="006A0243">
        <w:t xml:space="preserve">pgrades </w:t>
      </w:r>
      <w:r w:rsidR="006A0243" w:rsidRPr="006A0243">
        <w:t>designed to facilitate large loads that do not materialize</w:t>
      </w:r>
      <w:r w:rsidRPr="00AE1A22">
        <w:t xml:space="preserve">, </w:t>
      </w:r>
      <w:proofErr w:type="spellStart"/>
      <w:r w:rsidRPr="00AE1A22">
        <w:t>ElectriCities</w:t>
      </w:r>
      <w:proofErr w:type="spellEnd"/>
      <w:r w:rsidRPr="00AE1A22">
        <w:t xml:space="preserve"> claims </w:t>
      </w:r>
      <w:r w:rsidR="00EC58E5">
        <w:t>that</w:t>
      </w:r>
      <w:r w:rsidRPr="00AE1A22">
        <w:t xml:space="preserve"> Duke has not shown that the terms imposed on network customers—such as the </w:t>
      </w:r>
      <w:r w:rsidR="00906A69">
        <w:t xml:space="preserve">             </w:t>
      </w:r>
      <w:r w:rsidRPr="00AE1A22">
        <w:t>100 MW threshold, 15-year minimum term, and revenue shortfall payments—are genuinely comparable to those applied to Duke’s own retail customers.</w:t>
      </w:r>
      <w:r w:rsidR="0049674A">
        <w:t xml:space="preserve">  </w:t>
      </w:r>
      <w:proofErr w:type="spellStart"/>
      <w:r w:rsidR="00FE0E43">
        <w:t>ElectriCities</w:t>
      </w:r>
      <w:proofErr w:type="spellEnd"/>
      <w:r w:rsidR="00FE0E43">
        <w:t xml:space="preserve"> </w:t>
      </w:r>
      <w:r w:rsidR="00F73549">
        <w:t>is</w:t>
      </w:r>
      <w:r w:rsidR="00F73549" w:rsidRPr="00D6763B">
        <w:t xml:space="preserve"> </w:t>
      </w:r>
      <w:r w:rsidR="00D6763B" w:rsidRPr="00D6763B">
        <w:t>concern</w:t>
      </w:r>
      <w:r w:rsidR="00F73549">
        <w:t>ed</w:t>
      </w:r>
      <w:r w:rsidR="00D6763B" w:rsidRPr="00D6763B">
        <w:t xml:space="preserve"> that a lack of comparability could give Duke an unfair competitive advantage and shift risk and costs to its network transmission customers</w:t>
      </w:r>
      <w:proofErr w:type="gramStart"/>
      <w:r w:rsidR="00D6763B" w:rsidRPr="00D6763B">
        <w:t xml:space="preserve">. </w:t>
      </w:r>
      <w:proofErr w:type="spellStart"/>
      <w:proofErr w:type="gramEnd"/>
      <w:r w:rsidR="00D6763B" w:rsidRPr="00D6763B">
        <w:t>ElectriCities</w:t>
      </w:r>
      <w:proofErr w:type="spellEnd"/>
      <w:r w:rsidR="00D6763B" w:rsidRPr="00D6763B">
        <w:t xml:space="preserve"> urges the Commission to require Duke to </w:t>
      </w:r>
      <w:r w:rsidR="00ED75EA">
        <w:t xml:space="preserve">submit actual retail agreements or tariffs to demonstrate that </w:t>
      </w:r>
      <w:r w:rsidR="00D6763B" w:rsidRPr="00D6763B">
        <w:t>its proposed terms for network customers are consistent with those for its retail customers, especially for large load additions.</w:t>
      </w:r>
    </w:p>
    <w:p w14:paraId="563AAEA4" w14:textId="77777777" w:rsidR="005112F7" w:rsidRDefault="001E6AF4" w:rsidP="00CA656B">
      <w:pPr>
        <w:pStyle w:val="Heading4"/>
      </w:pPr>
      <w:r>
        <w:t xml:space="preserve">DEC Answer </w:t>
      </w:r>
    </w:p>
    <w:p w14:paraId="244AAD9C" w14:textId="77777777" w:rsidR="00D10F3B" w:rsidRDefault="00D10F3B" w:rsidP="00D10F3B">
      <w:pPr>
        <w:pStyle w:val="FERCparanumber"/>
      </w:pPr>
      <w:r w:rsidRPr="00D10F3B">
        <w:t>DEC emphasizes that</w:t>
      </w:r>
      <w:r w:rsidR="00784DB2">
        <w:t>,</w:t>
      </w:r>
      <w:r w:rsidRPr="00D10F3B">
        <w:t xml:space="preserve"> while it is committed to providing comparable transmission service to both wholesale and retail customers, the comparability standard does not require identical contract terms.</w:t>
      </w:r>
      <w:r w:rsidR="00846001">
        <w:rPr>
          <w:rStyle w:val="FootnoteReference"/>
        </w:rPr>
        <w:footnoteReference w:id="79"/>
      </w:r>
      <w:r w:rsidR="00846001">
        <w:t xml:space="preserve"> </w:t>
      </w:r>
      <w:r w:rsidRPr="00D10F3B">
        <w:t xml:space="preserve"> Instead, </w:t>
      </w:r>
      <w:r w:rsidR="006F236B">
        <w:t xml:space="preserve">Duke argues that </w:t>
      </w:r>
      <w:r w:rsidRPr="00D10F3B">
        <w:t xml:space="preserve">the standard—based on the </w:t>
      </w:r>
      <w:r w:rsidR="00084C4E">
        <w:lastRenderedPageBreak/>
        <w:t>FPA</w:t>
      </w:r>
      <w:r w:rsidRPr="00D10F3B">
        <w:t>’s prohibition of undue discrimination—requires similar treatment only for entities that are similarly situated</w:t>
      </w:r>
      <w:r w:rsidR="00A07F12">
        <w:t>.</w:t>
      </w:r>
      <w:r w:rsidR="0057581E">
        <w:t xml:space="preserve">  </w:t>
      </w:r>
      <w:r w:rsidRPr="00D10F3B">
        <w:t xml:space="preserve">Because wholesale network transmission service customers and </w:t>
      </w:r>
      <w:proofErr w:type="gramStart"/>
      <w:r w:rsidRPr="00D10F3B">
        <w:t>large load</w:t>
      </w:r>
      <w:proofErr w:type="gramEnd"/>
      <w:r w:rsidRPr="00D10F3B">
        <w:t xml:space="preserve"> retail customers receiving bundled service are fundamentally different in their service offerings and associated risks, </w:t>
      </w:r>
      <w:r w:rsidR="00C23EE0">
        <w:t xml:space="preserve">DEC argues that </w:t>
      </w:r>
      <w:r w:rsidRPr="00D10F3B">
        <w:t xml:space="preserve">comparable but not identical terms are justified. </w:t>
      </w:r>
      <w:r w:rsidR="000A34B4">
        <w:t xml:space="preserve"> </w:t>
      </w:r>
      <w:r w:rsidRPr="00D10F3B">
        <w:t>DEC agrees</w:t>
      </w:r>
      <w:r w:rsidR="000A34B4">
        <w:t xml:space="preserve"> with </w:t>
      </w:r>
      <w:proofErr w:type="spellStart"/>
      <w:r w:rsidR="000A34B4">
        <w:t>ElectriCities</w:t>
      </w:r>
      <w:proofErr w:type="spellEnd"/>
      <w:r w:rsidR="000A34B4">
        <w:t xml:space="preserve"> </w:t>
      </w:r>
      <w:r w:rsidR="00C65644">
        <w:t>that</w:t>
      </w:r>
      <w:r w:rsidRPr="00D10F3B">
        <w:t xml:space="preserve"> comparability is important, especially for new or transferred network loads greater than 100 MW</w:t>
      </w:r>
      <w:r w:rsidR="00E22959">
        <w:t xml:space="preserve"> for both wholesale and retail customers,</w:t>
      </w:r>
      <w:r w:rsidRPr="00D10F3B">
        <w:t xml:space="preserve"> and notes that its proposed revisions ensure </w:t>
      </w:r>
      <w:r w:rsidR="00780D48">
        <w:t xml:space="preserve">that </w:t>
      </w:r>
      <w:r w:rsidRPr="00D10F3B">
        <w:t xml:space="preserve">wholesale customers are subject to protection terms </w:t>
      </w:r>
      <w:proofErr w:type="gramStart"/>
      <w:r w:rsidRPr="00D10F3B">
        <w:t>similar to</w:t>
      </w:r>
      <w:proofErr w:type="gramEnd"/>
      <w:r w:rsidRPr="00D10F3B">
        <w:t xml:space="preserve"> those already required of retail large load customers.</w:t>
      </w:r>
    </w:p>
    <w:p w14:paraId="5FF2FFF4" w14:textId="77777777" w:rsidR="005B18B9" w:rsidRDefault="006E783F" w:rsidP="005B18B9">
      <w:pPr>
        <w:pStyle w:val="FERCparanumber"/>
        <w:rPr>
          <w:sz w:val="24"/>
          <w:szCs w:val="24"/>
        </w:rPr>
      </w:pPr>
      <w:r>
        <w:t xml:space="preserve">To the argument that DEC </w:t>
      </w:r>
      <w:r w:rsidR="005B18B9">
        <w:t>has not submitted actual retail agreements or tariffs to demonstrate that its proposed terms for large load customers are consistent across wholesale and retail services</w:t>
      </w:r>
      <w:r w:rsidR="00004A10">
        <w:t>,</w:t>
      </w:r>
      <w:r w:rsidR="005B18B9">
        <w:t xml:space="preserve"> DEC responds that filing these agreements is unnecessary </w:t>
      </w:r>
      <w:r w:rsidR="0095604B">
        <w:t xml:space="preserve">because </w:t>
      </w:r>
      <w:r w:rsidR="005B18B9">
        <w:t>all current retail tariffs, rate schedules, and service regulations are publicly accessible online.</w:t>
      </w:r>
      <w:r w:rsidR="00A92C55">
        <w:rPr>
          <w:rStyle w:val="FootnoteReference"/>
        </w:rPr>
        <w:footnoteReference w:id="80"/>
      </w:r>
      <w:r w:rsidR="005B18B9">
        <w:t xml:space="preserve"> </w:t>
      </w:r>
    </w:p>
    <w:p w14:paraId="08521C05" w14:textId="77777777" w:rsidR="009927B9" w:rsidRDefault="005B18B9" w:rsidP="006D596B">
      <w:pPr>
        <w:pStyle w:val="FERCparanumber"/>
      </w:pPr>
      <w:r>
        <w:t xml:space="preserve">DEC </w:t>
      </w:r>
      <w:r w:rsidR="008C1830">
        <w:t xml:space="preserve">states that it </w:t>
      </w:r>
      <w:r>
        <w:t>applies a 100 MW threshold</w:t>
      </w:r>
      <w:r w:rsidR="00530B44">
        <w:t xml:space="preserve"> to distinguish large loads</w:t>
      </w:r>
      <w:r>
        <w:t xml:space="preserve"> for both wholesale and retail customers.</w:t>
      </w:r>
      <w:r w:rsidR="00646E21">
        <w:rPr>
          <w:rStyle w:val="FootnoteReference"/>
        </w:rPr>
        <w:footnoteReference w:id="81"/>
      </w:r>
      <w:r>
        <w:t xml:space="preserve"> </w:t>
      </w:r>
      <w:r w:rsidR="007F2310">
        <w:t xml:space="preserve"> </w:t>
      </w:r>
      <w:r>
        <w:t xml:space="preserve">Additionally, DEC </w:t>
      </w:r>
      <w:r w:rsidR="00E100ED">
        <w:t>states</w:t>
      </w:r>
      <w:r w:rsidR="008D6F69">
        <w:t xml:space="preserve"> that it</w:t>
      </w:r>
      <w:r w:rsidR="00E100ED">
        <w:t xml:space="preserve"> </w:t>
      </w:r>
      <w:r>
        <w:t xml:space="preserve">requires a 15-year minimum contract term for both wholesale and retail customers with loads of 100 MW or </w:t>
      </w:r>
      <w:r w:rsidR="000B20FC">
        <w:t>greater</w:t>
      </w:r>
      <w:r>
        <w:t>.</w:t>
      </w:r>
      <w:r w:rsidR="00E8787A">
        <w:rPr>
          <w:rStyle w:val="FootnoteReference"/>
        </w:rPr>
        <w:footnoteReference w:id="82"/>
      </w:r>
      <w:r w:rsidR="006D596B">
        <w:t xml:space="preserve"> </w:t>
      </w:r>
      <w:r w:rsidR="00183688">
        <w:t xml:space="preserve"> </w:t>
      </w:r>
      <w:r w:rsidR="009927B9">
        <w:t xml:space="preserve">DEC </w:t>
      </w:r>
      <w:r w:rsidR="00956BB3">
        <w:t xml:space="preserve">states </w:t>
      </w:r>
      <w:r w:rsidR="008D6F69">
        <w:t>that it requires</w:t>
      </w:r>
      <w:r w:rsidR="009927B9">
        <w:t xml:space="preserve"> both retail and wholesale customers with loads of 100 MW or greater to provide security</w:t>
      </w:r>
      <w:r w:rsidR="00021C70">
        <w:t xml:space="preserve"> for Network Upgrades</w:t>
      </w:r>
      <w:r w:rsidR="009927B9">
        <w:t>, which can take the form of cash, letter of credit, or, for retail customers with corporate parents, parent guarantees.</w:t>
      </w:r>
      <w:r w:rsidR="00CA5FEB">
        <w:t xml:space="preserve">  </w:t>
      </w:r>
      <w:r w:rsidR="002C1818">
        <w:t>DEC states that w</w:t>
      </w:r>
      <w:r w:rsidR="009927B9">
        <w:t>holesale customers, typically municipalities and cooperatives, do not have parent entities that can offer such guarantees.</w:t>
      </w:r>
      <w:r w:rsidR="00047F0A">
        <w:t xml:space="preserve"> </w:t>
      </w:r>
    </w:p>
    <w:p w14:paraId="5109A044" w14:textId="77777777" w:rsidR="009927B9" w:rsidRDefault="009927B9" w:rsidP="009927B9">
      <w:pPr>
        <w:pStyle w:val="FERCparanumber"/>
      </w:pPr>
      <w:r>
        <w:t xml:space="preserve">Additionally, </w:t>
      </w:r>
      <w:r w:rsidR="00EF3B4E">
        <w:t>DEC explains that</w:t>
      </w:r>
      <w:r>
        <w:t xml:space="preserve"> both </w:t>
      </w:r>
      <w:r w:rsidR="001957F4" w:rsidRPr="001957F4">
        <w:t>retail and wholesale customers</w:t>
      </w:r>
      <w:r w:rsidR="000B20FC">
        <w:t xml:space="preserve"> whose loads are 100 MW or greater</w:t>
      </w:r>
      <w:r w:rsidR="001957F4" w:rsidRPr="001957F4">
        <w:t xml:space="preserve"> </w:t>
      </w:r>
      <w:r>
        <w:t>must pay a shortfall liability</w:t>
      </w:r>
      <w:r w:rsidR="000B20FC">
        <w:t xml:space="preserve"> payment</w:t>
      </w:r>
      <w:r>
        <w:t xml:space="preserve"> if their actual load falls below 75% of the forecasted amount</w:t>
      </w:r>
      <w:r w:rsidR="003A7C76">
        <w:t>.</w:t>
      </w:r>
      <w:r w:rsidR="003A7C76">
        <w:rPr>
          <w:rStyle w:val="FootnoteReference"/>
        </w:rPr>
        <w:footnoteReference w:id="83"/>
      </w:r>
      <w:r>
        <w:t xml:space="preserve"> </w:t>
      </w:r>
      <w:r w:rsidR="005B0DAD">
        <w:t xml:space="preserve"> </w:t>
      </w:r>
      <w:r w:rsidR="00D83C31">
        <w:t>DEC explains that f</w:t>
      </w:r>
      <w:r>
        <w:t xml:space="preserve">or wholesale customers, this is based on </w:t>
      </w:r>
      <w:r w:rsidR="0068366A">
        <w:t xml:space="preserve">whether they achieve 75% of their </w:t>
      </w:r>
      <w:r>
        <w:t>committed revenue contributions to transmission rates</w:t>
      </w:r>
      <w:r w:rsidR="00957471">
        <w:t xml:space="preserve"> </w:t>
      </w:r>
      <w:r w:rsidR="00957471" w:rsidRPr="00957471">
        <w:t>based on the amount of load they identified in their request for change in network service provided to</w:t>
      </w:r>
      <w:r w:rsidR="0068366A">
        <w:t xml:space="preserve"> the transmission provider. </w:t>
      </w:r>
      <w:r w:rsidR="00965F4D">
        <w:t xml:space="preserve"> </w:t>
      </w:r>
      <w:r w:rsidR="003C2C54">
        <w:t>F</w:t>
      </w:r>
      <w:r>
        <w:t xml:space="preserve">or retail customers, </w:t>
      </w:r>
      <w:r w:rsidR="00965F4D">
        <w:t xml:space="preserve">the </w:t>
      </w:r>
      <w:r w:rsidR="00965F4D" w:rsidRPr="00965F4D">
        <w:t>75% threshold is based on whether they achieve 75%</w:t>
      </w:r>
      <w:r>
        <w:t xml:space="preserve"> based on billing demand for </w:t>
      </w:r>
      <w:r w:rsidR="00965F4D">
        <w:t>retail</w:t>
      </w:r>
      <w:r>
        <w:t xml:space="preserve"> </w:t>
      </w:r>
      <w:proofErr w:type="gramStart"/>
      <w:r>
        <w:t>service</w:t>
      </w:r>
      <w:proofErr w:type="gramEnd"/>
      <w:r>
        <w:t xml:space="preserve">. </w:t>
      </w:r>
      <w:r w:rsidR="005B0DAD">
        <w:t xml:space="preserve"> </w:t>
      </w:r>
    </w:p>
    <w:p w14:paraId="7956303C" w14:textId="77777777" w:rsidR="00B22027" w:rsidRPr="00B22027" w:rsidRDefault="009927B9" w:rsidP="00D27B7E">
      <w:pPr>
        <w:pStyle w:val="FERCparanumber"/>
      </w:pPr>
      <w:r>
        <w:lastRenderedPageBreak/>
        <w:t>DEC</w:t>
      </w:r>
      <w:r w:rsidR="00D83C31">
        <w:t xml:space="preserve"> argues that it has</w:t>
      </w:r>
      <w:r>
        <w:t xml:space="preserve"> demonstrate</w:t>
      </w:r>
      <w:r w:rsidR="00D83C31">
        <w:t>d</w:t>
      </w:r>
      <w:r>
        <w:t xml:space="preserve"> that its proposed terms for large load customers are comparable across both wholesale and retail services, </w:t>
      </w:r>
      <w:r w:rsidR="00802841">
        <w:t>and t</w:t>
      </w:r>
      <w:r w:rsidR="00802841" w:rsidRPr="00802841">
        <w:t xml:space="preserve">herefore, the proposed </w:t>
      </w:r>
      <w:r w:rsidR="00802841" w:rsidRPr="00802841">
        <w:rPr>
          <w:i/>
          <w:iCs/>
        </w:rPr>
        <w:t>pro forma</w:t>
      </w:r>
      <w:r w:rsidR="00802841">
        <w:t xml:space="preserve"> </w:t>
      </w:r>
      <w:r w:rsidR="00802841" w:rsidRPr="00802841">
        <w:t xml:space="preserve">NITSA terms are </w:t>
      </w:r>
      <w:proofErr w:type="gramStart"/>
      <w:r w:rsidR="00802841" w:rsidRPr="00802841">
        <w:t>just,</w:t>
      </w:r>
      <w:proofErr w:type="gramEnd"/>
      <w:r w:rsidR="00802841" w:rsidRPr="00802841">
        <w:t xml:space="preserve"> reasonable, and not unduly discriminatory or preferential</w:t>
      </w:r>
      <w:r w:rsidR="00802841">
        <w:t xml:space="preserve">. </w:t>
      </w:r>
    </w:p>
    <w:p w14:paraId="7A855E56" w14:textId="77777777" w:rsidR="00700D60" w:rsidRDefault="00700D60" w:rsidP="00CA656B">
      <w:pPr>
        <w:pStyle w:val="Heading4"/>
      </w:pPr>
      <w:r>
        <w:t>Deficiency Response</w:t>
      </w:r>
    </w:p>
    <w:p w14:paraId="698102D9" w14:textId="77777777" w:rsidR="00700D60" w:rsidRDefault="00700D60" w:rsidP="00A40A63">
      <w:pPr>
        <w:pStyle w:val="FERCparanumber"/>
      </w:pPr>
      <w:r>
        <w:t>The Deficiency Letter asked DEC to confirm whether any portion of the Shortfall Payment made under Attachment F is also recovered through transmission rates under section 6.6.3 of Attachment A and to identify the tariff provision that prevents double recovery.</w:t>
      </w:r>
      <w:r w:rsidR="00BA5CF5">
        <w:rPr>
          <w:rStyle w:val="FootnoteReference"/>
        </w:rPr>
        <w:footnoteReference w:id="84"/>
      </w:r>
      <w:r>
        <w:t xml:space="preserve">  In response, DEC clarifies that it is not seeking to recover the amount of a Shortfall Payment from both </w:t>
      </w:r>
      <w:r w:rsidR="00EC764E">
        <w:t xml:space="preserve">(1) </w:t>
      </w:r>
      <w:r>
        <w:t xml:space="preserve">wholesale transmission customers paying wholesale transmission formula rates and </w:t>
      </w:r>
      <w:r w:rsidR="009163D2">
        <w:t>(2)</w:t>
      </w:r>
      <w:r>
        <w:t xml:space="preserve"> the individual NITS customer responsible</w:t>
      </w:r>
      <w:r w:rsidR="00F35691">
        <w:t xml:space="preserve"> for the shortfall payment</w:t>
      </w:r>
      <w:r>
        <w:t>.</w:t>
      </w:r>
      <w:r w:rsidR="00D67FCA">
        <w:rPr>
          <w:rStyle w:val="FootnoteReference"/>
        </w:rPr>
        <w:footnoteReference w:id="85"/>
      </w:r>
      <w:r>
        <w:t xml:space="preserve">  DEC </w:t>
      </w:r>
      <w:r w:rsidR="00851D83">
        <w:t xml:space="preserve">explains </w:t>
      </w:r>
      <w:r>
        <w:t xml:space="preserve">that </w:t>
      </w:r>
      <w:r w:rsidR="000C01B3">
        <w:t xml:space="preserve">section </w:t>
      </w:r>
      <w:r>
        <w:t xml:space="preserve">II.5 of Attachment F is structured to prevent double recovery by providing a direct charging mechanism via an invoice to be sent by the </w:t>
      </w:r>
      <w:r w:rsidR="002B500B">
        <w:t>t</w:t>
      </w:r>
      <w:r>
        <w:t xml:space="preserve">ransmission </w:t>
      </w:r>
      <w:r w:rsidR="002B500B">
        <w:t>p</w:t>
      </w:r>
      <w:r>
        <w:t xml:space="preserve">rovider to only the NITS customer responsible for the Shortfall Payment per the terms of its individual NITSA.  DEC explains that sections 5.1-5.5 of section II of Attachment F describe how the Shortfall Payment is calculated and invoiced, which is specific to the </w:t>
      </w:r>
      <w:proofErr w:type="gramStart"/>
      <w:r>
        <w:t>particular NITS</w:t>
      </w:r>
      <w:proofErr w:type="gramEnd"/>
      <w:r>
        <w:t xml:space="preserve"> customer, and not</w:t>
      </w:r>
      <w:r w:rsidR="00792A36">
        <w:t xml:space="preserve"> charged</w:t>
      </w:r>
      <w:r>
        <w:t xml:space="preserve"> to transmission customers via formula rates.  Thus, DEC states that </w:t>
      </w:r>
      <w:r w:rsidR="00B40C80">
        <w:t xml:space="preserve">the </w:t>
      </w:r>
      <w:r w:rsidR="00920625">
        <w:t>S</w:t>
      </w:r>
      <w:r w:rsidR="00A40A63" w:rsidRPr="00A40A63">
        <w:t xml:space="preserve">hortfall </w:t>
      </w:r>
      <w:r w:rsidR="00920625">
        <w:t>P</w:t>
      </w:r>
      <w:r w:rsidR="00A40A63" w:rsidRPr="00A40A63">
        <w:t xml:space="preserve">ayment would not be included in DEC’s wholesale transmission formula rates as an addition to the transmission revenue requirement because the </w:t>
      </w:r>
      <w:r w:rsidR="00920625">
        <w:t>S</w:t>
      </w:r>
      <w:r w:rsidR="00A40A63" w:rsidRPr="00A40A63">
        <w:t xml:space="preserve">hortfall </w:t>
      </w:r>
      <w:r w:rsidR="00920625">
        <w:t>P</w:t>
      </w:r>
      <w:r w:rsidR="00A40A63" w:rsidRPr="00A40A63">
        <w:t>ayment would be charged to a particular NITS customer</w:t>
      </w:r>
      <w:r w:rsidR="00A40A63">
        <w:t>.</w:t>
      </w:r>
    </w:p>
    <w:p w14:paraId="1557378B" w14:textId="77777777" w:rsidR="003E01CC" w:rsidRPr="003E01CC" w:rsidRDefault="00700D60" w:rsidP="00B63156">
      <w:pPr>
        <w:pStyle w:val="FERCparanumber"/>
      </w:pPr>
      <w:r>
        <w:t>The Deficiency Letter also asked DEC, to the extent a Shortfall Payment is credited to formula rates, how and when it is reflected through Attachment H.</w:t>
      </w:r>
      <w:r w:rsidR="00B3487B">
        <w:rPr>
          <w:rStyle w:val="FootnoteReference"/>
        </w:rPr>
        <w:footnoteReference w:id="86"/>
      </w:r>
      <w:r>
        <w:t xml:space="preserve">  DEC asserts that any Shortfall Payment paid by the obligated NITS customer would be credited to FERC Account No. 456.</w:t>
      </w:r>
      <w:r w:rsidR="0003202F">
        <w:rPr>
          <w:rStyle w:val="FootnoteReference"/>
        </w:rPr>
        <w:footnoteReference w:id="87"/>
      </w:r>
      <w:r>
        <w:t xml:space="preserve">  DEC explains that FERC Account No. 456 is a revenue account, not an expense account, and that within the transmission formula rate, balances in Account No. 456 are credited to</w:t>
      </w:r>
      <w:r w:rsidR="00F045EA">
        <w:t xml:space="preserve"> and reduce</w:t>
      </w:r>
      <w:r>
        <w:t xml:space="preserve"> the transmission revenue requirement</w:t>
      </w:r>
      <w:r w:rsidR="00877A81">
        <w:t xml:space="preserve">, </w:t>
      </w:r>
      <w:r w:rsidR="00877A81" w:rsidRPr="00877A81">
        <w:t>which benefits all OATT formula rate customers</w:t>
      </w:r>
      <w:r>
        <w:t xml:space="preserve">. </w:t>
      </w:r>
      <w:r w:rsidR="00EC1263">
        <w:t xml:space="preserve"> </w:t>
      </w:r>
      <w:r>
        <w:t xml:space="preserve">DEC </w:t>
      </w:r>
      <w:r w:rsidR="0043037C">
        <w:t xml:space="preserve">explains that </w:t>
      </w:r>
      <w:r w:rsidR="0041106D" w:rsidRPr="0041106D">
        <w:t>the formula rate update process occurs on an annual basis</w:t>
      </w:r>
      <w:r w:rsidR="0041106D">
        <w:t xml:space="preserve"> in May,</w:t>
      </w:r>
      <w:r w:rsidR="00021D1B">
        <w:t xml:space="preserve"> </w:t>
      </w:r>
      <w:r w:rsidR="00BA1DB0">
        <w:t>using</w:t>
      </w:r>
      <w:r w:rsidR="00021D1B" w:rsidRPr="00021D1B">
        <w:t xml:space="preserve"> the prior calendar year FERC Form No. 1 data to populate the formula rat</w:t>
      </w:r>
      <w:r w:rsidR="00021D1B">
        <w:t xml:space="preserve">e. </w:t>
      </w:r>
      <w:r w:rsidR="00316BDD">
        <w:t xml:space="preserve"> </w:t>
      </w:r>
      <w:r w:rsidR="00021D1B">
        <w:t xml:space="preserve">Thus, </w:t>
      </w:r>
      <w:r w:rsidR="001F5176">
        <w:t xml:space="preserve">DEC states, </w:t>
      </w:r>
      <w:r w:rsidR="00021D1B">
        <w:t>a</w:t>
      </w:r>
      <w:r>
        <w:t xml:space="preserve"> revenue credit for a Shortfall Payment will be reflected in the transmission formula rate that is based on FERC Form No. 1 for the year in which the Shortfall Payment occurred.</w:t>
      </w:r>
      <w:r w:rsidR="00B63156">
        <w:t xml:space="preserve">  </w:t>
      </w:r>
      <w:r w:rsidR="003E01CC">
        <w:t xml:space="preserve">DEC </w:t>
      </w:r>
      <w:r w:rsidR="003E01CC">
        <w:lastRenderedPageBreak/>
        <w:t>states that, for example, if</w:t>
      </w:r>
      <w:r w:rsidR="001A7244">
        <w:t xml:space="preserve"> it</w:t>
      </w:r>
      <w:r w:rsidR="003E01CC" w:rsidRPr="003E01CC">
        <w:t xml:space="preserve"> receives a </w:t>
      </w:r>
      <w:r w:rsidR="00A727A9">
        <w:t>S</w:t>
      </w:r>
      <w:r w:rsidR="003E01CC" w:rsidRPr="003E01CC">
        <w:t xml:space="preserve">hortfall </w:t>
      </w:r>
      <w:r w:rsidR="00A727A9">
        <w:t>P</w:t>
      </w:r>
      <w:r w:rsidR="003E01CC" w:rsidRPr="003E01CC">
        <w:t xml:space="preserve">ayment from a </w:t>
      </w:r>
      <w:proofErr w:type="gramStart"/>
      <w:r w:rsidR="003E01CC" w:rsidRPr="003E01CC">
        <w:t>NITS</w:t>
      </w:r>
      <w:proofErr w:type="gramEnd"/>
      <w:r w:rsidR="003E01CC" w:rsidRPr="003E01CC">
        <w:t xml:space="preserve"> customer in 2028, the payment will be recorded in FERC Account No. 456 and reported in DEC’s 2028 FERC Form No. 1. </w:t>
      </w:r>
      <w:r w:rsidR="00A727A9">
        <w:t xml:space="preserve"> </w:t>
      </w:r>
      <w:r w:rsidR="003E01CC" w:rsidRPr="003E01CC">
        <w:t xml:space="preserve">The amount </w:t>
      </w:r>
      <w:r w:rsidR="001B4184" w:rsidRPr="001B4184">
        <w:t>in Account No. 456</w:t>
      </w:r>
      <w:r w:rsidR="001B4184">
        <w:t xml:space="preserve"> </w:t>
      </w:r>
      <w:r w:rsidR="003E01CC" w:rsidRPr="003E01CC">
        <w:t xml:space="preserve">will then be </w:t>
      </w:r>
      <w:r w:rsidR="003769C6">
        <w:t>incorporated</w:t>
      </w:r>
      <w:r w:rsidR="003769C6" w:rsidRPr="003E01CC">
        <w:t xml:space="preserve"> </w:t>
      </w:r>
      <w:r w:rsidR="003E01CC" w:rsidRPr="003E01CC">
        <w:t xml:space="preserve">into the wholesale formula rate during the 2029 Annual Update, impacting rates charged to customers from June 1, </w:t>
      </w:r>
      <w:proofErr w:type="gramStart"/>
      <w:r w:rsidR="003E01CC" w:rsidRPr="003E01CC">
        <w:t>2029</w:t>
      </w:r>
      <w:proofErr w:type="gramEnd"/>
      <w:r w:rsidR="003E01CC" w:rsidRPr="003E01CC">
        <w:t xml:space="preserve"> to May 31, 2030.</w:t>
      </w:r>
    </w:p>
    <w:p w14:paraId="4DFA9AE0" w14:textId="77777777" w:rsidR="00700D60" w:rsidRPr="00E015D5" w:rsidRDefault="00865C23" w:rsidP="00B45F1E">
      <w:pPr>
        <w:pStyle w:val="FERCparanumber"/>
      </w:pPr>
      <w:r w:rsidRPr="00865C23">
        <w:t>DEC</w:t>
      </w:r>
      <w:r>
        <w:t xml:space="preserve"> notes that it does not</w:t>
      </w:r>
      <w:r w:rsidRPr="00865C23">
        <w:t xml:space="preserve"> currently h</w:t>
      </w:r>
      <w:r w:rsidR="00717523">
        <w:t xml:space="preserve">ave any </w:t>
      </w:r>
      <w:r w:rsidRPr="00865C23">
        <w:t>active or pending NITS</w:t>
      </w:r>
      <w:r w:rsidR="00717523">
        <w:t>A</w:t>
      </w:r>
      <w:r w:rsidRPr="00865C23">
        <w:t xml:space="preserve"> </w:t>
      </w:r>
      <w:r w:rsidR="00717523">
        <w:t>a</w:t>
      </w:r>
      <w:r w:rsidRPr="00865C23">
        <w:t xml:space="preserve">greements with customers that include the shortfall liability provisions described in </w:t>
      </w:r>
      <w:r w:rsidR="0065616E">
        <w:t xml:space="preserve">the proposed </w:t>
      </w:r>
      <w:r w:rsidR="0065616E" w:rsidRPr="0065616E">
        <w:rPr>
          <w:i/>
          <w:iCs/>
        </w:rPr>
        <w:t>pro forma</w:t>
      </w:r>
      <w:r w:rsidR="0065616E">
        <w:t xml:space="preserve"> NITSA</w:t>
      </w:r>
      <w:r w:rsidRPr="00865C23">
        <w:t>.</w:t>
      </w:r>
      <w:r w:rsidR="00483A0B">
        <w:rPr>
          <w:rStyle w:val="FootnoteReference"/>
        </w:rPr>
        <w:footnoteReference w:id="88"/>
      </w:r>
      <w:r w:rsidR="00483A0B">
        <w:t xml:space="preserve"> </w:t>
      </w:r>
      <w:r w:rsidRPr="00865C23">
        <w:t xml:space="preserve"> </w:t>
      </w:r>
      <w:r w:rsidR="0065616E">
        <w:t>DEC contends that</w:t>
      </w:r>
      <w:r w:rsidR="00640391">
        <w:t xml:space="preserve"> a</w:t>
      </w:r>
      <w:r w:rsidRPr="00865C23">
        <w:t xml:space="preserve"> shortfall liability situation can only occur if several specific steps take place</w:t>
      </w:r>
      <w:r w:rsidR="004142F6">
        <w:t xml:space="preserve">: </w:t>
      </w:r>
      <w:r w:rsidR="004B00E3">
        <w:t xml:space="preserve"> </w:t>
      </w:r>
      <w:r w:rsidR="00483A0B" w:rsidRPr="00483A0B">
        <w:t>(</w:t>
      </w:r>
      <w:r w:rsidR="004B00E3">
        <w:t>1</w:t>
      </w:r>
      <w:r w:rsidR="00483A0B" w:rsidRPr="00483A0B">
        <w:t xml:space="preserve">) a DEC NITS customer proposes changes to NITS involving a load </w:t>
      </w:r>
      <w:r w:rsidR="00424B7C">
        <w:t>of</w:t>
      </w:r>
      <w:r w:rsidR="00483A0B" w:rsidRPr="00483A0B">
        <w:t xml:space="preserve"> 100 MW or greater</w:t>
      </w:r>
      <w:r w:rsidR="00CD0A68">
        <w:t>;</w:t>
      </w:r>
      <w:r w:rsidR="00483A0B" w:rsidRPr="00483A0B">
        <w:t xml:space="preserve"> (</w:t>
      </w:r>
      <w:r w:rsidR="004B00E3">
        <w:t>2</w:t>
      </w:r>
      <w:r w:rsidR="00483A0B" w:rsidRPr="00483A0B">
        <w:t>) DEC amends the current NITSA with such customer to fill out the bracketed information in Attachment F to the NITSA to include information about the shortfall liability provisions</w:t>
      </w:r>
      <w:r w:rsidR="00CD0A68">
        <w:t>;</w:t>
      </w:r>
      <w:r w:rsidR="00483A0B" w:rsidRPr="00483A0B">
        <w:t xml:space="preserve"> (</w:t>
      </w:r>
      <w:r w:rsidR="00CD0A68">
        <w:t>3</w:t>
      </w:r>
      <w:r w:rsidR="00483A0B" w:rsidRPr="00483A0B">
        <w:t>) the revised NITSA becomes effective</w:t>
      </w:r>
      <w:r w:rsidR="00CD0A68">
        <w:t>;</w:t>
      </w:r>
      <w:r w:rsidR="00483A0B" w:rsidRPr="00483A0B">
        <w:t xml:space="preserve"> (</w:t>
      </w:r>
      <w:r w:rsidR="00CD0A68">
        <w:t>4</w:t>
      </w:r>
      <w:r w:rsidR="00483A0B" w:rsidRPr="00483A0B">
        <w:t>) any Direct Assignment Facilities and Network Upgrades have been constructed if needed to accommodate such change in service request</w:t>
      </w:r>
      <w:r w:rsidR="00CD0A68">
        <w:t>;</w:t>
      </w:r>
      <w:r w:rsidR="00483A0B" w:rsidRPr="00483A0B">
        <w:t xml:space="preserve"> (</w:t>
      </w:r>
      <w:r w:rsidR="00CD0A68">
        <w:t>5</w:t>
      </w:r>
      <w:r w:rsidR="00483A0B" w:rsidRPr="00483A0B">
        <w:t>) an annual assessment of a shortfall liability obligation has occurred</w:t>
      </w:r>
      <w:r w:rsidR="00DC4DE1">
        <w:t>;</w:t>
      </w:r>
      <w:r w:rsidR="00483A0B" w:rsidRPr="00483A0B">
        <w:t xml:space="preserve"> (</w:t>
      </w:r>
      <w:r w:rsidR="007307FA">
        <w:t>6</w:t>
      </w:r>
      <w:r w:rsidR="00483A0B" w:rsidRPr="00483A0B">
        <w:t>) DEC determines that a shortfall payment obligation exists</w:t>
      </w:r>
      <w:r w:rsidR="00DC4DE1">
        <w:t>;</w:t>
      </w:r>
      <w:r w:rsidR="00483A0B" w:rsidRPr="00483A0B">
        <w:t xml:space="preserve"> (</w:t>
      </w:r>
      <w:r w:rsidR="007307FA">
        <w:t>7</w:t>
      </w:r>
      <w:r w:rsidR="00483A0B" w:rsidRPr="00483A0B">
        <w:t xml:space="preserve">) DEC issues an invoice to the NITSA customer pursuant to the terms of Attachment F to the NITSA to charge the </w:t>
      </w:r>
      <w:r w:rsidR="00E62BB4">
        <w:t>S</w:t>
      </w:r>
      <w:r w:rsidR="00483A0B" w:rsidRPr="00483A0B">
        <w:t xml:space="preserve">hortfall </w:t>
      </w:r>
      <w:r w:rsidR="00E62BB4">
        <w:t>P</w:t>
      </w:r>
      <w:r w:rsidR="00483A0B" w:rsidRPr="00483A0B">
        <w:t>ayment amount</w:t>
      </w:r>
      <w:r w:rsidR="00DC4DE1">
        <w:t>;</w:t>
      </w:r>
      <w:r w:rsidR="00483A0B" w:rsidRPr="00483A0B">
        <w:t xml:space="preserve"> and (</w:t>
      </w:r>
      <w:r w:rsidR="007307FA">
        <w:t>8</w:t>
      </w:r>
      <w:r w:rsidR="00483A0B" w:rsidRPr="00483A0B">
        <w:t>) DEC receives a payment from the customer of such amount.</w:t>
      </w:r>
      <w:r w:rsidR="00B45F1E">
        <w:t xml:space="preserve">  </w:t>
      </w:r>
      <w:r w:rsidRPr="00865C23">
        <w:t xml:space="preserve">Only after these steps, and once DEC issues an invoice and receives payment, would a </w:t>
      </w:r>
      <w:r w:rsidR="00E62BB4">
        <w:t>S</w:t>
      </w:r>
      <w:r w:rsidRPr="00865C23">
        <w:t xml:space="preserve">hortfall </w:t>
      </w:r>
      <w:r w:rsidR="00E62BB4">
        <w:t>P</w:t>
      </w:r>
      <w:r w:rsidRPr="00865C23">
        <w:t>ayment be credited</w:t>
      </w:r>
      <w:r w:rsidR="00B3766D">
        <w:t xml:space="preserve">, the earliest of which can </w:t>
      </w:r>
      <w:r w:rsidRPr="00865C23">
        <w:t xml:space="preserve">happen </w:t>
      </w:r>
      <w:r w:rsidR="000E7EF0">
        <w:t xml:space="preserve">being </w:t>
      </w:r>
      <w:r w:rsidR="004A1505">
        <w:t>202</w:t>
      </w:r>
      <w:r w:rsidRPr="00865C23">
        <w:t>7</w:t>
      </w:r>
      <w:r w:rsidR="003601DA">
        <w:t xml:space="preserve">.  DEC </w:t>
      </w:r>
      <w:r w:rsidR="00F20269">
        <w:t xml:space="preserve">maintains that </w:t>
      </w:r>
      <w:r w:rsidR="00C82D80">
        <w:t xml:space="preserve">the </w:t>
      </w:r>
      <w:r w:rsidR="00E62BB4">
        <w:t>S</w:t>
      </w:r>
      <w:r w:rsidR="007A45D5" w:rsidRPr="007A45D5">
        <w:t xml:space="preserve">hortfall </w:t>
      </w:r>
      <w:r w:rsidR="00E62BB4">
        <w:t>P</w:t>
      </w:r>
      <w:r w:rsidR="007A45D5" w:rsidRPr="007A45D5">
        <w:t xml:space="preserve">ayment liability obligation is </w:t>
      </w:r>
      <w:proofErr w:type="gramStart"/>
      <w:r w:rsidR="007A45D5" w:rsidRPr="007A45D5">
        <w:t>just and</w:t>
      </w:r>
      <w:proofErr w:type="gramEnd"/>
      <w:r w:rsidR="007A45D5" w:rsidRPr="007A45D5">
        <w:t xml:space="preserve"> reasonable</w:t>
      </w:r>
      <w:r w:rsidR="00EA76C7">
        <w:t xml:space="preserve"> and supported by Commission precedent. </w:t>
      </w:r>
      <w:r w:rsidR="008F4449">
        <w:t xml:space="preserve"> </w:t>
      </w:r>
      <w:r w:rsidR="003A07B0">
        <w:t>DEC</w:t>
      </w:r>
      <w:r w:rsidR="006C2043">
        <w:t xml:space="preserve"> states that</w:t>
      </w:r>
      <w:r w:rsidR="00DF5A5A">
        <w:t>,</w:t>
      </w:r>
      <w:r w:rsidR="006C2043">
        <w:t xml:space="preserve"> a</w:t>
      </w:r>
      <w:r w:rsidR="008F4449" w:rsidRPr="008F4449">
        <w:t xml:space="preserve">lthough the topic is outside the current filings, DEC’s pending transmission formula rate update will properly credit any </w:t>
      </w:r>
      <w:r w:rsidR="0080388C">
        <w:t>S</w:t>
      </w:r>
      <w:r w:rsidR="008F4449" w:rsidRPr="008F4449">
        <w:t xml:space="preserve">hortfall </w:t>
      </w:r>
      <w:r w:rsidR="0080388C">
        <w:t>P</w:t>
      </w:r>
      <w:r w:rsidR="008F4449" w:rsidRPr="008F4449">
        <w:t xml:space="preserve">ayments. </w:t>
      </w:r>
      <w:r w:rsidR="007C0666">
        <w:t xml:space="preserve"> </w:t>
      </w:r>
      <w:r w:rsidR="00A35CC7">
        <w:t>DEC argues that a</w:t>
      </w:r>
      <w:r w:rsidR="008F4449" w:rsidRPr="008F4449">
        <w:t xml:space="preserve">ddressing crediting in the formula rate does not make the obligation unjust or unreasonable, especially </w:t>
      </w:r>
      <w:r w:rsidR="007C0666">
        <w:t>because</w:t>
      </w:r>
      <w:r w:rsidR="007C0666" w:rsidRPr="008F4449">
        <w:t xml:space="preserve"> </w:t>
      </w:r>
      <w:r w:rsidR="008F4449" w:rsidRPr="008F4449">
        <w:t xml:space="preserve">multiple conditions must be met before DEC receives any </w:t>
      </w:r>
      <w:r w:rsidR="00A35CC7">
        <w:t>S</w:t>
      </w:r>
      <w:r w:rsidR="008F4449" w:rsidRPr="008F4449">
        <w:t xml:space="preserve">hortfall </w:t>
      </w:r>
      <w:r w:rsidR="00A35CC7">
        <w:t>P</w:t>
      </w:r>
      <w:r w:rsidR="008F4449" w:rsidRPr="008F4449">
        <w:t>ayment.</w:t>
      </w:r>
    </w:p>
    <w:p w14:paraId="221452E0" w14:textId="77777777" w:rsidR="00700D60" w:rsidRDefault="00700D60" w:rsidP="00CA656B">
      <w:pPr>
        <w:pStyle w:val="Heading4"/>
      </w:pPr>
      <w:r>
        <w:t>Commission Determination</w:t>
      </w:r>
    </w:p>
    <w:p w14:paraId="00BC2A81" w14:textId="77777777" w:rsidR="00AA505A" w:rsidRDefault="005E50DE" w:rsidP="00C20B0E">
      <w:pPr>
        <w:pStyle w:val="FERCparanumber"/>
      </w:pPr>
      <w:r>
        <w:t>We</w:t>
      </w:r>
      <w:r w:rsidR="001F5B72" w:rsidRPr="001F5B72">
        <w:t xml:space="preserve"> find that DEC’s proposed </w:t>
      </w:r>
      <w:r w:rsidR="002D3925">
        <w:t>revisions</w:t>
      </w:r>
      <w:r w:rsidR="002D3925" w:rsidRPr="001F5B72">
        <w:t xml:space="preserve"> </w:t>
      </w:r>
      <w:r w:rsidRPr="005E50DE">
        <w:t>requir</w:t>
      </w:r>
      <w:r w:rsidR="004C2155">
        <w:t>ing</w:t>
      </w:r>
      <w:r w:rsidR="009D36BE">
        <w:t xml:space="preserve"> </w:t>
      </w:r>
      <w:r w:rsidR="00F0556B">
        <w:t xml:space="preserve">a </w:t>
      </w:r>
      <w:r w:rsidR="00F0556B" w:rsidRPr="005E50DE">
        <w:t>network</w:t>
      </w:r>
      <w:r w:rsidR="00802D4A">
        <w:t xml:space="preserve"> customer</w:t>
      </w:r>
      <w:r w:rsidR="009873A8">
        <w:t xml:space="preserve"> (with network loads</w:t>
      </w:r>
      <w:r w:rsidR="00302459">
        <w:t xml:space="preserve"> 100 MW</w:t>
      </w:r>
      <w:r w:rsidR="009D36BE">
        <w:t xml:space="preserve"> or greater</w:t>
      </w:r>
      <w:r w:rsidR="00302459">
        <w:t xml:space="preserve">) </w:t>
      </w:r>
      <w:r w:rsidR="009D36BE">
        <w:t xml:space="preserve">to </w:t>
      </w:r>
      <w:r w:rsidR="00302459">
        <w:t>pay</w:t>
      </w:r>
      <w:r w:rsidR="00802D4A">
        <w:t xml:space="preserve"> </w:t>
      </w:r>
      <w:r w:rsidR="00613692">
        <w:t xml:space="preserve">a </w:t>
      </w:r>
      <w:r w:rsidRPr="005E50DE">
        <w:t>Shortfall Payment</w:t>
      </w:r>
      <w:r w:rsidR="000732A4">
        <w:t xml:space="preserve"> if</w:t>
      </w:r>
      <w:r w:rsidR="00F0556B">
        <w:t xml:space="preserve"> actual NITS</w:t>
      </w:r>
      <w:r w:rsidR="000732A4">
        <w:t xml:space="preserve"> </w:t>
      </w:r>
      <w:r w:rsidR="005F0B50">
        <w:t xml:space="preserve">falls </w:t>
      </w:r>
      <w:r w:rsidR="00B07C04">
        <w:t xml:space="preserve">below </w:t>
      </w:r>
      <w:r w:rsidR="00E25989">
        <w:t>7</w:t>
      </w:r>
      <w:r w:rsidR="00540AE2" w:rsidRPr="00054609">
        <w:rPr>
          <w:szCs w:val="26"/>
        </w:rPr>
        <w:t xml:space="preserve">5% of the MW value of service in the load schedule </w:t>
      </w:r>
      <w:r w:rsidR="00540AE2">
        <w:t xml:space="preserve">for </w:t>
      </w:r>
      <w:r w:rsidR="00540AE2" w:rsidRPr="00054609">
        <w:rPr>
          <w:szCs w:val="26"/>
        </w:rPr>
        <w:t>each month and year</w:t>
      </w:r>
      <w:r w:rsidR="005F0B50">
        <w:rPr>
          <w:szCs w:val="26"/>
        </w:rPr>
        <w:t xml:space="preserve"> </w:t>
      </w:r>
      <w:r w:rsidR="005F0B50">
        <w:t xml:space="preserve">during the 15-year period following the in-service date of </w:t>
      </w:r>
      <w:r w:rsidR="004D3A04">
        <w:t xml:space="preserve">its </w:t>
      </w:r>
      <w:r w:rsidR="005F0B50">
        <w:t xml:space="preserve">Network </w:t>
      </w:r>
      <w:r w:rsidR="00613692">
        <w:t>Upgrades</w:t>
      </w:r>
      <w:r w:rsidR="00613692" w:rsidRPr="00054609">
        <w:rPr>
          <w:szCs w:val="26"/>
        </w:rPr>
        <w:t xml:space="preserve">, </w:t>
      </w:r>
      <w:r w:rsidR="00613692" w:rsidRPr="001F5B72">
        <w:t>are</w:t>
      </w:r>
      <w:r w:rsidR="0098196F" w:rsidRPr="001F5B72">
        <w:t xml:space="preserve"> </w:t>
      </w:r>
      <w:r w:rsidR="001F5B72" w:rsidRPr="001F5B72">
        <w:t>just and reasonable and not unduly discriminatory or preferential.</w:t>
      </w:r>
      <w:r w:rsidR="00DB647F">
        <w:t xml:space="preserve"> </w:t>
      </w:r>
      <w:r w:rsidR="00A744E8">
        <w:t xml:space="preserve"> </w:t>
      </w:r>
      <w:r w:rsidR="00452914">
        <w:t>T</w:t>
      </w:r>
      <w:r w:rsidR="00DB647F" w:rsidRPr="00DB647F">
        <w:t>he</w:t>
      </w:r>
      <w:r w:rsidR="00DB74BA">
        <w:t xml:space="preserve"> purpose of the</w:t>
      </w:r>
      <w:r w:rsidR="00DB647F" w:rsidRPr="00DB647F">
        <w:t xml:space="preserve"> Shortfall Payment</w:t>
      </w:r>
      <w:r w:rsidR="00BA5148">
        <w:t xml:space="preserve"> mechanism</w:t>
      </w:r>
      <w:r w:rsidR="00DB647F" w:rsidRPr="00DB647F">
        <w:t xml:space="preserve"> is to </w:t>
      </w:r>
      <w:r w:rsidR="00146823">
        <w:t>reduce</w:t>
      </w:r>
      <w:r w:rsidR="00DB647F" w:rsidRPr="00DB647F">
        <w:t xml:space="preserve"> the potential cost impacts of large load service requests on other DEC transmission customers if the Network Load does not materialize</w:t>
      </w:r>
      <w:r w:rsidR="00383B8D">
        <w:t xml:space="preserve"> or </w:t>
      </w:r>
      <w:r w:rsidR="00DD73E6">
        <w:t xml:space="preserve">otherwise </w:t>
      </w:r>
      <w:r w:rsidR="00383B8D">
        <w:t>takes less service than anticipated</w:t>
      </w:r>
      <w:r w:rsidR="00DB647F" w:rsidRPr="00DB647F">
        <w:t>.</w:t>
      </w:r>
      <w:r w:rsidR="00B91C1E">
        <w:t xml:space="preserve">  </w:t>
      </w:r>
      <w:r w:rsidR="00553689">
        <w:t>W</w:t>
      </w:r>
      <w:r w:rsidR="009579E4">
        <w:t>e</w:t>
      </w:r>
      <w:r w:rsidR="00553689">
        <w:t xml:space="preserve"> </w:t>
      </w:r>
      <w:r w:rsidR="00B91C1E">
        <w:t xml:space="preserve">also </w:t>
      </w:r>
      <w:r w:rsidR="009579E4">
        <w:t>find that</w:t>
      </w:r>
      <w:r w:rsidR="00553689">
        <w:t xml:space="preserve"> DEC’s </w:t>
      </w:r>
      <w:r w:rsidR="001B57EB" w:rsidRPr="001B57EB">
        <w:t xml:space="preserve">proposed </w:t>
      </w:r>
      <w:r w:rsidR="001B57EB" w:rsidRPr="001B57EB">
        <w:lastRenderedPageBreak/>
        <w:t xml:space="preserve">treatment of the </w:t>
      </w:r>
      <w:r w:rsidR="0097758C" w:rsidRPr="0097758C">
        <w:t xml:space="preserve">Shortfall Payment </w:t>
      </w:r>
      <w:r w:rsidR="00AA505A">
        <w:t>does</w:t>
      </w:r>
      <w:r w:rsidR="00092857">
        <w:t xml:space="preserve"> </w:t>
      </w:r>
      <w:r w:rsidR="00AA505A">
        <w:t>not</w:t>
      </w:r>
      <w:r w:rsidR="00092857">
        <w:t xml:space="preserve"> result in double </w:t>
      </w:r>
      <w:r w:rsidR="00AA505A">
        <w:t>recovery</w:t>
      </w:r>
      <w:r w:rsidR="00AB3AC7">
        <w:t xml:space="preserve"> of the same costs through two </w:t>
      </w:r>
      <w:r w:rsidR="00AA505A">
        <w:t>separate charging mechanisms.</w:t>
      </w:r>
    </w:p>
    <w:p w14:paraId="4DB74325" w14:textId="77777777" w:rsidR="001B57EB" w:rsidRDefault="001B57EB" w:rsidP="00553689">
      <w:pPr>
        <w:pStyle w:val="FERCparanumber"/>
      </w:pPr>
      <w:r w:rsidRPr="001B57EB">
        <w:t xml:space="preserve">As </w:t>
      </w:r>
      <w:r w:rsidR="00AA505A">
        <w:t xml:space="preserve">DEC </w:t>
      </w:r>
      <w:r w:rsidR="00C012B9">
        <w:t>explains</w:t>
      </w:r>
      <w:r w:rsidR="00AA505A">
        <w:t xml:space="preserve"> in its Deficiency Response, </w:t>
      </w:r>
      <w:r w:rsidR="008E0B49">
        <w:t>proposed</w:t>
      </w:r>
      <w:r w:rsidR="00AA505A">
        <w:t xml:space="preserve"> section II.5 of Attachment F provides a </w:t>
      </w:r>
      <w:r w:rsidR="00C52A3F">
        <w:t>direct charging mechanism whereby DEC inv</w:t>
      </w:r>
      <w:r w:rsidR="003C5FC2">
        <w:t xml:space="preserve">oices only the specific NITS customer responsible for </w:t>
      </w:r>
      <w:r w:rsidR="005C5F6A">
        <w:t xml:space="preserve">the </w:t>
      </w:r>
      <w:r w:rsidR="003C5FC2">
        <w:t>Shortfall Payment, calculated and invoice</w:t>
      </w:r>
      <w:r w:rsidR="00C23C34">
        <w:t>d</w:t>
      </w:r>
      <w:r w:rsidR="003C5FC2">
        <w:t xml:space="preserve"> per the </w:t>
      </w:r>
      <w:r w:rsidR="007E3BCC">
        <w:t>terms of that customer</w:t>
      </w:r>
      <w:r w:rsidR="003B5359">
        <w:t>’s</w:t>
      </w:r>
      <w:r w:rsidR="007E3BCC">
        <w:t xml:space="preserve"> individualized NITSA.</w:t>
      </w:r>
      <w:r w:rsidR="00D37C05">
        <w:rPr>
          <w:rStyle w:val="FootnoteReference"/>
        </w:rPr>
        <w:footnoteReference w:id="89"/>
      </w:r>
      <w:r w:rsidR="00D37C05">
        <w:t xml:space="preserve"> </w:t>
      </w:r>
      <w:r w:rsidR="007E3BCC">
        <w:t xml:space="preserve"> </w:t>
      </w:r>
      <w:r w:rsidR="00480C2B">
        <w:t xml:space="preserve">This is distinct from and does not duplicate </w:t>
      </w:r>
      <w:r w:rsidR="00E92B21">
        <w:t>recovery</w:t>
      </w:r>
      <w:r w:rsidR="00504F23">
        <w:t xml:space="preserve"> </w:t>
      </w:r>
      <w:r w:rsidR="00C012B9">
        <w:t xml:space="preserve">of </w:t>
      </w:r>
      <w:r w:rsidR="00C012B9" w:rsidRPr="001B57EB">
        <w:t>Network</w:t>
      </w:r>
      <w:r w:rsidRPr="001B57EB">
        <w:t xml:space="preserve"> Upgrade costs </w:t>
      </w:r>
      <w:r w:rsidR="00FE22F2">
        <w:t>through</w:t>
      </w:r>
      <w:r w:rsidRPr="001B57EB">
        <w:t xml:space="preserve"> DEC’s</w:t>
      </w:r>
      <w:r w:rsidR="00FE22F2">
        <w:t xml:space="preserve"> wholesale transmission </w:t>
      </w:r>
      <w:r w:rsidR="002337DC">
        <w:t>formula rate under Attachment H.</w:t>
      </w:r>
      <w:r w:rsidRPr="001B57EB">
        <w:t xml:space="preserve">  Specifically, DEC explains that any Shortfall Payment paid by the network customer will be credited to FERC Account No. 456, a revenue account, rather than an expense account, and that balances in Account No. 456 are in turn credited to the transmission revenue requirement within DEC’s transmission formula rate.</w:t>
      </w:r>
      <w:r w:rsidR="00D37C05">
        <w:rPr>
          <w:rStyle w:val="FootnoteReference"/>
        </w:rPr>
        <w:footnoteReference w:id="90"/>
      </w:r>
      <w:r w:rsidRPr="001B57EB">
        <w:t xml:space="preserve">  </w:t>
      </w:r>
      <w:r w:rsidR="00B86AE0">
        <w:t xml:space="preserve">Accordingly, </w:t>
      </w:r>
      <w:r w:rsidR="007315E1">
        <w:t xml:space="preserve">Shortfall Payments </w:t>
      </w:r>
      <w:r w:rsidR="00A21391">
        <w:t xml:space="preserve">serve </w:t>
      </w:r>
      <w:r w:rsidR="00354954">
        <w:t xml:space="preserve">to reduce, rather than add to, </w:t>
      </w:r>
      <w:r w:rsidR="004046C2">
        <w:t xml:space="preserve">DEC’s revenue collection </w:t>
      </w:r>
      <w:r w:rsidR="00B47C0F">
        <w:t xml:space="preserve">through </w:t>
      </w:r>
      <w:r w:rsidR="007315E1">
        <w:t xml:space="preserve">its </w:t>
      </w:r>
      <w:r w:rsidR="00B47C0F">
        <w:t>transmission revenue requirement.</w:t>
      </w:r>
      <w:r w:rsidRPr="001B57EB">
        <w:t xml:space="preserve">  </w:t>
      </w:r>
    </w:p>
    <w:p w14:paraId="0A97C9B3" w14:textId="77777777" w:rsidR="00B344E6" w:rsidRDefault="00E13C40" w:rsidP="00541954">
      <w:pPr>
        <w:pStyle w:val="FERCparanumber"/>
      </w:pPr>
      <w:r>
        <w:t>Based on the record before us, we</w:t>
      </w:r>
      <w:r w:rsidR="00FA556F">
        <w:t xml:space="preserve"> also find</w:t>
      </w:r>
      <w:r w:rsidR="0097503D" w:rsidRPr="0097503D">
        <w:t xml:space="preserve"> that the 100 MW threshold </w:t>
      </w:r>
      <w:r w:rsidR="00A4348A">
        <w:t xml:space="preserve">is </w:t>
      </w:r>
      <w:r w:rsidR="00B70881">
        <w:t xml:space="preserve">just and </w:t>
      </w:r>
      <w:r w:rsidR="0097503D" w:rsidRPr="0097503D">
        <w:t>reasonabl</w:t>
      </w:r>
      <w:r w:rsidR="00A4348A">
        <w:t xml:space="preserve">e.  </w:t>
      </w:r>
      <w:r w:rsidR="00B344E6" w:rsidRPr="00B344E6">
        <w:t xml:space="preserve">As discussed above, DEC explains that it has experience integrating loads smaller than 100 MW into the transmission system without issue and that loads of </w:t>
      </w:r>
      <w:r w:rsidR="00906A69">
        <w:t xml:space="preserve">               </w:t>
      </w:r>
      <w:r w:rsidR="00B344E6" w:rsidRPr="00B344E6">
        <w:t>100 MW present a greater risk of cost shifting should the load not materialize.</w:t>
      </w:r>
    </w:p>
    <w:p w14:paraId="7C217C24" w14:textId="77777777" w:rsidR="0080222C" w:rsidRDefault="009118E5" w:rsidP="00541954">
      <w:pPr>
        <w:pStyle w:val="FERCparanumber"/>
      </w:pPr>
      <w:r>
        <w:t>In addition,</w:t>
      </w:r>
      <w:r w:rsidR="008012FF">
        <w:t xml:space="preserve"> </w:t>
      </w:r>
      <w:proofErr w:type="spellStart"/>
      <w:r w:rsidR="008012FF">
        <w:t>Electri</w:t>
      </w:r>
      <w:r w:rsidR="0030527D">
        <w:t>Cities</w:t>
      </w:r>
      <w:proofErr w:type="spellEnd"/>
      <w:r w:rsidR="00CF44EE">
        <w:t>’</w:t>
      </w:r>
      <w:r w:rsidR="0030527D">
        <w:t xml:space="preserve"> argument that DEC has failed to demonstrate comparability between the terms imposed on wholesa</w:t>
      </w:r>
      <w:r w:rsidR="00A726D4">
        <w:t xml:space="preserve">le network customers and those imposed on </w:t>
      </w:r>
      <w:r w:rsidR="00C37A97">
        <w:t>its retail large-load customers</w:t>
      </w:r>
      <w:r>
        <w:t xml:space="preserve"> misses the mark</w:t>
      </w:r>
      <w:r w:rsidR="00C37A97">
        <w:t xml:space="preserve">.  </w:t>
      </w:r>
      <w:r w:rsidR="007A190A">
        <w:t>T</w:t>
      </w:r>
      <w:r w:rsidR="00AC31C3">
        <w:t xml:space="preserve">he </w:t>
      </w:r>
      <w:r w:rsidR="00871C2C">
        <w:t>Commission’s</w:t>
      </w:r>
      <w:r w:rsidR="00AC31C3">
        <w:t xml:space="preserve"> comparability standard </w:t>
      </w:r>
      <w:r w:rsidR="00ED4FC4">
        <w:t>prohibits undue</w:t>
      </w:r>
      <w:r w:rsidR="00AC31C3">
        <w:t xml:space="preserve"> </w:t>
      </w:r>
      <w:r w:rsidR="0067296E">
        <w:t xml:space="preserve">discrimination </w:t>
      </w:r>
      <w:r w:rsidR="000E4FC7">
        <w:t xml:space="preserve">by </w:t>
      </w:r>
      <w:r w:rsidR="00F57D4E">
        <w:t xml:space="preserve">requiring that utilities </w:t>
      </w:r>
      <w:r w:rsidR="00DB2505">
        <w:t xml:space="preserve">provide </w:t>
      </w:r>
      <w:r w:rsidR="007B1A40">
        <w:t xml:space="preserve">the same </w:t>
      </w:r>
      <w:r w:rsidR="00025AE8">
        <w:t xml:space="preserve">transmission service </w:t>
      </w:r>
      <w:r w:rsidR="001B6A0E">
        <w:t>to third-party</w:t>
      </w:r>
      <w:r w:rsidR="000B6778">
        <w:t xml:space="preserve"> customers</w:t>
      </w:r>
      <w:r w:rsidR="00025AE8">
        <w:t xml:space="preserve"> as </w:t>
      </w:r>
      <w:r w:rsidR="00E43801">
        <w:t xml:space="preserve">compared to </w:t>
      </w:r>
      <w:r w:rsidR="00025AE8">
        <w:t>the</w:t>
      </w:r>
      <w:r w:rsidR="00271F49">
        <w:t xml:space="preserve"> utilities</w:t>
      </w:r>
      <w:r w:rsidR="00E43801">
        <w:t>’</w:t>
      </w:r>
      <w:r w:rsidR="00271F49">
        <w:t xml:space="preserve"> own use of their systems</w:t>
      </w:r>
      <w:r w:rsidR="00B675F4">
        <w:t>.</w:t>
      </w:r>
      <w:r w:rsidR="00307329">
        <w:rPr>
          <w:rStyle w:val="FootnoteReference"/>
        </w:rPr>
        <w:footnoteReference w:id="91"/>
      </w:r>
      <w:r w:rsidR="003404F5">
        <w:t xml:space="preserve">  </w:t>
      </w:r>
      <w:r w:rsidR="00C4751F">
        <w:t xml:space="preserve">Moreover, the Commission </w:t>
      </w:r>
      <w:r w:rsidR="008450C5">
        <w:t>has held</w:t>
      </w:r>
      <w:r w:rsidR="00C62E42">
        <w:t xml:space="preserve">, and the D.C. Circuit </w:t>
      </w:r>
      <w:r w:rsidR="00175B84">
        <w:t>agrees,</w:t>
      </w:r>
      <w:r w:rsidR="008450C5">
        <w:t xml:space="preserve"> that </w:t>
      </w:r>
      <w:r w:rsidR="00C0315C">
        <w:t>the comparability principle does not require comparable pricing betwee</w:t>
      </w:r>
      <w:r w:rsidR="00373041">
        <w:t xml:space="preserve">n unbundled wholesale </w:t>
      </w:r>
      <w:r w:rsidR="00FA532E">
        <w:t>and bundled retail transmission service.</w:t>
      </w:r>
      <w:r w:rsidR="00FA532E">
        <w:rPr>
          <w:rStyle w:val="FootnoteReference"/>
        </w:rPr>
        <w:footnoteReference w:id="92"/>
      </w:r>
      <w:r w:rsidR="00FA532E">
        <w:t xml:space="preserve">  </w:t>
      </w:r>
      <w:r w:rsidR="00402BBC">
        <w:t>Accordingly</w:t>
      </w:r>
      <w:r>
        <w:t xml:space="preserve">, </w:t>
      </w:r>
      <w:r w:rsidR="0050430C">
        <w:t xml:space="preserve">DEC is required to provide </w:t>
      </w:r>
      <w:r w:rsidR="00315DFD">
        <w:t xml:space="preserve">non-discriminatory service to all of its </w:t>
      </w:r>
      <w:r w:rsidR="00315DFD" w:rsidRPr="005931EB">
        <w:rPr>
          <w:i/>
        </w:rPr>
        <w:t>wholesale</w:t>
      </w:r>
      <w:r w:rsidR="00315DFD">
        <w:t xml:space="preserve"> transmission customer</w:t>
      </w:r>
      <w:r w:rsidR="00604009">
        <w:t>s</w:t>
      </w:r>
      <w:r w:rsidR="00755ABF">
        <w:t xml:space="preserve">.  </w:t>
      </w:r>
      <w:r w:rsidR="005579FF">
        <w:t xml:space="preserve">The </w:t>
      </w:r>
      <w:r w:rsidR="005579FF">
        <w:lastRenderedPageBreak/>
        <w:t xml:space="preserve">Commission </w:t>
      </w:r>
      <w:r w:rsidR="00D92DEE">
        <w:t>lacks jurisdiction</w:t>
      </w:r>
      <w:r w:rsidR="00483DC9">
        <w:t xml:space="preserve"> over retail</w:t>
      </w:r>
      <w:r w:rsidR="007657F0">
        <w:t xml:space="preserve"> customer</w:t>
      </w:r>
      <w:r w:rsidR="00793C73">
        <w:t xml:space="preserve">s, </w:t>
      </w:r>
      <w:r w:rsidR="008E73AD">
        <w:t xml:space="preserve">and we therefore dismiss </w:t>
      </w:r>
      <w:proofErr w:type="spellStart"/>
      <w:r w:rsidR="008E73AD">
        <w:t>ElectriCities</w:t>
      </w:r>
      <w:proofErr w:type="spellEnd"/>
      <w:r w:rsidR="008E73AD">
        <w:t>’ argument</w:t>
      </w:r>
      <w:r w:rsidR="00DF04D7">
        <w:t>.</w:t>
      </w:r>
      <w:r w:rsidR="00B63E3D">
        <w:rPr>
          <w:rStyle w:val="FootnoteReference"/>
        </w:rPr>
        <w:footnoteReference w:id="93"/>
      </w:r>
      <w:r w:rsidR="00483DC9">
        <w:t xml:space="preserve"> </w:t>
      </w:r>
      <w:r w:rsidR="00402BBC">
        <w:t xml:space="preserve"> </w:t>
      </w:r>
    </w:p>
    <w:p w14:paraId="2BA4600C" w14:textId="77777777" w:rsidR="00D2526B" w:rsidRDefault="00130725" w:rsidP="00541954">
      <w:pPr>
        <w:pStyle w:val="FERCparanumber"/>
      </w:pPr>
      <w:r>
        <w:t>For the same reason, we disagree</w:t>
      </w:r>
      <w:r w:rsidR="00717724">
        <w:t xml:space="preserve"> with</w:t>
      </w:r>
      <w:r>
        <w:t xml:space="preserve"> </w:t>
      </w:r>
      <w:proofErr w:type="spellStart"/>
      <w:r w:rsidR="00036FAC">
        <w:t>ElectriCities</w:t>
      </w:r>
      <w:proofErr w:type="spellEnd"/>
      <w:r w:rsidR="00036FAC">
        <w:t xml:space="preserve"> </w:t>
      </w:r>
      <w:r w:rsidR="000D2F86">
        <w:t xml:space="preserve">that DEC was required to file </w:t>
      </w:r>
      <w:r>
        <w:t xml:space="preserve">non-jurisdictional </w:t>
      </w:r>
      <w:r w:rsidR="000D2F86">
        <w:t>retail agreements or tariff sheets to substantiate th</w:t>
      </w:r>
      <w:r>
        <w:t xml:space="preserve">e </w:t>
      </w:r>
      <w:r w:rsidR="000D2F86">
        <w:t>comparison</w:t>
      </w:r>
      <w:r w:rsidR="00C42B72">
        <w:t>.</w:t>
      </w:r>
    </w:p>
    <w:p w14:paraId="5C0586A6" w14:textId="77777777" w:rsidR="002C1A65" w:rsidRDefault="002C1A65" w:rsidP="00CA656B">
      <w:pPr>
        <w:pStyle w:val="Heading3"/>
      </w:pPr>
      <w:r>
        <w:t>Security Requirements</w:t>
      </w:r>
    </w:p>
    <w:p w14:paraId="5B0B636C" w14:textId="77777777" w:rsidR="002C1A65" w:rsidRPr="008178E2" w:rsidRDefault="002C1A65" w:rsidP="00CA656B">
      <w:pPr>
        <w:pStyle w:val="Heading4"/>
      </w:pPr>
      <w:r>
        <w:t>Filing</w:t>
      </w:r>
    </w:p>
    <w:p w14:paraId="5EF20D42" w14:textId="77777777" w:rsidR="002C1A65" w:rsidRDefault="002C1A65" w:rsidP="00DA2469">
      <w:pPr>
        <w:pStyle w:val="FERCparanumber"/>
      </w:pPr>
      <w:r>
        <w:t xml:space="preserve">DEC proposes new section 6.4 (Security) to Attachment A.  It states: </w:t>
      </w:r>
    </w:p>
    <w:p w14:paraId="06F393D1" w14:textId="77777777" w:rsidR="002C1A65" w:rsidRDefault="002C1A65" w:rsidP="00DA2469">
      <w:pPr>
        <w:pStyle w:val="FERCparanumber"/>
        <w:numPr>
          <w:ilvl w:val="0"/>
          <w:numId w:val="0"/>
        </w:numPr>
        <w:ind w:left="1440" w:right="1440"/>
      </w:pPr>
      <w:r>
        <w:t xml:space="preserve">As per Section 32.4 of Tariff which provides that Transmission Customer shall provide the Transmission Provider with security (a letter of credit or cash) “equivalent to the costs of new facilities or upgrades consistent with commercial practices as established by the Uniform Commercial Code” if new facilities or upgrades are required to accommodate a change in service request. </w:t>
      </w:r>
      <w:r w:rsidR="00E2492E">
        <w:t xml:space="preserve"> </w:t>
      </w:r>
      <w:r>
        <w:t xml:space="preserve">Transmission Customer shall </w:t>
      </w:r>
      <w:proofErr w:type="gramStart"/>
      <w:r>
        <w:t>comply at all times</w:t>
      </w:r>
      <w:proofErr w:type="gramEnd"/>
      <w:r>
        <w:t xml:space="preserve"> relevant under this Service Agreement with the “Duke Energy Credit Risk Management Policy to Implement Security Required Pursuant to </w:t>
      </w:r>
      <w:r w:rsidR="00906A69">
        <w:t xml:space="preserve">              </w:t>
      </w:r>
      <w:r>
        <w:t>Section 32.4 of the Joint OATT” which is posted on Transmission Provider’s OASIS website.</w:t>
      </w:r>
      <w:r>
        <w:rPr>
          <w:rStyle w:val="FootnoteReference"/>
        </w:rPr>
        <w:footnoteReference w:id="94"/>
      </w:r>
    </w:p>
    <w:p w14:paraId="497A6F8C" w14:textId="77777777" w:rsidR="0092473E" w:rsidRDefault="002C1A65" w:rsidP="00DA2469">
      <w:pPr>
        <w:pStyle w:val="FERCparanumber"/>
      </w:pPr>
      <w:r>
        <w:t xml:space="preserve">DEC </w:t>
      </w:r>
      <w:r w:rsidR="00C20472" w:rsidRPr="00D80835">
        <w:t>states</w:t>
      </w:r>
      <w:r>
        <w:t xml:space="preserve"> that </w:t>
      </w:r>
      <w:r w:rsidR="008F0B6F">
        <w:t>section 6.4</w:t>
      </w:r>
      <w:r>
        <w:t xml:space="preserve"> is </w:t>
      </w:r>
      <w:r w:rsidR="00C20472" w:rsidRPr="00D80835">
        <w:t xml:space="preserve">intended to prevent uncured payment defaults that could unfairly shift </w:t>
      </w:r>
      <w:r w:rsidR="00417C6C">
        <w:t xml:space="preserve">the costs of </w:t>
      </w:r>
      <w:r w:rsidR="00832770">
        <w:t xml:space="preserve">Network Upgrades </w:t>
      </w:r>
      <w:r w:rsidR="00C20472">
        <w:t>constructed to accommodate</w:t>
      </w:r>
      <w:r w:rsidR="009E5A8F">
        <w:t xml:space="preserve"> a transmission customer’s </w:t>
      </w:r>
      <w:r w:rsidR="003176B0">
        <w:t>change</w:t>
      </w:r>
      <w:r w:rsidR="009E5A8F">
        <w:t xml:space="preserve"> </w:t>
      </w:r>
      <w:r w:rsidR="00CC2BC7">
        <w:t xml:space="preserve">in </w:t>
      </w:r>
      <w:r w:rsidR="003176B0">
        <w:t xml:space="preserve">service </w:t>
      </w:r>
      <w:r w:rsidR="00C20472">
        <w:t xml:space="preserve">request </w:t>
      </w:r>
      <w:r w:rsidR="003176B0">
        <w:t>to other transmission customers</w:t>
      </w:r>
      <w:r w:rsidR="00C20472">
        <w:t>.</w:t>
      </w:r>
      <w:r>
        <w:rPr>
          <w:rStyle w:val="FootnoteReference"/>
        </w:rPr>
        <w:footnoteReference w:id="95"/>
      </w:r>
      <w:r>
        <w:t xml:space="preserve">  </w:t>
      </w:r>
      <w:r>
        <w:lastRenderedPageBreak/>
        <w:t xml:space="preserve">DEC states that such a cost shift would be “an inequitable, unfair, </w:t>
      </w:r>
      <w:r w:rsidRPr="00A3313B">
        <w:t>and lopsided outcome in which customers that did not request a change in network service are left to pay unpaid bills of a network customer that was the initiator of a change in network service</w:t>
      </w:r>
      <w:r>
        <w:t>.”</w:t>
      </w:r>
      <w:r>
        <w:rPr>
          <w:rStyle w:val="FootnoteReference"/>
        </w:rPr>
        <w:footnoteReference w:id="96"/>
      </w:r>
      <w:r>
        <w:t xml:space="preserve">  DEC notes that the language incorporates existing language from </w:t>
      </w:r>
      <w:r w:rsidR="003D32BD">
        <w:t xml:space="preserve">section </w:t>
      </w:r>
      <w:r>
        <w:t xml:space="preserve">32.4 </w:t>
      </w:r>
      <w:r w:rsidR="005B5CA7">
        <w:t>of the Joint OATT</w:t>
      </w:r>
      <w:r>
        <w:t xml:space="preserve"> and explains that the Credit Policy “provides technical details about types, issues, and forms of security” that would be acceptable.</w:t>
      </w:r>
      <w:r>
        <w:rPr>
          <w:rStyle w:val="FootnoteReference"/>
        </w:rPr>
        <w:footnoteReference w:id="97"/>
      </w:r>
    </w:p>
    <w:p w14:paraId="791637A8" w14:textId="77777777" w:rsidR="002C1A65" w:rsidRPr="0002706A" w:rsidRDefault="002C1A65" w:rsidP="00DA2469">
      <w:pPr>
        <w:pStyle w:val="FERCparanumber"/>
      </w:pPr>
      <w:r>
        <w:t xml:space="preserve">Relatedly, </w:t>
      </w:r>
      <w:r w:rsidR="00385C3F">
        <w:t xml:space="preserve">proposed </w:t>
      </w:r>
      <w:r>
        <w:t>section 6.6.3 states that</w:t>
      </w:r>
      <w:r w:rsidR="00D80835">
        <w:t xml:space="preserve"> </w:t>
      </w:r>
      <w:r w:rsidR="00477BF2">
        <w:t>DEC</w:t>
      </w:r>
      <w:r w:rsidR="00C95106">
        <w:t xml:space="preserve"> </w:t>
      </w:r>
      <w:r>
        <w:t>will release any security provided by the transmission customer within 90 days of the relevant Network Upgrades being placed into service.</w:t>
      </w:r>
      <w:r>
        <w:rPr>
          <w:rStyle w:val="FootnoteReference"/>
        </w:rPr>
        <w:footnoteReference w:id="98"/>
      </w:r>
      <w:r>
        <w:t xml:space="preserve">  </w:t>
      </w:r>
      <w:r w:rsidR="00131C0E">
        <w:t xml:space="preserve">Proposed </w:t>
      </w:r>
      <w:r>
        <w:t xml:space="preserve">section 6.7 </w:t>
      </w:r>
      <w:r w:rsidR="00D82E4F">
        <w:t>states</w:t>
      </w:r>
      <w:r>
        <w:t xml:space="preserve"> that, pursuant to section 31.5 of the Joint OATT, transmission customers will not be relieved of paying for Network Upgrades that are constructed should a transmission customer cancel or delay its requested change in NITS.</w:t>
      </w:r>
      <w:r>
        <w:rPr>
          <w:rStyle w:val="FootnoteReference"/>
        </w:rPr>
        <w:footnoteReference w:id="99"/>
      </w:r>
      <w:r w:rsidR="00666EA4">
        <w:t xml:space="preserve">  </w:t>
      </w:r>
      <w:r w:rsidR="00477BF2">
        <w:t>DEC</w:t>
      </w:r>
      <w:r w:rsidR="00C95106">
        <w:t xml:space="preserve"> </w:t>
      </w:r>
      <w:r w:rsidR="0092473E">
        <w:t>states</w:t>
      </w:r>
      <w:r w:rsidR="00477BF2">
        <w:t xml:space="preserve"> that, as the language in section 6.7 has been part of </w:t>
      </w:r>
      <w:r w:rsidR="00477BF2" w:rsidRPr="00F05AF7">
        <w:t xml:space="preserve">the Commission’s </w:t>
      </w:r>
      <w:r w:rsidR="00477BF2" w:rsidRPr="00F05AF7">
        <w:rPr>
          <w:i/>
        </w:rPr>
        <w:t>pro forma</w:t>
      </w:r>
      <w:r w:rsidR="00477BF2" w:rsidRPr="00F05AF7">
        <w:t xml:space="preserve"> OATT</w:t>
      </w:r>
      <w:r w:rsidR="00477BF2">
        <w:t xml:space="preserve"> and </w:t>
      </w:r>
      <w:r w:rsidR="00477BF2" w:rsidRPr="00B302B9">
        <w:t xml:space="preserve">incorporated in the Joint OATT since 2012, </w:t>
      </w:r>
      <w:r w:rsidR="00DA6F8A">
        <w:t xml:space="preserve">DEC </w:t>
      </w:r>
      <w:r w:rsidR="00477BF2">
        <w:t xml:space="preserve">now </w:t>
      </w:r>
      <w:r w:rsidR="00DA6F8A">
        <w:t xml:space="preserve">proposes to </w:t>
      </w:r>
      <w:r w:rsidR="00477BF2">
        <w:t xml:space="preserve">include </w:t>
      </w:r>
      <w:r w:rsidR="00DA6F8A">
        <w:t xml:space="preserve">this language </w:t>
      </w:r>
      <w:r w:rsidR="00477BF2" w:rsidRPr="00B302B9">
        <w:t xml:space="preserve">in </w:t>
      </w:r>
      <w:r w:rsidR="00DA6F8A">
        <w:t>its</w:t>
      </w:r>
      <w:r w:rsidR="00DA6F8A" w:rsidRPr="00B302B9">
        <w:t xml:space="preserve"> </w:t>
      </w:r>
      <w:r w:rsidR="00DA6F8A">
        <w:rPr>
          <w:i/>
          <w:iCs/>
        </w:rPr>
        <w:t xml:space="preserve">pro forma </w:t>
      </w:r>
      <w:r w:rsidR="00477BF2" w:rsidRPr="00B302B9">
        <w:t>NITSA for greater transparency</w:t>
      </w:r>
      <w:r w:rsidR="00477BF2">
        <w:t>.</w:t>
      </w:r>
      <w:r w:rsidR="00F05AF7">
        <w:rPr>
          <w:rStyle w:val="FootnoteReference"/>
        </w:rPr>
        <w:footnoteReference w:id="100"/>
      </w:r>
      <w:r w:rsidR="00D80835">
        <w:t xml:space="preserve">  </w:t>
      </w:r>
    </w:p>
    <w:p w14:paraId="64621427" w14:textId="77777777" w:rsidR="002C1A65" w:rsidRDefault="002C1A65" w:rsidP="00DA2469">
      <w:pPr>
        <w:pStyle w:val="Heading4"/>
      </w:pPr>
      <w:proofErr w:type="spellStart"/>
      <w:r>
        <w:t>ElectriCities</w:t>
      </w:r>
      <w:proofErr w:type="spellEnd"/>
      <w:r>
        <w:t xml:space="preserve"> Protest</w:t>
      </w:r>
    </w:p>
    <w:p w14:paraId="21ABFA35" w14:textId="77777777" w:rsidR="00DA2469" w:rsidRDefault="002C1A65" w:rsidP="00DA2469">
      <w:pPr>
        <w:pStyle w:val="FERCparanumber"/>
        <w:tabs>
          <w:tab w:val="num" w:pos="1440"/>
        </w:tabs>
      </w:pPr>
      <w:proofErr w:type="spellStart"/>
      <w:r w:rsidRPr="002A3073">
        <w:t>ElectriCities</w:t>
      </w:r>
      <w:proofErr w:type="spellEnd"/>
      <w:r w:rsidRPr="002A3073">
        <w:t xml:space="preserve"> claims that DEC’s proposed new language in section 6.4 of Attachment A to </w:t>
      </w:r>
      <w:r w:rsidR="001671CE">
        <w:t>its</w:t>
      </w:r>
      <w:r w:rsidR="001671CE" w:rsidRPr="002A3073">
        <w:t xml:space="preserve"> </w:t>
      </w:r>
      <w:r w:rsidRPr="002A3073">
        <w:rPr>
          <w:i/>
          <w:iCs/>
        </w:rPr>
        <w:t xml:space="preserve">pro forma </w:t>
      </w:r>
      <w:r w:rsidRPr="002A3073">
        <w:t xml:space="preserve">NITSA regarding providing security for </w:t>
      </w:r>
      <w:r w:rsidR="006D2F45">
        <w:t>N</w:t>
      </w:r>
      <w:r w:rsidRPr="002A3073">
        <w:t xml:space="preserve">etwork </w:t>
      </w:r>
      <w:r w:rsidR="006D2F45">
        <w:t>U</w:t>
      </w:r>
      <w:r w:rsidRPr="002A3073">
        <w:t xml:space="preserve">pgrades is inconsistent with </w:t>
      </w:r>
      <w:r w:rsidR="00145121">
        <w:t>s</w:t>
      </w:r>
      <w:r w:rsidRPr="002A3073">
        <w:t>ection 32.4 of the Joint OATT.</w:t>
      </w:r>
      <w:r>
        <w:rPr>
          <w:rStyle w:val="FootnoteReference"/>
        </w:rPr>
        <w:footnoteReference w:id="101"/>
      </w:r>
      <w:r w:rsidRPr="002A3073">
        <w:t xml:space="preserve">  Specifically, </w:t>
      </w:r>
      <w:proofErr w:type="spellStart"/>
      <w:r w:rsidRPr="002A3073">
        <w:t>ElectriCities</w:t>
      </w:r>
      <w:proofErr w:type="spellEnd"/>
      <w:r w:rsidRPr="002A3073">
        <w:t xml:space="preserve"> </w:t>
      </w:r>
      <w:r>
        <w:t>takes issue with the language indicating that network customers “</w:t>
      </w:r>
      <w:r w:rsidR="00A80B07">
        <w:t xml:space="preserve">shall </w:t>
      </w:r>
      <w:r w:rsidR="004B2A49">
        <w:t xml:space="preserve">comply </w:t>
      </w:r>
      <w:r w:rsidRPr="00BA2694">
        <w:t xml:space="preserve">at all times relevant under this Service Agreement with </w:t>
      </w:r>
      <w:r w:rsidR="005F4BAD">
        <w:t>‘</w:t>
      </w:r>
      <w:r w:rsidRPr="00BA2694">
        <w:t xml:space="preserve">Duke Energy Credit Risk Management Policy to Implement Security Required Pursuant to </w:t>
      </w:r>
      <w:r w:rsidR="003C5CCE">
        <w:t>S</w:t>
      </w:r>
      <w:r w:rsidRPr="00BA2694">
        <w:t>ection 32.4 of the Joint OATT</w:t>
      </w:r>
      <w:r>
        <w:t>’</w:t>
      </w:r>
      <w:r w:rsidRPr="00BA2694">
        <w:t xml:space="preserve"> which is posted on Transmission Provider’s OASIS website</w:t>
      </w:r>
      <w:r>
        <w:t>.”</w:t>
      </w:r>
      <w:r>
        <w:rPr>
          <w:rStyle w:val="FootnoteReference"/>
        </w:rPr>
        <w:footnoteReference w:id="102"/>
      </w:r>
      <w:r>
        <w:t xml:space="preserve">  </w:t>
      </w:r>
      <w:proofErr w:type="spellStart"/>
      <w:r>
        <w:lastRenderedPageBreak/>
        <w:t>ElectriCities</w:t>
      </w:r>
      <w:proofErr w:type="spellEnd"/>
      <w:r>
        <w:t xml:space="preserve"> argues that, by incorporating by reference the Credit Policy into </w:t>
      </w:r>
      <w:r w:rsidR="002959D6">
        <w:t xml:space="preserve">DEC’s </w:t>
      </w:r>
      <w:r w:rsidR="00906A69">
        <w:t xml:space="preserve">   </w:t>
      </w:r>
      <w:r>
        <w:rPr>
          <w:i/>
          <w:iCs/>
        </w:rPr>
        <w:t xml:space="preserve">pro forma </w:t>
      </w:r>
      <w:r>
        <w:rPr>
          <w:iCs/>
        </w:rPr>
        <w:t xml:space="preserve">NITSA, </w:t>
      </w:r>
      <w:r w:rsidR="00145121">
        <w:rPr>
          <w:iCs/>
        </w:rPr>
        <w:t>s</w:t>
      </w:r>
      <w:r>
        <w:t xml:space="preserve">ection 6.4 imposes a new requirement that departs from and is not superior to the existing requirement in </w:t>
      </w:r>
      <w:r w:rsidR="00AA2028">
        <w:t>s</w:t>
      </w:r>
      <w:r>
        <w:t xml:space="preserve">ection 32.4 of the OATT.  </w:t>
      </w:r>
      <w:r w:rsidRPr="002A3073">
        <w:t xml:space="preserve">While acknowledging that the Credit Policy is available on DEC’s OASIS, </w:t>
      </w:r>
      <w:proofErr w:type="spellStart"/>
      <w:r w:rsidRPr="002A3073">
        <w:t>ElectriCities</w:t>
      </w:r>
      <w:proofErr w:type="spellEnd"/>
      <w:r w:rsidRPr="002A3073">
        <w:t xml:space="preserve"> asserts that </w:t>
      </w:r>
      <w:r>
        <w:t>this new condition imposes</w:t>
      </w:r>
      <w:r w:rsidRPr="002A3073">
        <w:t xml:space="preserve"> unstated consequences should a transmission customer fail to comply with the policy.</w:t>
      </w:r>
      <w:r>
        <w:rPr>
          <w:rStyle w:val="FootnoteReference"/>
        </w:rPr>
        <w:footnoteReference w:id="103"/>
      </w:r>
      <w:r w:rsidRPr="002A3073">
        <w:t xml:space="preserve">  </w:t>
      </w:r>
      <w:proofErr w:type="spellStart"/>
      <w:r w:rsidRPr="002A3073">
        <w:t>ElectriCities</w:t>
      </w:r>
      <w:proofErr w:type="spellEnd"/>
      <w:r w:rsidRPr="002A3073">
        <w:t xml:space="preserve"> states that</w:t>
      </w:r>
      <w:r>
        <w:t>, accordingly,</w:t>
      </w:r>
      <w:r w:rsidRPr="002A3073">
        <w:t xml:space="preserve"> it is </w:t>
      </w:r>
      <w:r>
        <w:t>not just and reasonable</w:t>
      </w:r>
      <w:r w:rsidRPr="002A3073">
        <w:t xml:space="preserve"> for DEC to incorporate by reference the Credit Policy into </w:t>
      </w:r>
      <w:r w:rsidR="00432020">
        <w:t>its</w:t>
      </w:r>
      <w:r w:rsidR="00432020" w:rsidRPr="002A3073">
        <w:t xml:space="preserve"> </w:t>
      </w:r>
      <w:r w:rsidRPr="00F35413">
        <w:rPr>
          <w:i/>
          <w:iCs/>
        </w:rPr>
        <w:t xml:space="preserve">pro forma </w:t>
      </w:r>
      <w:r w:rsidRPr="002A3073">
        <w:t>NITSA when that policy has not been included in the Joint OATT and filed with the Commission</w:t>
      </w:r>
      <w:r>
        <w:t xml:space="preserve">, and the offending sentence should be removed from </w:t>
      </w:r>
      <w:r w:rsidR="005715B1">
        <w:t>s</w:t>
      </w:r>
      <w:r>
        <w:t>ection 6.4</w:t>
      </w:r>
      <w:r w:rsidRPr="002A3073">
        <w:t>.</w:t>
      </w:r>
      <w:r>
        <w:t xml:space="preserve">  </w:t>
      </w:r>
      <w:proofErr w:type="spellStart"/>
      <w:r>
        <w:t>ElectriCities</w:t>
      </w:r>
      <w:proofErr w:type="spellEnd"/>
      <w:r>
        <w:t xml:space="preserve"> adds that incorporating the new requirement in </w:t>
      </w:r>
      <w:r w:rsidR="00432020">
        <w:t xml:space="preserve">DEC’s </w:t>
      </w:r>
      <w:r>
        <w:rPr>
          <w:i/>
          <w:iCs/>
        </w:rPr>
        <w:t xml:space="preserve">pro forma </w:t>
      </w:r>
      <w:r>
        <w:t xml:space="preserve">NITSA would allow DEC to change its credit policy without providing a meaningful opportunity for </w:t>
      </w:r>
      <w:r w:rsidR="00432020">
        <w:t xml:space="preserve">a </w:t>
      </w:r>
      <w:r>
        <w:t>network customer “</w:t>
      </w:r>
      <w:r w:rsidRPr="00591A7C">
        <w:t>to challenge the effects of such a change on its ability to continue to qualify for service</w:t>
      </w:r>
      <w:r>
        <w:t>.”</w:t>
      </w:r>
      <w:r>
        <w:rPr>
          <w:rStyle w:val="FootnoteReference"/>
        </w:rPr>
        <w:footnoteReference w:id="104"/>
      </w:r>
    </w:p>
    <w:p w14:paraId="5DAA7528" w14:textId="77777777" w:rsidR="002C1A65" w:rsidRPr="00AC6F30" w:rsidRDefault="002C1A65" w:rsidP="00DA2469">
      <w:pPr>
        <w:pStyle w:val="FERCparanumber"/>
        <w:tabs>
          <w:tab w:val="num" w:pos="1440"/>
        </w:tabs>
      </w:pPr>
      <w:r w:rsidRPr="002A3073">
        <w:t xml:space="preserve">Moreover, </w:t>
      </w:r>
      <w:proofErr w:type="spellStart"/>
      <w:r w:rsidRPr="002A3073">
        <w:t>ElectriCities</w:t>
      </w:r>
      <w:proofErr w:type="spellEnd"/>
      <w:r w:rsidRPr="002A3073">
        <w:t xml:space="preserve"> notes that</w:t>
      </w:r>
      <w:r>
        <w:t xml:space="preserve"> </w:t>
      </w:r>
      <w:r w:rsidR="0057653C">
        <w:t>s</w:t>
      </w:r>
      <w:r>
        <w:t>ection</w:t>
      </w:r>
      <w:r w:rsidRPr="002A3073">
        <w:t xml:space="preserve"> 6.4 lacks </w:t>
      </w:r>
      <w:r>
        <w:t>the</w:t>
      </w:r>
      <w:r w:rsidRPr="002A3073">
        <w:t xml:space="preserve"> $10 million threshold for triggering a </w:t>
      </w:r>
      <w:r w:rsidR="00764635">
        <w:t xml:space="preserve">transmission </w:t>
      </w:r>
      <w:r w:rsidRPr="002A3073">
        <w:t>customer</w:t>
      </w:r>
      <w:r>
        <w:t>’</w:t>
      </w:r>
      <w:r w:rsidRPr="002A3073">
        <w:t xml:space="preserve">s obligation to post security for </w:t>
      </w:r>
      <w:r>
        <w:t>N</w:t>
      </w:r>
      <w:r w:rsidRPr="002A3073">
        <w:t xml:space="preserve">etwork </w:t>
      </w:r>
      <w:r>
        <w:t>U</w:t>
      </w:r>
      <w:r w:rsidRPr="002A3073">
        <w:t>pgrades that appears in the Credit Policy.</w:t>
      </w:r>
      <w:r>
        <w:rPr>
          <w:rStyle w:val="FootnoteReference"/>
        </w:rPr>
        <w:footnoteReference w:id="105"/>
      </w:r>
      <w:r w:rsidRPr="002A3073">
        <w:t xml:space="preserve">  </w:t>
      </w:r>
      <w:proofErr w:type="spellStart"/>
      <w:r w:rsidRPr="002A3073">
        <w:t>ElectriCities</w:t>
      </w:r>
      <w:proofErr w:type="spellEnd"/>
      <w:r w:rsidRPr="002A3073">
        <w:t xml:space="preserve"> asserts that DEC’s reference to the Credit Policy in proposed </w:t>
      </w:r>
      <w:r w:rsidR="0057653C">
        <w:t>s</w:t>
      </w:r>
      <w:r>
        <w:t xml:space="preserve">ection </w:t>
      </w:r>
      <w:r w:rsidRPr="002A3073">
        <w:t xml:space="preserve">6.4 does not cure this inconsistency and that proposed </w:t>
      </w:r>
      <w:r w:rsidR="0057653C">
        <w:t>s</w:t>
      </w:r>
      <w:r>
        <w:t>ection</w:t>
      </w:r>
      <w:r w:rsidRPr="002A3073">
        <w:t xml:space="preserve"> 6.4 should instead reference section 32.4 of the Joint OATT.</w:t>
      </w:r>
    </w:p>
    <w:p w14:paraId="6F5D5852" w14:textId="77777777" w:rsidR="002C1A65" w:rsidRDefault="002C1A65" w:rsidP="00DA2469">
      <w:pPr>
        <w:pStyle w:val="Heading4"/>
      </w:pPr>
      <w:r>
        <w:t>DEC Answer</w:t>
      </w:r>
    </w:p>
    <w:p w14:paraId="6B1224FE" w14:textId="77777777" w:rsidR="002C1A65" w:rsidRDefault="002C1A65" w:rsidP="00DA2469">
      <w:pPr>
        <w:pStyle w:val="FERCparanumber"/>
        <w:tabs>
          <w:tab w:val="num" w:pos="1440"/>
        </w:tabs>
      </w:pPr>
      <w:r>
        <w:t xml:space="preserve">DEC argues that it is not imposing a new condition on transmission customers, as the requirement that network customers provide security has existed since the inception of the Commission’s </w:t>
      </w:r>
      <w:r>
        <w:rPr>
          <w:i/>
          <w:iCs/>
        </w:rPr>
        <w:t xml:space="preserve">pro forma </w:t>
      </w:r>
      <w:r>
        <w:t>OATT in 1996, which DEC adopted without modification in the Joint OATT.</w:t>
      </w:r>
      <w:r>
        <w:rPr>
          <w:rStyle w:val="FootnoteReference"/>
        </w:rPr>
        <w:footnoteReference w:id="106"/>
      </w:r>
      <w:r>
        <w:t xml:space="preserve">  DEC explains that the Credit Policy details the types of security other than a letter of credit that network customers may provide.  DEC also asserts that</w:t>
      </w:r>
      <w:r w:rsidR="00D34B79">
        <w:t>,</w:t>
      </w:r>
      <w:r>
        <w:t xml:space="preserve"> contrary to </w:t>
      </w:r>
      <w:proofErr w:type="spellStart"/>
      <w:r>
        <w:t>ElectriCities</w:t>
      </w:r>
      <w:proofErr w:type="spellEnd"/>
      <w:r>
        <w:t>’ contention, the Credit Policy need not be part of the Joint OATT.  DEC avers that Order No. 890 established that transmission providers must “post on their public websites all rules, standards, and practices that relate to transmission service and provide a link to those rules, standards, and practices on OASIS.”</w:t>
      </w:r>
      <w:r>
        <w:rPr>
          <w:rStyle w:val="FootnoteReference"/>
        </w:rPr>
        <w:footnoteReference w:id="107"/>
      </w:r>
      <w:r>
        <w:t xml:space="preserve">  DEC adds that Order No. 890 explicitly contemplated that security requirements would be </w:t>
      </w:r>
      <w:r>
        <w:lastRenderedPageBreak/>
        <w:t>posted on OASIS and, therefore, DEC need not include the Credit Policy in the Joint OATT.</w:t>
      </w:r>
      <w:r>
        <w:rPr>
          <w:rStyle w:val="FootnoteReference"/>
        </w:rPr>
        <w:footnoteReference w:id="108"/>
      </w:r>
    </w:p>
    <w:p w14:paraId="322210FF" w14:textId="77777777" w:rsidR="002C1A65" w:rsidRDefault="002C1A65" w:rsidP="00DA2469">
      <w:pPr>
        <w:pStyle w:val="FERCparanumber"/>
        <w:tabs>
          <w:tab w:val="num" w:pos="1440"/>
        </w:tabs>
      </w:pPr>
      <w:r>
        <w:t xml:space="preserve">DEC also disagrees with </w:t>
      </w:r>
      <w:proofErr w:type="spellStart"/>
      <w:r>
        <w:t>ElectriCities</w:t>
      </w:r>
      <w:proofErr w:type="spellEnd"/>
      <w:r>
        <w:t xml:space="preserve">’ contention that </w:t>
      </w:r>
      <w:r w:rsidR="00CA4CF5">
        <w:t xml:space="preserve">section </w:t>
      </w:r>
      <w:r>
        <w:t xml:space="preserve">32.4 of the Joint OATT does not </w:t>
      </w:r>
      <w:r w:rsidR="00C469E4">
        <w:t>support the la</w:t>
      </w:r>
      <w:r w:rsidR="00F61BB8">
        <w:t>nguage in</w:t>
      </w:r>
      <w:r w:rsidR="00C347DD">
        <w:t xml:space="preserve"> section 6.4 of </w:t>
      </w:r>
      <w:r w:rsidR="00BD6861">
        <w:t xml:space="preserve">Attachment </w:t>
      </w:r>
      <w:r w:rsidR="008975A6">
        <w:t xml:space="preserve">A </w:t>
      </w:r>
      <w:r w:rsidR="00C715B7">
        <w:t xml:space="preserve">stating that the </w:t>
      </w:r>
      <w:r w:rsidR="00082218">
        <w:t xml:space="preserve">network customer </w:t>
      </w:r>
      <w:r w:rsidR="00BD6861">
        <w:t xml:space="preserve">“shall comply </w:t>
      </w:r>
      <w:r w:rsidR="00BD6861" w:rsidRPr="00BA2694">
        <w:t>at all times relevant under this Service Agreemen</w:t>
      </w:r>
      <w:r w:rsidR="00082218">
        <w:t>t</w:t>
      </w:r>
      <w:r w:rsidR="00F8148D">
        <w:t>” with the Credit Policy</w:t>
      </w:r>
      <w:r w:rsidR="00721B0D">
        <w:t xml:space="preserve"> and </w:t>
      </w:r>
      <w:r w:rsidR="005A1828">
        <w:t xml:space="preserve">that network customers could face “unstated consequences” for </w:t>
      </w:r>
      <w:r w:rsidR="00F62240">
        <w:t>failure to so comply</w:t>
      </w:r>
      <w:r>
        <w:t>.</w:t>
      </w:r>
      <w:r>
        <w:rPr>
          <w:rStyle w:val="FootnoteReference"/>
        </w:rPr>
        <w:footnoteReference w:id="109"/>
      </w:r>
      <w:r>
        <w:t xml:space="preserve">  In particular, DEC argues that the risk that a transmission customer does not pay for Network Upgrades under </w:t>
      </w:r>
      <w:r w:rsidR="00CC48E8">
        <w:t xml:space="preserve">section </w:t>
      </w:r>
      <w:r>
        <w:t xml:space="preserve">32.4 of the </w:t>
      </w:r>
      <w:r w:rsidR="00CC48E8">
        <w:t xml:space="preserve">Joint </w:t>
      </w:r>
      <w:r>
        <w:t>OATT exists from the time the customer executes a NITSA until such upgrades are constructed and placed into service.</w:t>
      </w:r>
      <w:r>
        <w:rPr>
          <w:rStyle w:val="FootnoteReference"/>
        </w:rPr>
        <w:footnoteReference w:id="110"/>
      </w:r>
      <w:r>
        <w:t xml:space="preserve">  DEC asserts that, accordingly, </w:t>
      </w:r>
      <w:r w:rsidR="005D0998">
        <w:t>s</w:t>
      </w:r>
      <w:r>
        <w:t>ection 6.4 of Attachment A’s requirement that the transmission customer maintain security “at all times relevant” under the NITSA is necessary to prevent non-payment.  DEC states that this approach comports with the Commission’s intention in Order No. 890 that the transmission customer, and not the transmission provider, would bear this risk.</w:t>
      </w:r>
      <w:r>
        <w:rPr>
          <w:rStyle w:val="FootnoteReference"/>
        </w:rPr>
        <w:footnoteReference w:id="111"/>
      </w:r>
      <w:r>
        <w:t xml:space="preserve">  DEC also points to the Commission’s preliminary findings in </w:t>
      </w:r>
      <w:r w:rsidR="00D571A5">
        <w:t>recent</w:t>
      </w:r>
      <w:r>
        <w:t xml:space="preserve"> orders that transmission cost recovery agreements should require Eligible Customers to provide security sufficient to cover the obligations of any </w:t>
      </w:r>
      <w:r w:rsidR="00D571A5">
        <w:t xml:space="preserve">Network Upgrades </w:t>
      </w:r>
      <w:r>
        <w:t>constructed as part of a request for transmission service on behalf of a large load.</w:t>
      </w:r>
      <w:r>
        <w:rPr>
          <w:rStyle w:val="FootnoteReference"/>
        </w:rPr>
        <w:footnoteReference w:id="112"/>
      </w:r>
    </w:p>
    <w:p w14:paraId="5FF2CFB1" w14:textId="77777777" w:rsidR="002C1A65" w:rsidRDefault="002C1A65" w:rsidP="00DA2469">
      <w:pPr>
        <w:pStyle w:val="FERCparanumber"/>
        <w:tabs>
          <w:tab w:val="num" w:pos="1440"/>
        </w:tabs>
      </w:pPr>
      <w:r>
        <w:t xml:space="preserve">In response to </w:t>
      </w:r>
      <w:proofErr w:type="spellStart"/>
      <w:r>
        <w:t>ElectriCities</w:t>
      </w:r>
      <w:proofErr w:type="spellEnd"/>
      <w:r>
        <w:t>’ argument that transmission customers would have no meaningful way to challenge the effects of future changes to the Credit Policy, DEC contends that its approach complies with Commission’s requirement that transmission providers post on their websites and OASIS the method by which they will amend their business practices, including credit requirements.</w:t>
      </w:r>
      <w:r>
        <w:rPr>
          <w:rStyle w:val="FootnoteReference"/>
        </w:rPr>
        <w:footnoteReference w:id="113"/>
      </w:r>
      <w:r>
        <w:t xml:space="preserve">  DEC notes that it has done so, and that its policy provides that “changes will be posted at least two weeks in advance of a change, which will provide customers a chance to prepare for the change and to provide </w:t>
      </w:r>
      <w:r>
        <w:lastRenderedPageBreak/>
        <w:t>feedback to DEC if they have questions or concerns about the changes.”</w:t>
      </w:r>
      <w:r>
        <w:rPr>
          <w:rStyle w:val="FootnoteReference"/>
        </w:rPr>
        <w:footnoteReference w:id="114"/>
      </w:r>
      <w:r>
        <w:t xml:space="preserve">  DEC argues that, as a result and contrary to </w:t>
      </w:r>
      <w:proofErr w:type="spellStart"/>
      <w:r>
        <w:t>ElectriCities</w:t>
      </w:r>
      <w:proofErr w:type="spellEnd"/>
      <w:r>
        <w:t>’ claim, transmission customers will have advanced notice on the opportunity to provide feedback to any changes DEC may make to its Credit Policy.</w:t>
      </w:r>
      <w:r>
        <w:rPr>
          <w:rStyle w:val="FootnoteReference"/>
        </w:rPr>
        <w:footnoteReference w:id="115"/>
      </w:r>
      <w:r>
        <w:t xml:space="preserve">  </w:t>
      </w:r>
    </w:p>
    <w:p w14:paraId="011696F7" w14:textId="77777777" w:rsidR="002C1A65" w:rsidRDefault="002C1A65" w:rsidP="00DA2469">
      <w:pPr>
        <w:pStyle w:val="Heading4"/>
      </w:pPr>
      <w:r>
        <w:t>Commission Determination</w:t>
      </w:r>
    </w:p>
    <w:p w14:paraId="5AAA3727" w14:textId="77777777" w:rsidR="00DA2469" w:rsidRDefault="002C1A65" w:rsidP="00DA2469">
      <w:pPr>
        <w:pStyle w:val="FERCparanumber"/>
        <w:tabs>
          <w:tab w:val="num" w:pos="1440"/>
        </w:tabs>
      </w:pPr>
      <w:r w:rsidRPr="00B00C76">
        <w:t xml:space="preserve">We find that </w:t>
      </w:r>
      <w:r w:rsidR="003D58AC">
        <w:t xml:space="preserve">the </w:t>
      </w:r>
      <w:r>
        <w:t xml:space="preserve">proposed </w:t>
      </w:r>
      <w:r w:rsidR="007025E3">
        <w:t xml:space="preserve">security provision in </w:t>
      </w:r>
      <w:r>
        <w:t>section 6.4 of Attachment A</w:t>
      </w:r>
      <w:r w:rsidRPr="00B00C76">
        <w:t xml:space="preserve"> </w:t>
      </w:r>
      <w:r w:rsidR="007D5840">
        <w:t>to</w:t>
      </w:r>
      <w:r w:rsidR="00C52BFD">
        <w:t xml:space="preserve"> DEC’s </w:t>
      </w:r>
      <w:r w:rsidR="007D5840">
        <w:rPr>
          <w:i/>
          <w:iCs/>
        </w:rPr>
        <w:t xml:space="preserve">pro forma </w:t>
      </w:r>
      <w:r w:rsidR="007D5840">
        <w:t xml:space="preserve">NITSA </w:t>
      </w:r>
      <w:r>
        <w:t>is</w:t>
      </w:r>
      <w:r w:rsidRPr="00B00C76">
        <w:t xml:space="preserve"> just and reasonable and not unduly discriminatory or preferential</w:t>
      </w:r>
      <w:r>
        <w:t xml:space="preserve">.  We agree with DEC that the language does not create a new requirement.  Instead, section 6.4 merely reiterates network customers’ existing obligation under the Joint OATT to provide acceptable forms of security for Network Upgrades stemming from a new service request.  Section 6.4’s reference to the Credit Policy, meanwhile, points </w:t>
      </w:r>
      <w:r w:rsidR="00B269B9">
        <w:t xml:space="preserve">transmission </w:t>
      </w:r>
      <w:r>
        <w:t>customers to DEC’s existing business practices, which detail how and in what form customers may provide security, among other things.</w:t>
      </w:r>
      <w:r>
        <w:rPr>
          <w:rStyle w:val="FootnoteReference"/>
        </w:rPr>
        <w:footnoteReference w:id="116"/>
      </w:r>
      <w:r>
        <w:t xml:space="preserve">  We also find that DEC complies with the Commission’s requirements under Order No. 890 to provide its credit policy on OASIS, as well as sufficient explanation for how transmission customers can provide feedback on future changes to the Credit Polic</w:t>
      </w:r>
      <w:r w:rsidRPr="00C26ADE">
        <w:t>y.</w:t>
      </w:r>
      <w:r w:rsidRPr="00C26ADE">
        <w:rPr>
          <w:rStyle w:val="FootnoteReference"/>
        </w:rPr>
        <w:footnoteReference w:id="117"/>
      </w:r>
      <w:r>
        <w:t xml:space="preserve">  Moreover, we agree with DEC that it is </w:t>
      </w:r>
      <w:r w:rsidR="004D2B48">
        <w:t xml:space="preserve">reasonable </w:t>
      </w:r>
      <w:r>
        <w:t xml:space="preserve">to require transmission customers to provide security for Network Upgrades identified in a service request until those upgrades have been placed </w:t>
      </w:r>
      <w:r>
        <w:lastRenderedPageBreak/>
        <w:t>into service.  This approach ali</w:t>
      </w:r>
      <w:r w:rsidR="00FA09D0">
        <w:t>g</w:t>
      </w:r>
      <w:r>
        <w:t xml:space="preserve">ns with </w:t>
      </w:r>
      <w:r w:rsidR="00243CF9">
        <w:t xml:space="preserve">the </w:t>
      </w:r>
      <w:r>
        <w:t>Commission</w:t>
      </w:r>
      <w:r w:rsidR="00243CF9">
        <w:t>’s</w:t>
      </w:r>
      <w:r>
        <w:t xml:space="preserve"> </w:t>
      </w:r>
      <w:r w:rsidR="007D418E">
        <w:t xml:space="preserve">adoption of Attachment L to the </w:t>
      </w:r>
      <w:r w:rsidR="007D418E">
        <w:rPr>
          <w:i/>
          <w:iCs/>
        </w:rPr>
        <w:t xml:space="preserve">pro forma </w:t>
      </w:r>
      <w:r w:rsidR="007D418E">
        <w:t>OATT in Order No. 890</w:t>
      </w:r>
      <w:r w:rsidRPr="003A5508">
        <w:t>.</w:t>
      </w:r>
      <w:r w:rsidRPr="003A5508">
        <w:rPr>
          <w:rStyle w:val="FootnoteReference"/>
        </w:rPr>
        <w:footnoteReference w:id="118"/>
      </w:r>
    </w:p>
    <w:p w14:paraId="4F12C090" w14:textId="77777777" w:rsidR="00700D60" w:rsidRPr="00A00CAE" w:rsidRDefault="002C1A65" w:rsidP="002B7433">
      <w:pPr>
        <w:pStyle w:val="FERCparanumber"/>
        <w:tabs>
          <w:tab w:val="num" w:pos="1440"/>
        </w:tabs>
      </w:pPr>
      <w:r>
        <w:t>Moreover,</w:t>
      </w:r>
      <w:r w:rsidR="00AE58C3">
        <w:t xml:space="preserve"> </w:t>
      </w:r>
      <w:r>
        <w:t>we find</w:t>
      </w:r>
      <w:r w:rsidR="00185913">
        <w:t xml:space="preserve"> </w:t>
      </w:r>
      <w:proofErr w:type="spellStart"/>
      <w:r>
        <w:t>ElectriCities</w:t>
      </w:r>
      <w:proofErr w:type="spellEnd"/>
      <w:r>
        <w:t>’</w:t>
      </w:r>
      <w:r w:rsidR="00185913">
        <w:t xml:space="preserve"> suggestion </w:t>
      </w:r>
      <w:r w:rsidR="009A5504">
        <w:t xml:space="preserve">that </w:t>
      </w:r>
      <w:r w:rsidR="00614268">
        <w:t>DEC</w:t>
      </w:r>
      <w:r w:rsidR="000A4E4F">
        <w:t>’s</w:t>
      </w:r>
      <w:r w:rsidR="00614268">
        <w:t xml:space="preserve"> inclusion of </w:t>
      </w:r>
      <w:r w:rsidR="00460074">
        <w:t>the Credit Policy</w:t>
      </w:r>
      <w:r w:rsidR="00614268">
        <w:t xml:space="preserve"> by </w:t>
      </w:r>
      <w:r w:rsidR="00A75EA9">
        <w:t>refere</w:t>
      </w:r>
      <w:r w:rsidR="0079723C">
        <w:t xml:space="preserve">nce in </w:t>
      </w:r>
      <w:r w:rsidR="009A5504" w:rsidRPr="00862807">
        <w:rPr>
          <w:iCs/>
        </w:rPr>
        <w:t>s</w:t>
      </w:r>
      <w:r w:rsidR="009A5504" w:rsidRPr="00862807">
        <w:t xml:space="preserve">ection 6.4 </w:t>
      </w:r>
      <w:r w:rsidR="009A5504">
        <w:t xml:space="preserve">of </w:t>
      </w:r>
      <w:r w:rsidR="007D418E">
        <w:t xml:space="preserve">its </w:t>
      </w:r>
      <w:r w:rsidR="009A5504" w:rsidRPr="00E92B32">
        <w:rPr>
          <w:i/>
          <w:iCs/>
        </w:rPr>
        <w:t>pro forma</w:t>
      </w:r>
      <w:r w:rsidR="009A5504">
        <w:t xml:space="preserve"> NITSA</w:t>
      </w:r>
      <w:r w:rsidR="00CD4350">
        <w:t xml:space="preserve"> </w:t>
      </w:r>
      <w:r w:rsidR="009A5504" w:rsidRPr="00862807">
        <w:t xml:space="preserve">imposes a new requirement that departs from the existing requirement in section 32.4 of the </w:t>
      </w:r>
      <w:r w:rsidR="00EC78BB">
        <w:t xml:space="preserve">Joint </w:t>
      </w:r>
      <w:r w:rsidR="009A5504" w:rsidRPr="00862807">
        <w:t>OATT</w:t>
      </w:r>
      <w:r w:rsidR="008E06AF">
        <w:t xml:space="preserve"> </w:t>
      </w:r>
      <w:r>
        <w:t xml:space="preserve">to be immaterial.  </w:t>
      </w:r>
      <w:r w:rsidR="003F7BC6">
        <w:t xml:space="preserve">As DEC </w:t>
      </w:r>
      <w:r w:rsidR="00C74605">
        <w:t xml:space="preserve">states, </w:t>
      </w:r>
      <w:r>
        <w:t xml:space="preserve">section 6.4 simply notes transmission customers’ general obligation to provide security equivalent to the cost of Network Upgrades, </w:t>
      </w:r>
      <w:r w:rsidR="007B6948">
        <w:t xml:space="preserve">which is </w:t>
      </w:r>
      <w:r>
        <w:t xml:space="preserve">an existing requirement under </w:t>
      </w:r>
      <w:proofErr w:type="gramStart"/>
      <w:r>
        <w:t>the Joint</w:t>
      </w:r>
      <w:proofErr w:type="gramEnd"/>
      <w:r>
        <w:t xml:space="preserve"> OATT.</w:t>
      </w:r>
      <w:r w:rsidR="00452812">
        <w:rPr>
          <w:rStyle w:val="FootnoteReference"/>
        </w:rPr>
        <w:footnoteReference w:id="119"/>
      </w:r>
      <w:r>
        <w:t xml:space="preserve">      </w:t>
      </w:r>
    </w:p>
    <w:p w14:paraId="1D72411C" w14:textId="77777777" w:rsidR="00DE2F54" w:rsidRDefault="00E7760C" w:rsidP="00DA2469">
      <w:pPr>
        <w:pStyle w:val="Heading3"/>
      </w:pPr>
      <w:r>
        <w:t>Audits</w:t>
      </w:r>
    </w:p>
    <w:p w14:paraId="43389F1F" w14:textId="77777777" w:rsidR="00DC7D0C" w:rsidRDefault="00DC7D0C" w:rsidP="00E92B32">
      <w:pPr>
        <w:pStyle w:val="Heading4"/>
      </w:pPr>
      <w:r>
        <w:t>Filing</w:t>
      </w:r>
      <w:r>
        <w:tab/>
      </w:r>
    </w:p>
    <w:p w14:paraId="6E3D3AD5" w14:textId="77777777" w:rsidR="00C70775" w:rsidRDefault="0038712D" w:rsidP="00C70775">
      <w:pPr>
        <w:pStyle w:val="FERCparanumber"/>
      </w:pPr>
      <w:r>
        <w:t xml:space="preserve">DEC </w:t>
      </w:r>
      <w:r w:rsidR="00B43C96">
        <w:t xml:space="preserve">proposes to </w:t>
      </w:r>
      <w:r w:rsidR="0002382C">
        <w:t>update sections 9.1 and 9.2</w:t>
      </w:r>
      <w:r w:rsidR="00A64EE6" w:rsidRPr="00A64EE6">
        <w:t xml:space="preserve"> </w:t>
      </w:r>
      <w:r w:rsidR="00126222">
        <w:t xml:space="preserve">of </w:t>
      </w:r>
      <w:r w:rsidR="009617B9">
        <w:t xml:space="preserve">its </w:t>
      </w:r>
      <w:r w:rsidR="00126222" w:rsidRPr="00D97608">
        <w:rPr>
          <w:i/>
          <w:iCs/>
        </w:rPr>
        <w:t>pro forma</w:t>
      </w:r>
      <w:r w:rsidR="00126222">
        <w:t xml:space="preserve"> NITSA </w:t>
      </w:r>
      <w:r w:rsidR="00A64EE6">
        <w:t>to expand the period</w:t>
      </w:r>
      <w:r w:rsidR="00FD3824">
        <w:t xml:space="preserve"> </w:t>
      </w:r>
      <w:r w:rsidR="000A6609">
        <w:t xml:space="preserve">that </w:t>
      </w:r>
      <w:r w:rsidR="00FD3824">
        <w:t xml:space="preserve">parties </w:t>
      </w:r>
      <w:proofErr w:type="gramStart"/>
      <w:r w:rsidR="00FD3824">
        <w:t>have to</w:t>
      </w:r>
      <w:proofErr w:type="gramEnd"/>
      <w:r w:rsidR="00A64EE6">
        <w:t xml:space="preserve"> audi</w:t>
      </w:r>
      <w:r w:rsidR="00856854">
        <w:t>t</w:t>
      </w:r>
      <w:r w:rsidR="00E031C0">
        <w:t xml:space="preserve"> their</w:t>
      </w:r>
      <w:r w:rsidR="00A64EE6">
        <w:t xml:space="preserve"> bills from one calendar year to 18 months</w:t>
      </w:r>
      <w:r w:rsidR="00962830">
        <w:t>,</w:t>
      </w:r>
      <w:r w:rsidR="00E031C0">
        <w:t xml:space="preserve"> allow</w:t>
      </w:r>
      <w:r w:rsidR="00962830">
        <w:t>ing</w:t>
      </w:r>
      <w:r w:rsidR="00A64EE6">
        <w:t xml:space="preserve"> customers broader rights to inspect and audit billing records.</w:t>
      </w:r>
      <w:r w:rsidR="00573E6D">
        <w:rPr>
          <w:rStyle w:val="FootnoteReference"/>
        </w:rPr>
        <w:footnoteReference w:id="120"/>
      </w:r>
      <w:r w:rsidR="00EA6CED">
        <w:t xml:space="preserve">  </w:t>
      </w:r>
      <w:r w:rsidR="00EA6CED" w:rsidRPr="00EA6CED">
        <w:t xml:space="preserve">Additionally, </w:t>
      </w:r>
      <w:r w:rsidR="00EA6CED">
        <w:t xml:space="preserve">DEC </w:t>
      </w:r>
      <w:r w:rsidR="0068408E">
        <w:t>revise</w:t>
      </w:r>
      <w:r w:rsidR="00AF408F">
        <w:t xml:space="preserve">s </w:t>
      </w:r>
      <w:r w:rsidR="00EA6CED" w:rsidRPr="00EA6CED">
        <w:t>subsection 9.3 to</w:t>
      </w:r>
      <w:r w:rsidR="00C34B31" w:rsidRPr="00C34B31">
        <w:t xml:space="preserve"> eliminate</w:t>
      </w:r>
      <w:r w:rsidR="009E5A95">
        <w:t xml:space="preserve"> following language: </w:t>
      </w:r>
    </w:p>
    <w:p w14:paraId="3E06DDAA" w14:textId="77777777" w:rsidR="006F3ECD" w:rsidRPr="00021235" w:rsidRDefault="006F3ECD" w:rsidP="00021235">
      <w:pPr>
        <w:pStyle w:val="FERCparanumber"/>
        <w:numPr>
          <w:ilvl w:val="0"/>
          <w:numId w:val="0"/>
        </w:numPr>
        <w:ind w:left="1440" w:right="1440"/>
        <w:rPr>
          <w:strike/>
        </w:rPr>
      </w:pPr>
      <w:r w:rsidRPr="00C70775">
        <w:t xml:space="preserve">With the exception of quantifiable changes in the amounts of the billings, the audit report, supporting materials, and all other audit results of all such audits shall be kept confidential by the Parties and shall not be released to any other party without the express written consent of the other Party </w:t>
      </w:r>
      <w:r w:rsidRPr="008D7B7B">
        <w:rPr>
          <w:strike/>
        </w:rPr>
        <w:t xml:space="preserve">except that in the event that a matter subject to audit becomes the subject of dispute resolution or litigation in any forum with jurisdiction, a Party may disclose to the decision maker the audit report, supporting materials, other audit results of all such audits, and any related information, provided that the other Party is afforded notice and an opportunity to request </w:t>
      </w:r>
      <w:r w:rsidRPr="008D7B7B">
        <w:rPr>
          <w:strike/>
        </w:rPr>
        <w:lastRenderedPageBreak/>
        <w:t>that such information be protected against disclosure to third parties.</w:t>
      </w:r>
    </w:p>
    <w:p w14:paraId="287285F8" w14:textId="77777777" w:rsidR="006F3ECD" w:rsidRDefault="00777339" w:rsidP="00C70775">
      <w:pPr>
        <w:pStyle w:val="FERCparanumber"/>
      </w:pPr>
      <w:r>
        <w:t>DEC states that</w:t>
      </w:r>
      <w:r w:rsidRPr="006F3ECD">
        <w:t xml:space="preserve"> </w:t>
      </w:r>
      <w:r w:rsidR="000429A8">
        <w:t>the proposed change</w:t>
      </w:r>
      <w:r w:rsidR="006F3ECD" w:rsidRPr="006F3ECD">
        <w:t xml:space="preserve"> removes the obligation to provide a </w:t>
      </w:r>
      <w:r w:rsidR="004E0567">
        <w:t xml:space="preserve">    </w:t>
      </w:r>
      <w:r w:rsidR="006F3ECD" w:rsidRPr="006F3ECD">
        <w:t>decision-maker in a litigation matter with an audit report of a billing issue, favoring instead the existing language in the section that provides greater confidentiality of an audit report not to be released to any third</w:t>
      </w:r>
      <w:r w:rsidR="00751888">
        <w:t xml:space="preserve"> </w:t>
      </w:r>
      <w:r w:rsidR="006F3ECD" w:rsidRPr="006F3ECD">
        <w:t>party without the written consent of the other party to the NITSA.</w:t>
      </w:r>
      <w:r w:rsidR="006F3ECD" w:rsidRPr="006F3ECD">
        <w:rPr>
          <w:b/>
          <w:vertAlign w:val="superscript"/>
        </w:rPr>
        <w:footnoteReference w:id="121"/>
      </w:r>
    </w:p>
    <w:p w14:paraId="4C8A524F" w14:textId="77777777" w:rsidR="0006132B" w:rsidRDefault="0006132B" w:rsidP="00E92B32">
      <w:pPr>
        <w:pStyle w:val="Heading4"/>
      </w:pPr>
      <w:proofErr w:type="spellStart"/>
      <w:r>
        <w:t>ElectriCities</w:t>
      </w:r>
      <w:proofErr w:type="spellEnd"/>
      <w:r>
        <w:t xml:space="preserve"> Protest</w:t>
      </w:r>
    </w:p>
    <w:p w14:paraId="71848B05" w14:textId="77777777" w:rsidR="005B50DE" w:rsidRPr="005B50DE" w:rsidRDefault="00036CF5" w:rsidP="00DA2469">
      <w:pPr>
        <w:pStyle w:val="FERCparanumber"/>
      </w:pPr>
      <w:proofErr w:type="spellStart"/>
      <w:r w:rsidRPr="00036CF5">
        <w:t>ElectriCities</w:t>
      </w:r>
      <w:proofErr w:type="spellEnd"/>
      <w:r w:rsidRPr="00036CF5">
        <w:t xml:space="preserve"> objects to DEC’s proposal to remove </w:t>
      </w:r>
      <w:r w:rsidR="0070306E">
        <w:t>the</w:t>
      </w:r>
      <w:r w:rsidRPr="00036CF5">
        <w:t xml:space="preserve"> clause in section 9.3 in the body of </w:t>
      </w:r>
      <w:r w:rsidR="003354AC">
        <w:t>its</w:t>
      </w:r>
      <w:r w:rsidR="003354AC" w:rsidRPr="00036CF5">
        <w:t xml:space="preserve"> </w:t>
      </w:r>
      <w:r w:rsidRPr="00021235">
        <w:rPr>
          <w:i/>
          <w:iCs/>
        </w:rPr>
        <w:t>pro forma</w:t>
      </w:r>
      <w:r w:rsidRPr="00036CF5">
        <w:t xml:space="preserve"> NITSA related to audit rights.</w:t>
      </w:r>
      <w:r w:rsidR="003472B6">
        <w:rPr>
          <w:rStyle w:val="FootnoteReference"/>
        </w:rPr>
        <w:footnoteReference w:id="122"/>
      </w:r>
      <w:r w:rsidRPr="00036CF5">
        <w:t xml:space="preserve">  </w:t>
      </w:r>
      <w:proofErr w:type="spellStart"/>
      <w:r w:rsidRPr="00036CF5">
        <w:t>ElectriCities</w:t>
      </w:r>
      <w:proofErr w:type="spellEnd"/>
      <w:r w:rsidRPr="00036CF5">
        <w:t xml:space="preserve"> argues that removing the clause is not just and reasonable because it could prevent DEC’s customers from being able to disclose DEC’s record and books to an adjudicatory body (including the Commission) should the parties be unable to resolve a billing dispute.  </w:t>
      </w:r>
      <w:proofErr w:type="spellStart"/>
      <w:r w:rsidRPr="00036CF5">
        <w:t>ElectriCities</w:t>
      </w:r>
      <w:proofErr w:type="spellEnd"/>
      <w:r w:rsidRPr="00036CF5">
        <w:t xml:space="preserve"> contends that the current language in section 9.3 properly balances the Commission’s interest in obtaining billing information to resolve disputes between DEC and its network customers with DEC’s interest in protecting commercially sensitive information from competitors.  </w:t>
      </w:r>
    </w:p>
    <w:p w14:paraId="04D6355B" w14:textId="77777777" w:rsidR="0006132B" w:rsidRDefault="0006132B" w:rsidP="00E92B32">
      <w:pPr>
        <w:pStyle w:val="Heading4"/>
      </w:pPr>
      <w:r>
        <w:t>DEC Answer</w:t>
      </w:r>
    </w:p>
    <w:p w14:paraId="28C9A553" w14:textId="77777777" w:rsidR="00940389" w:rsidRPr="00940389" w:rsidRDefault="00241E54" w:rsidP="00B66BC4">
      <w:pPr>
        <w:pStyle w:val="FERCparanumber"/>
      </w:pPr>
      <w:r>
        <w:t xml:space="preserve">DEC states that </w:t>
      </w:r>
      <w:r w:rsidR="00916AFE">
        <w:t>a</w:t>
      </w:r>
      <w:r w:rsidR="00DF6E70" w:rsidRPr="00DF6E70">
        <w:t xml:space="preserve">udits of the parties’ financial accounts and records with respect to transmission billing contain confidential and proprietary financial information </w:t>
      </w:r>
      <w:r w:rsidR="00E2090E">
        <w:t>that</w:t>
      </w:r>
      <w:r w:rsidR="00E2090E" w:rsidRPr="00DF6E70">
        <w:t xml:space="preserve"> </w:t>
      </w:r>
      <w:r w:rsidR="00D822BA">
        <w:t xml:space="preserve">may </w:t>
      </w:r>
      <w:r w:rsidR="002C2F95">
        <w:t>include</w:t>
      </w:r>
      <w:r w:rsidR="00481FBE">
        <w:t xml:space="preserve">: </w:t>
      </w:r>
      <w:r w:rsidR="00DF6E70" w:rsidRPr="00DF6E70">
        <w:t xml:space="preserve"> (</w:t>
      </w:r>
      <w:r w:rsidR="00481FBE">
        <w:t>1</w:t>
      </w:r>
      <w:r w:rsidR="00DF6E70" w:rsidRPr="00DF6E70">
        <w:t>) customer name, contact information, and account number</w:t>
      </w:r>
      <w:r w:rsidR="00D822BA">
        <w:t>;</w:t>
      </w:r>
      <w:r w:rsidR="00DF6E70" w:rsidRPr="00DF6E70">
        <w:t xml:space="preserve"> (</w:t>
      </w:r>
      <w:r w:rsidR="00481FBE">
        <w:t>2</w:t>
      </w:r>
      <w:r w:rsidR="00DF6E70" w:rsidRPr="00DF6E70">
        <w:t>) historical and current records of the amount of transmission usage by the customer</w:t>
      </w:r>
      <w:r w:rsidR="00D822BA">
        <w:t xml:space="preserve">; </w:t>
      </w:r>
      <w:r w:rsidR="00DF6E70" w:rsidRPr="00DF6E70">
        <w:t>(</w:t>
      </w:r>
      <w:r w:rsidR="00481FBE">
        <w:t>3</w:t>
      </w:r>
      <w:r w:rsidR="00DF6E70" w:rsidRPr="00DF6E70">
        <w:t>) historical and current records of the amount of transmission usage by customer per point of delivery</w:t>
      </w:r>
      <w:r w:rsidR="00D822BA">
        <w:t>;</w:t>
      </w:r>
      <w:r w:rsidR="00DF6E70" w:rsidRPr="00DF6E70">
        <w:t xml:space="preserve"> (</w:t>
      </w:r>
      <w:r w:rsidR="00481FBE">
        <w:t>4</w:t>
      </w:r>
      <w:r w:rsidR="00DF6E70" w:rsidRPr="00DF6E70">
        <w:t>) historical and current records of the amount of transmission usage by customer’s members (if customer is a cooperative)</w:t>
      </w:r>
      <w:r w:rsidR="00D822BA">
        <w:t xml:space="preserve">; </w:t>
      </w:r>
      <w:r w:rsidR="00DF6E70" w:rsidRPr="00DF6E70">
        <w:t>(</w:t>
      </w:r>
      <w:r w:rsidR="00481FBE">
        <w:t>5</w:t>
      </w:r>
      <w:r w:rsidR="00DF6E70" w:rsidRPr="00DF6E70">
        <w:t>) historical and current records of payments for transmission service</w:t>
      </w:r>
      <w:r w:rsidR="00D822BA">
        <w:t xml:space="preserve">; </w:t>
      </w:r>
      <w:r w:rsidR="00DF6E70" w:rsidRPr="00DF6E70">
        <w:t>(</w:t>
      </w:r>
      <w:r w:rsidR="00481FBE">
        <w:t>6</w:t>
      </w:r>
      <w:r w:rsidR="00DF6E70" w:rsidRPr="00DF6E70">
        <w:t>) transmission pricing information, including detailed breakdowns of components of transmission pricing</w:t>
      </w:r>
      <w:r w:rsidR="00D822BA">
        <w:t xml:space="preserve">; </w:t>
      </w:r>
      <w:r w:rsidR="00DF6E70" w:rsidRPr="00DF6E70">
        <w:t>and (</w:t>
      </w:r>
      <w:r w:rsidR="00481FBE">
        <w:t>7</w:t>
      </w:r>
      <w:r w:rsidR="00DF6E70" w:rsidRPr="00DF6E70">
        <w:t>) transmission billing information including bank account information.</w:t>
      </w:r>
      <w:r w:rsidR="00B66BC4">
        <w:rPr>
          <w:rStyle w:val="FootnoteReference"/>
        </w:rPr>
        <w:footnoteReference w:id="123"/>
      </w:r>
      <w:r w:rsidR="005347E0">
        <w:t xml:space="preserve">  </w:t>
      </w:r>
      <w:r w:rsidR="00BB1A55">
        <w:t xml:space="preserve">DEC argues that </w:t>
      </w:r>
      <w:r w:rsidR="00BB1A55" w:rsidRPr="00BB1A55">
        <w:t xml:space="preserve">audit rights are two-way rights applicable to both </w:t>
      </w:r>
      <w:r w:rsidR="00D56331">
        <w:t>the t</w:t>
      </w:r>
      <w:r w:rsidR="00D56331" w:rsidRPr="00BB1A55">
        <w:t xml:space="preserve">ransmission </w:t>
      </w:r>
      <w:r w:rsidR="00D56331">
        <w:t>p</w:t>
      </w:r>
      <w:r w:rsidR="00D56331" w:rsidRPr="00BB1A55">
        <w:t xml:space="preserve">rovider </w:t>
      </w:r>
      <w:r w:rsidR="00BB1A55" w:rsidRPr="00BB1A55">
        <w:t xml:space="preserve">and </w:t>
      </w:r>
      <w:r w:rsidR="00D56331">
        <w:t>the t</w:t>
      </w:r>
      <w:r w:rsidR="00D56331" w:rsidRPr="00BB1A55">
        <w:t xml:space="preserve">ransmission </w:t>
      </w:r>
      <w:r w:rsidR="00D56331">
        <w:t>c</w:t>
      </w:r>
      <w:r w:rsidR="00D56331" w:rsidRPr="00BB1A55">
        <w:t xml:space="preserve">ustomer </w:t>
      </w:r>
      <w:r w:rsidR="00BB1A55">
        <w:t xml:space="preserve">and </w:t>
      </w:r>
      <w:r w:rsidR="00315BBF">
        <w:t xml:space="preserve">that </w:t>
      </w:r>
      <w:r w:rsidR="00BB1A55" w:rsidRPr="00BB1A55">
        <w:t>it is appropriate that the party whose highly confidential financial and billing information is to be disclosed to a third party be requested to consent to such disclosure.</w:t>
      </w:r>
      <w:r w:rsidR="00C37A93">
        <w:t xml:space="preserve">  </w:t>
      </w:r>
      <w:r w:rsidR="00585289">
        <w:t xml:space="preserve"> </w:t>
      </w:r>
    </w:p>
    <w:p w14:paraId="5AD81CA5" w14:textId="77777777" w:rsidR="00096F79" w:rsidRDefault="0006132B" w:rsidP="00E92B32">
      <w:pPr>
        <w:pStyle w:val="Heading4"/>
      </w:pPr>
      <w:r>
        <w:lastRenderedPageBreak/>
        <w:t>Commission Determination</w:t>
      </w:r>
    </w:p>
    <w:p w14:paraId="2FCFC853" w14:textId="77777777" w:rsidR="0022189D" w:rsidRPr="009148FA" w:rsidRDefault="00B14EC4" w:rsidP="00B14EC4">
      <w:pPr>
        <w:pStyle w:val="FERCparanumber"/>
      </w:pPr>
      <w:r w:rsidRPr="00B14EC4">
        <w:t xml:space="preserve">We find that the proposed revisions </w:t>
      </w:r>
      <w:r w:rsidR="009F178D">
        <w:t>to</w:t>
      </w:r>
      <w:r w:rsidR="009F178D" w:rsidRPr="00B14EC4">
        <w:t xml:space="preserve"> </w:t>
      </w:r>
      <w:r w:rsidRPr="00B14EC4">
        <w:t xml:space="preserve">section 9.1 and section 9.2 </w:t>
      </w:r>
      <w:r w:rsidR="009F178D">
        <w:t xml:space="preserve">of DEC’s </w:t>
      </w:r>
      <w:r w:rsidR="004E0567">
        <w:t xml:space="preserve">            </w:t>
      </w:r>
      <w:r w:rsidR="009F178D">
        <w:rPr>
          <w:i/>
          <w:iCs/>
        </w:rPr>
        <w:t xml:space="preserve">pro forma </w:t>
      </w:r>
      <w:r w:rsidR="009F178D">
        <w:t xml:space="preserve">NITSA </w:t>
      </w:r>
      <w:r w:rsidR="001B0C19">
        <w:t>to expand the period that parties have to audit their bills from one calendar year to 18 months</w:t>
      </w:r>
      <w:r w:rsidR="001B0C19" w:rsidRPr="00B14EC4">
        <w:t xml:space="preserve"> </w:t>
      </w:r>
      <w:r w:rsidRPr="00B14EC4">
        <w:t>and the proposed deletions in section 9.3</w:t>
      </w:r>
      <w:r w:rsidR="00336AB0">
        <w:t xml:space="preserve"> to </w:t>
      </w:r>
      <w:r w:rsidR="00336AB0" w:rsidRPr="006F3ECD">
        <w:t>remove the obligation to provide a decision-maker in a litigation matter with an audit report of a billing issue without the written consent of the other party to the NITSA</w:t>
      </w:r>
      <w:r w:rsidRPr="00B14EC4">
        <w:t xml:space="preserve"> are just and reasonable. </w:t>
      </w:r>
      <w:r w:rsidR="001F2551">
        <w:t xml:space="preserve"> </w:t>
      </w:r>
      <w:r w:rsidRPr="00B14EC4">
        <w:t>We agree with DEC that</w:t>
      </w:r>
      <w:r w:rsidR="008C35F7">
        <w:t xml:space="preserve"> is rea</w:t>
      </w:r>
      <w:r w:rsidR="0046731C">
        <w:t>sonable</w:t>
      </w:r>
      <w:r w:rsidRPr="00B14EC4">
        <w:t xml:space="preserve"> an audit report </w:t>
      </w:r>
      <w:r w:rsidR="009B6F3E">
        <w:t>containing</w:t>
      </w:r>
      <w:r w:rsidRPr="00B14EC4">
        <w:t xml:space="preserve"> confidential financial and billing information</w:t>
      </w:r>
      <w:r w:rsidR="00CB1ACB">
        <w:t xml:space="preserve"> </w:t>
      </w:r>
      <w:r w:rsidR="00A56864">
        <w:t>should</w:t>
      </w:r>
      <w:r w:rsidR="00EA7F8F">
        <w:t xml:space="preserve"> </w:t>
      </w:r>
      <w:r w:rsidR="00C922BA" w:rsidRPr="00C922BA">
        <w:t xml:space="preserve">not be released to any </w:t>
      </w:r>
      <w:r w:rsidR="00C922BA">
        <w:t>third</w:t>
      </w:r>
      <w:r w:rsidR="00D65678">
        <w:t xml:space="preserve"> </w:t>
      </w:r>
      <w:r w:rsidR="00C922BA">
        <w:t>party</w:t>
      </w:r>
      <w:r w:rsidR="00C922BA" w:rsidRPr="00C922BA">
        <w:t xml:space="preserve"> without the</w:t>
      </w:r>
      <w:r w:rsidR="00C922BA">
        <w:t xml:space="preserve"> </w:t>
      </w:r>
      <w:r w:rsidR="00C922BA" w:rsidRPr="00C922BA">
        <w:t>written consent of the other party to the NITSA</w:t>
      </w:r>
      <w:r w:rsidRPr="00B14EC4">
        <w:t>.</w:t>
      </w:r>
      <w:r w:rsidR="004F454C">
        <w:t xml:space="preserve">  </w:t>
      </w:r>
      <w:r w:rsidR="0022189D">
        <w:t xml:space="preserve">We are not persuaded by </w:t>
      </w:r>
      <w:proofErr w:type="spellStart"/>
      <w:r w:rsidR="0022189D">
        <w:t>ElectriCities</w:t>
      </w:r>
      <w:proofErr w:type="spellEnd"/>
      <w:r w:rsidR="0022189D">
        <w:t>’</w:t>
      </w:r>
      <w:r w:rsidR="00564370">
        <w:t xml:space="preserve"> argument that removing the carve out</w:t>
      </w:r>
      <w:r w:rsidR="009D2C59">
        <w:t xml:space="preserve"> for </w:t>
      </w:r>
      <w:r w:rsidR="00C85384">
        <w:t xml:space="preserve">matters sent to an </w:t>
      </w:r>
      <w:r w:rsidR="009D2C59" w:rsidRPr="009D2C59">
        <w:t>adjudicatory</w:t>
      </w:r>
      <w:r w:rsidR="009D2C59">
        <w:t xml:space="preserve"> body is unjust and </w:t>
      </w:r>
      <w:r w:rsidR="00C93B67">
        <w:t>unreasonable</w:t>
      </w:r>
      <w:r w:rsidR="009D2C59">
        <w:t>.</w:t>
      </w:r>
      <w:r w:rsidR="008D08F2">
        <w:t xml:space="preserve">  We</w:t>
      </w:r>
      <w:r w:rsidR="005275C6">
        <w:t xml:space="preserve"> also</w:t>
      </w:r>
      <w:r w:rsidR="008D08F2">
        <w:t xml:space="preserve"> find that </w:t>
      </w:r>
      <w:r w:rsidR="000D4CFF">
        <w:t>the</w:t>
      </w:r>
      <w:r w:rsidR="008D08F2">
        <w:t xml:space="preserve"> </w:t>
      </w:r>
      <w:r w:rsidR="00702A3C">
        <w:t xml:space="preserve">proposed </w:t>
      </w:r>
      <w:r w:rsidR="00366BB1">
        <w:t xml:space="preserve">deletion </w:t>
      </w:r>
      <w:r w:rsidR="00E13068">
        <w:t xml:space="preserve">in </w:t>
      </w:r>
      <w:r w:rsidR="00615D5D">
        <w:t xml:space="preserve">section 9.3 does not </w:t>
      </w:r>
      <w:r w:rsidR="00426061">
        <w:t>foreclose</w:t>
      </w:r>
      <w:r w:rsidR="00615D5D">
        <w:t xml:space="preserve"> disclosure of an audit report </w:t>
      </w:r>
      <w:r w:rsidR="00545630">
        <w:t>to</w:t>
      </w:r>
      <w:r w:rsidR="0043581E">
        <w:t xml:space="preserve"> </w:t>
      </w:r>
      <w:r w:rsidR="00B01EBF">
        <w:t xml:space="preserve">the </w:t>
      </w:r>
      <w:r w:rsidR="0043581E">
        <w:t>Commission</w:t>
      </w:r>
      <w:r w:rsidR="00C45539">
        <w:t xml:space="preserve"> for review</w:t>
      </w:r>
      <w:r w:rsidR="00892B08">
        <w:t>.</w:t>
      </w:r>
      <w:r w:rsidR="00096CC1">
        <w:rPr>
          <w:rStyle w:val="FootnoteReference"/>
        </w:rPr>
        <w:footnoteReference w:id="124"/>
      </w:r>
      <w:r w:rsidR="00D013F5">
        <w:t xml:space="preserve"> </w:t>
      </w:r>
    </w:p>
    <w:p w14:paraId="5144DE96" w14:textId="77777777" w:rsidR="00A07425" w:rsidRPr="001A73C6" w:rsidRDefault="00A07425" w:rsidP="00A07425">
      <w:pPr>
        <w:pStyle w:val="Heading3"/>
      </w:pPr>
      <w:r>
        <w:t xml:space="preserve">Other Changes to the </w:t>
      </w:r>
      <w:r w:rsidRPr="00812463">
        <w:rPr>
          <w:i/>
        </w:rPr>
        <w:t>Pro Forma</w:t>
      </w:r>
      <w:r>
        <w:t xml:space="preserve"> NITSA</w:t>
      </w:r>
    </w:p>
    <w:p w14:paraId="5A1BF070" w14:textId="77777777" w:rsidR="00AC5B8F" w:rsidRDefault="00AC5B8F" w:rsidP="00AC5B8F">
      <w:pPr>
        <w:pStyle w:val="Heading4"/>
      </w:pPr>
      <w:r>
        <w:t>Filing</w:t>
      </w:r>
    </w:p>
    <w:p w14:paraId="7CE3F19E" w14:textId="77777777" w:rsidR="007B69BE" w:rsidRDefault="007B69BE" w:rsidP="005E2D63">
      <w:pPr>
        <w:pStyle w:val="Heading5"/>
      </w:pPr>
      <w:r>
        <w:t xml:space="preserve">Body of the </w:t>
      </w:r>
      <w:r w:rsidRPr="00D97608">
        <w:rPr>
          <w:i/>
        </w:rPr>
        <w:t>Pro Forma</w:t>
      </w:r>
      <w:r>
        <w:t xml:space="preserve"> NITSA</w:t>
      </w:r>
    </w:p>
    <w:p w14:paraId="4FB9410B" w14:textId="77777777" w:rsidR="007B69BE" w:rsidRPr="007B69BE" w:rsidRDefault="008C4AB0">
      <w:pPr>
        <w:pStyle w:val="FERCparanumber"/>
      </w:pPr>
      <w:r w:rsidRPr="001E6A9F">
        <w:t>DEC propose</w:t>
      </w:r>
      <w:r w:rsidR="002442E0">
        <w:t>s</w:t>
      </w:r>
      <w:r w:rsidRPr="001E6A9F">
        <w:t xml:space="preserve"> </w:t>
      </w:r>
      <w:r w:rsidR="002442E0">
        <w:t xml:space="preserve">several </w:t>
      </w:r>
      <w:r w:rsidRPr="001E6A9F">
        <w:t xml:space="preserve">changes to the body of the </w:t>
      </w:r>
      <w:r w:rsidRPr="00353BA4">
        <w:rPr>
          <w:i/>
          <w:iCs/>
        </w:rPr>
        <w:t>pro forma</w:t>
      </w:r>
      <w:r w:rsidRPr="001E6A9F">
        <w:t xml:space="preserve"> NITSA</w:t>
      </w:r>
      <w:r>
        <w:t xml:space="preserve"> </w:t>
      </w:r>
      <w:r w:rsidR="00AE20BE">
        <w:t xml:space="preserve">that </w:t>
      </w:r>
      <w:r>
        <w:t>are largely administrative</w:t>
      </w:r>
      <w:r w:rsidRPr="001E6A9F">
        <w:t xml:space="preserve">.  </w:t>
      </w:r>
      <w:r w:rsidR="0031623F">
        <w:t xml:space="preserve">Specifically, </w:t>
      </w:r>
      <w:r w:rsidRPr="001E6A9F">
        <w:t xml:space="preserve">DEC </w:t>
      </w:r>
      <w:r w:rsidR="007970FB">
        <w:t xml:space="preserve">proposes to </w:t>
      </w:r>
      <w:r w:rsidRPr="001E6A9F">
        <w:t>replace placeholder fields for agreement numbers, customer names, and dates to facilitate customization</w:t>
      </w:r>
      <w:r>
        <w:t xml:space="preserve"> and </w:t>
      </w:r>
      <w:r w:rsidRPr="001E6A9F">
        <w:t>remove</w:t>
      </w:r>
      <w:r>
        <w:t xml:space="preserve"> rollover rights</w:t>
      </w:r>
      <w:r w:rsidRPr="001E6A9F">
        <w:t xml:space="preserve"> provisions as </w:t>
      </w:r>
      <w:r>
        <w:t xml:space="preserve">duplicative of </w:t>
      </w:r>
      <w:r w:rsidRPr="001E6A9F">
        <w:t>the Joint OATT and Order No. 890.</w:t>
      </w:r>
      <w:r w:rsidRPr="0075547D">
        <w:rPr>
          <w:b/>
          <w:vertAlign w:val="superscript"/>
        </w:rPr>
        <w:footnoteReference w:id="125"/>
      </w:r>
      <w:r w:rsidRPr="0075547D">
        <w:rPr>
          <w:b/>
        </w:rPr>
        <w:t xml:space="preserve"> </w:t>
      </w:r>
      <w:r>
        <w:t xml:space="preserve"> </w:t>
      </w:r>
      <w:r w:rsidRPr="001E6A9F">
        <w:t xml:space="preserve">In section 10.0 (Delivery Points), DEC </w:t>
      </w:r>
      <w:r w:rsidR="001470FF">
        <w:t xml:space="preserve">proposes to </w:t>
      </w:r>
      <w:r w:rsidR="001470FF" w:rsidRPr="001E6A9F">
        <w:t>clarif</w:t>
      </w:r>
      <w:r w:rsidR="001470FF">
        <w:t xml:space="preserve">y </w:t>
      </w:r>
      <w:r w:rsidR="007D4B81">
        <w:t>the transmission</w:t>
      </w:r>
      <w:r w:rsidRPr="001E6A9F">
        <w:t xml:space="preserve"> customer</w:t>
      </w:r>
      <w:r w:rsidR="007D4B81">
        <w:t>’s</w:t>
      </w:r>
      <w:r w:rsidRPr="001E6A9F">
        <w:t xml:space="preserve"> </w:t>
      </w:r>
      <w:r>
        <w:t xml:space="preserve">construction </w:t>
      </w:r>
      <w:r w:rsidR="007D4B81">
        <w:t xml:space="preserve">obligation </w:t>
      </w:r>
      <w:r w:rsidRPr="001E6A9F">
        <w:t>and include a requirement for planning load ramp schedules</w:t>
      </w:r>
      <w:r w:rsidR="008E6C42">
        <w:t xml:space="preserve">.  </w:t>
      </w:r>
      <w:r w:rsidR="004F20E8">
        <w:t>Proposed s</w:t>
      </w:r>
      <w:r w:rsidR="004F20E8" w:rsidRPr="001E6A9F">
        <w:t xml:space="preserve">ection </w:t>
      </w:r>
      <w:r w:rsidRPr="001E6A9F">
        <w:t xml:space="preserve">12.0 </w:t>
      </w:r>
      <w:r w:rsidR="004F20E8">
        <w:t xml:space="preserve">would </w:t>
      </w:r>
      <w:r>
        <w:t>add</w:t>
      </w:r>
      <w:r w:rsidRPr="001E6A9F">
        <w:t xml:space="preserve"> breach, cure, and default provisions, consistent with generator interconnection </w:t>
      </w:r>
      <w:r>
        <w:t>agreements under</w:t>
      </w:r>
      <w:r w:rsidRPr="001E6A9F">
        <w:t xml:space="preserve"> Order Nos. 2023 and 2023-A. </w:t>
      </w:r>
      <w:r>
        <w:t xml:space="preserve"> DEC also </w:t>
      </w:r>
      <w:r w:rsidR="004F20E8">
        <w:t xml:space="preserve">proposes </w:t>
      </w:r>
      <w:proofErr w:type="gramStart"/>
      <w:r w:rsidR="004F20E8">
        <w:t xml:space="preserve">to </w:t>
      </w:r>
      <w:r>
        <w:t>delete</w:t>
      </w:r>
      <w:proofErr w:type="gramEnd"/>
      <w:r>
        <w:t xml:space="preserve"> outdated </w:t>
      </w:r>
      <w:r w:rsidRPr="001E6A9F">
        <w:t xml:space="preserve">Rural Utilities Service </w:t>
      </w:r>
      <w:r>
        <w:t xml:space="preserve">approval requirements, </w:t>
      </w:r>
      <w:proofErr w:type="gramStart"/>
      <w:r w:rsidRPr="001E6A9F">
        <w:t>modernize</w:t>
      </w:r>
      <w:proofErr w:type="gramEnd"/>
      <w:r w:rsidRPr="001E6A9F">
        <w:t xml:space="preserve"> </w:t>
      </w:r>
      <w:r>
        <w:lastRenderedPageBreak/>
        <w:t xml:space="preserve">reference to </w:t>
      </w:r>
      <w:r w:rsidRPr="008C7C77">
        <w:t>sections 205 and 206 of the F</w:t>
      </w:r>
      <w:r>
        <w:t>PA</w:t>
      </w:r>
      <w:r w:rsidR="00A80C3E">
        <w:t>,</w:t>
      </w:r>
      <w:r>
        <w:t xml:space="preserve"> and </w:t>
      </w:r>
      <w:proofErr w:type="gramStart"/>
      <w:r>
        <w:t>revise</w:t>
      </w:r>
      <w:proofErr w:type="gramEnd"/>
      <w:r>
        <w:t xml:space="preserve"> the </w:t>
      </w:r>
      <w:r w:rsidRPr="008C7C77">
        <w:t xml:space="preserve">signature page to ensure accurate identification of parties and signatories.  </w:t>
      </w:r>
    </w:p>
    <w:p w14:paraId="11012C93" w14:textId="77777777" w:rsidR="00A07425" w:rsidRDefault="00A07425" w:rsidP="00EE38F8">
      <w:pPr>
        <w:pStyle w:val="Heading5"/>
      </w:pPr>
      <w:r w:rsidRPr="008C7C77">
        <w:t xml:space="preserve">Attachment A </w:t>
      </w:r>
      <w:r w:rsidR="007424DE">
        <w:t xml:space="preserve">– </w:t>
      </w:r>
      <w:r w:rsidR="003E3056">
        <w:t>(</w:t>
      </w:r>
      <w:r w:rsidR="007424DE">
        <w:t>Specifications for N</w:t>
      </w:r>
      <w:r w:rsidR="00B95C51">
        <w:t>etwork Integration Transmission Service</w:t>
      </w:r>
      <w:r w:rsidR="003E3056">
        <w:t>)</w:t>
      </w:r>
    </w:p>
    <w:p w14:paraId="7517B441" w14:textId="77777777" w:rsidR="00A07425" w:rsidRDefault="00A07425" w:rsidP="00A07425">
      <w:pPr>
        <w:pStyle w:val="FERCparanumber"/>
        <w:tabs>
          <w:tab w:val="num" w:pos="1440"/>
        </w:tabs>
      </w:pPr>
      <w:r w:rsidRPr="008C7C77">
        <w:t xml:space="preserve">In </w:t>
      </w:r>
      <w:r w:rsidR="00705B98">
        <w:t>s</w:t>
      </w:r>
      <w:r w:rsidRPr="008C7C77">
        <w:t>ection 2.0</w:t>
      </w:r>
      <w:r w:rsidR="003B53C7">
        <w:t xml:space="preserve"> </w:t>
      </w:r>
      <w:r w:rsidR="00FC699C" w:rsidRPr="00FC699C">
        <w:rPr>
          <w:bCs/>
        </w:rPr>
        <w:t>(Description of Capacity and/or Energy to be Transmitted by Transmission Provider Across the Transmission Provider’s Transmission System (including electric control are</w:t>
      </w:r>
      <w:r w:rsidR="00CA5C8B">
        <w:rPr>
          <w:bCs/>
        </w:rPr>
        <w:t>a</w:t>
      </w:r>
      <w:r w:rsidR="00FC699C" w:rsidRPr="00FC699C">
        <w:rPr>
          <w:bCs/>
        </w:rPr>
        <w:t xml:space="preserve"> in which the transaction originates))</w:t>
      </w:r>
      <w:r w:rsidRPr="008C7C77">
        <w:t>,</w:t>
      </w:r>
      <w:r>
        <w:t xml:space="preserve"> DEC </w:t>
      </w:r>
      <w:r w:rsidR="006D3143">
        <w:t xml:space="preserve">proposes to </w:t>
      </w:r>
      <w:r w:rsidR="006D3143" w:rsidRPr="008C7C77">
        <w:t>clarif</w:t>
      </w:r>
      <w:r w:rsidR="006D3143">
        <w:t>y</w:t>
      </w:r>
      <w:r w:rsidR="006D3143" w:rsidRPr="008C7C77">
        <w:t xml:space="preserve"> </w:t>
      </w:r>
      <w:r w:rsidRPr="008C7C77">
        <w:t xml:space="preserve">that </w:t>
      </w:r>
      <w:r w:rsidRPr="00B539BB">
        <w:t>capacity</w:t>
      </w:r>
      <w:r>
        <w:t xml:space="preserve"> </w:t>
      </w:r>
      <w:r w:rsidRPr="00B539BB">
        <w:t>and energy</w:t>
      </w:r>
      <w:r w:rsidRPr="008C7C77">
        <w:t xml:space="preserve"> resources are delivered to the </w:t>
      </w:r>
      <w:r>
        <w:t>t</w:t>
      </w:r>
      <w:r w:rsidRPr="008C7C77">
        <w:t xml:space="preserve">ransmission </w:t>
      </w:r>
      <w:r>
        <w:t>c</w:t>
      </w:r>
      <w:r w:rsidRPr="008C7C77">
        <w:t xml:space="preserve">ustomer’s </w:t>
      </w:r>
      <w:r>
        <w:t>d</w:t>
      </w:r>
      <w:r w:rsidRPr="008C7C77">
        <w:t xml:space="preserve">elivery </w:t>
      </w:r>
      <w:r>
        <w:t>p</w:t>
      </w:r>
      <w:r w:rsidRPr="008C7C77">
        <w:t xml:space="preserve">oints from the </w:t>
      </w:r>
      <w:r>
        <w:t>t</w:t>
      </w:r>
      <w:r w:rsidRPr="008C7C77">
        <w:t xml:space="preserve">ransmission </w:t>
      </w:r>
      <w:r>
        <w:t>p</w:t>
      </w:r>
      <w:r w:rsidRPr="008C7C77">
        <w:t xml:space="preserve">rovider’s </w:t>
      </w:r>
      <w:r>
        <w:t>t</w:t>
      </w:r>
      <w:r w:rsidRPr="008C7C77">
        <w:t xml:space="preserve">ransmission </w:t>
      </w:r>
      <w:r>
        <w:t>s</w:t>
      </w:r>
      <w:r w:rsidRPr="008C7C77">
        <w:t xml:space="preserve">ystem, rather than simply to the </w:t>
      </w:r>
      <w:r>
        <w:t>t</w:t>
      </w:r>
      <w:r w:rsidRPr="008C7C77">
        <w:t xml:space="preserve">ransmission </w:t>
      </w:r>
      <w:r>
        <w:t>p</w:t>
      </w:r>
      <w:r w:rsidRPr="008C7C77">
        <w:t xml:space="preserve">rovider’s </w:t>
      </w:r>
      <w:r>
        <w:t>t</w:t>
      </w:r>
      <w:r w:rsidRPr="008C7C77">
        <w:t xml:space="preserve">ransmission </w:t>
      </w:r>
      <w:r>
        <w:t>s</w:t>
      </w:r>
      <w:r w:rsidRPr="008C7C77">
        <w:t>ystem</w:t>
      </w:r>
      <w:r w:rsidR="00156EB8">
        <w:t xml:space="preserve"> </w:t>
      </w:r>
      <w:r w:rsidRPr="008C7C77">
        <w:t>and</w:t>
      </w:r>
      <w:r w:rsidR="00156EB8">
        <w:t xml:space="preserve"> that,</w:t>
      </w:r>
      <w:r w:rsidRPr="008C7C77">
        <w:t xml:space="preserve"> </w:t>
      </w:r>
      <w:r w:rsidR="00274C01">
        <w:t>where</w:t>
      </w:r>
      <w:r w:rsidRPr="008C7C77">
        <w:t xml:space="preserve"> appropriate, distribution facilities may serve delivery points.</w:t>
      </w:r>
      <w:r w:rsidR="00613241">
        <w:rPr>
          <w:rStyle w:val="FootnoteReference"/>
        </w:rPr>
        <w:footnoteReference w:id="126"/>
      </w:r>
      <w:r w:rsidRPr="008C7C77">
        <w:t xml:space="preserve"> </w:t>
      </w:r>
    </w:p>
    <w:p w14:paraId="296B0BF0" w14:textId="77777777" w:rsidR="00A07425" w:rsidRDefault="00A07425" w:rsidP="00A07425">
      <w:pPr>
        <w:pStyle w:val="FERCparanumber"/>
        <w:tabs>
          <w:tab w:val="num" w:pos="1440"/>
        </w:tabs>
      </w:pPr>
      <w:r w:rsidRPr="008C7C77">
        <w:t xml:space="preserve">In </w:t>
      </w:r>
      <w:r w:rsidR="00874A18">
        <w:t>s</w:t>
      </w:r>
      <w:r w:rsidRPr="008C7C77">
        <w:t>ection 3.0</w:t>
      </w:r>
      <w:r w:rsidR="00891B7B">
        <w:t xml:space="preserve"> (Resources)</w:t>
      </w:r>
      <w:r>
        <w:t xml:space="preserve">, </w:t>
      </w:r>
      <w:r w:rsidRPr="008C7C77">
        <w:t xml:space="preserve">DEC </w:t>
      </w:r>
      <w:r w:rsidR="00F3136F">
        <w:t xml:space="preserve">proposes to </w:t>
      </w:r>
      <w:r w:rsidRPr="008C7C77">
        <w:t>add</w:t>
      </w:r>
      <w:r w:rsidR="00361E1B">
        <w:t xml:space="preserve"> bracketed</w:t>
      </w:r>
      <w:r w:rsidRPr="008C7C77">
        <w:t xml:space="preserve"> placeholders for </w:t>
      </w:r>
      <w:r w:rsidR="00CA5C8B">
        <w:t xml:space="preserve">the </w:t>
      </w:r>
      <w:r>
        <w:t>n</w:t>
      </w:r>
      <w:r w:rsidRPr="008C7C77">
        <w:t xml:space="preserve">etwork </w:t>
      </w:r>
      <w:proofErr w:type="gramStart"/>
      <w:r>
        <w:t>c</w:t>
      </w:r>
      <w:r w:rsidRPr="008C7C77">
        <w:t>ustomer’s</w:t>
      </w:r>
      <w:proofErr w:type="gramEnd"/>
      <w:r w:rsidRPr="008C7C77">
        <w:t xml:space="preserve"> </w:t>
      </w:r>
      <w:r>
        <w:t>d</w:t>
      </w:r>
      <w:r w:rsidRPr="008C7C77">
        <w:t xml:space="preserve">esignated </w:t>
      </w:r>
      <w:r>
        <w:t>n</w:t>
      </w:r>
      <w:r w:rsidRPr="008C7C77">
        <w:t xml:space="preserve">etwork </w:t>
      </w:r>
      <w:r>
        <w:t>r</w:t>
      </w:r>
      <w:r w:rsidRPr="008C7C77">
        <w:t>esources, distinguishing between owned generation and contrac</w:t>
      </w:r>
      <w:r>
        <w:t>ts</w:t>
      </w:r>
      <w:r w:rsidR="006E31EE">
        <w:t xml:space="preserve">. </w:t>
      </w:r>
      <w:r w:rsidR="00F3136F">
        <w:t xml:space="preserve"> </w:t>
      </w:r>
      <w:r w:rsidR="006E31EE">
        <w:t xml:space="preserve">DEC </w:t>
      </w:r>
      <w:r>
        <w:t>argu</w:t>
      </w:r>
      <w:r w:rsidR="006E31EE">
        <w:t>es</w:t>
      </w:r>
      <w:r>
        <w:t xml:space="preserve"> that</w:t>
      </w:r>
      <w:r w:rsidRPr="008C7C77">
        <w:t xml:space="preserve"> </w:t>
      </w:r>
      <w:r w:rsidR="006E31EE">
        <w:t xml:space="preserve">this change is necessary because </w:t>
      </w:r>
      <w:r>
        <w:t>l</w:t>
      </w:r>
      <w:r w:rsidRPr="008C7C77">
        <w:t xml:space="preserve">isting the customer’s owned generation and contracts in individual NITSAs </w:t>
      </w:r>
      <w:r w:rsidR="006E31EE">
        <w:t xml:space="preserve">should </w:t>
      </w:r>
      <w:r w:rsidRPr="008C7C77">
        <w:t xml:space="preserve">not </w:t>
      </w:r>
      <w:r w:rsidR="006E31EE">
        <w:t xml:space="preserve">be </w:t>
      </w:r>
      <w:r w:rsidRPr="008C7C77">
        <w:t>considered non-conforming</w:t>
      </w:r>
      <w:r>
        <w:t>.</w:t>
      </w:r>
      <w:r>
        <w:rPr>
          <w:rStyle w:val="FootnoteReference"/>
        </w:rPr>
        <w:footnoteReference w:id="127"/>
      </w:r>
      <w:r>
        <w:t xml:space="preserve"> </w:t>
      </w:r>
      <w:r w:rsidRPr="00A07425">
        <w:rPr>
          <w:szCs w:val="26"/>
        </w:rPr>
        <w:t xml:space="preserve"> </w:t>
      </w:r>
    </w:p>
    <w:p w14:paraId="0AB5C670" w14:textId="77777777" w:rsidR="00A07425" w:rsidRDefault="00D143BF" w:rsidP="00A07425">
      <w:pPr>
        <w:pStyle w:val="FERCparanumber"/>
        <w:tabs>
          <w:tab w:val="num" w:pos="1440"/>
        </w:tabs>
      </w:pPr>
      <w:r>
        <w:t>In</w:t>
      </w:r>
      <w:r w:rsidR="00A07425" w:rsidRPr="00A91F68">
        <w:t xml:space="preserve"> section 6.7</w:t>
      </w:r>
      <w:r w:rsidR="00506368">
        <w:t xml:space="preserve"> (Request for Change in Service)</w:t>
      </w:r>
      <w:r>
        <w:t>, DEC</w:t>
      </w:r>
      <w:r w:rsidR="00A07425">
        <w:t xml:space="preserve"> </w:t>
      </w:r>
      <w:r w:rsidR="00F3136F">
        <w:t xml:space="preserve">proposes to </w:t>
      </w:r>
      <w:r w:rsidR="00F3136F" w:rsidRPr="00095894">
        <w:t>clarif</w:t>
      </w:r>
      <w:r w:rsidR="00F3136F">
        <w:t>y</w:t>
      </w:r>
      <w:r w:rsidR="00F3136F" w:rsidRPr="00095894">
        <w:t xml:space="preserve"> </w:t>
      </w:r>
      <w:r w:rsidR="00A07425" w:rsidRPr="00095894">
        <w:t xml:space="preserve">that customers </w:t>
      </w:r>
      <w:r w:rsidR="00285DCC">
        <w:t xml:space="preserve">remain responsible for the </w:t>
      </w:r>
      <w:r w:rsidR="00A07425" w:rsidRPr="00095894">
        <w:t xml:space="preserve">costs </w:t>
      </w:r>
      <w:r w:rsidR="00285DCC">
        <w:t>of</w:t>
      </w:r>
      <w:r w:rsidR="00A07425" w:rsidRPr="00095894">
        <w:t xml:space="preserve"> transmission facilities constructed by the </w:t>
      </w:r>
      <w:r w:rsidR="00285DCC">
        <w:t>t</w:t>
      </w:r>
      <w:r w:rsidR="00A07425" w:rsidRPr="00095894">
        <w:t xml:space="preserve">ransmission </w:t>
      </w:r>
      <w:r w:rsidR="00285DCC">
        <w:t>p</w:t>
      </w:r>
      <w:r w:rsidR="00A07425" w:rsidRPr="00095894">
        <w:t>rovider</w:t>
      </w:r>
      <w:r w:rsidR="00405EE6">
        <w:t xml:space="preserve"> even</w:t>
      </w:r>
      <w:r w:rsidR="00A07425" w:rsidRPr="00095894">
        <w:t xml:space="preserve"> if a requested change in service is cancelled or delayed</w:t>
      </w:r>
      <w:r w:rsidR="00E2518E">
        <w:t>.</w:t>
      </w:r>
      <w:r w:rsidR="00E2518E">
        <w:rPr>
          <w:rStyle w:val="FootnoteReference"/>
        </w:rPr>
        <w:footnoteReference w:id="128"/>
      </w:r>
      <w:r w:rsidR="00FF6822">
        <w:t xml:space="preserve"> </w:t>
      </w:r>
      <w:r w:rsidR="006F641F">
        <w:t xml:space="preserve"> </w:t>
      </w:r>
      <w:r w:rsidR="00260AEC">
        <w:t xml:space="preserve">DEC states </w:t>
      </w:r>
      <w:r w:rsidR="006F641F">
        <w:t xml:space="preserve">that this language </w:t>
      </w:r>
      <w:r w:rsidR="00444316">
        <w:t xml:space="preserve">has been </w:t>
      </w:r>
      <w:r w:rsidR="00A07425" w:rsidRPr="00421E4D">
        <w:t xml:space="preserve">part of </w:t>
      </w:r>
      <w:r w:rsidR="00F3136F">
        <w:t xml:space="preserve">its </w:t>
      </w:r>
      <w:r w:rsidR="00A07425" w:rsidRPr="00421E4D">
        <w:t>Commission</w:t>
      </w:r>
      <w:r w:rsidR="00A07425">
        <w:t xml:space="preserve"> accepted</w:t>
      </w:r>
      <w:r w:rsidR="00A07425" w:rsidRPr="00421E4D">
        <w:t xml:space="preserve"> </w:t>
      </w:r>
      <w:r w:rsidR="00A07425" w:rsidRPr="00A07425">
        <w:rPr>
          <w:i/>
          <w:iCs/>
        </w:rPr>
        <w:t>pro forma</w:t>
      </w:r>
      <w:r w:rsidR="00A07425" w:rsidRPr="00421E4D">
        <w:t xml:space="preserve"> tariff</w:t>
      </w:r>
      <w:r w:rsidR="003438F0">
        <w:t xml:space="preserve"> and </w:t>
      </w:r>
      <w:r w:rsidR="00A07425" w:rsidRPr="00421E4D">
        <w:t>incorporated in the Joint OATT since 2012</w:t>
      </w:r>
      <w:r w:rsidR="003D3F2B">
        <w:t>.</w:t>
      </w:r>
      <w:r w:rsidR="00A07425">
        <w:t xml:space="preserve"> </w:t>
      </w:r>
    </w:p>
    <w:p w14:paraId="7A8A7EC4" w14:textId="77777777" w:rsidR="00A07425" w:rsidRDefault="00A07425" w:rsidP="00A07425">
      <w:pPr>
        <w:pStyle w:val="FERCparanumber"/>
        <w:tabs>
          <w:tab w:val="num" w:pos="1440"/>
        </w:tabs>
      </w:pPr>
      <w:r>
        <w:t>In section 6.9</w:t>
      </w:r>
      <w:r w:rsidR="003B60EC">
        <w:t xml:space="preserve"> (Ancillary Services Charge)</w:t>
      </w:r>
      <w:r>
        <w:t xml:space="preserve">, DEC </w:t>
      </w:r>
      <w:r w:rsidR="00206B00">
        <w:t xml:space="preserve">proposes to clarify </w:t>
      </w:r>
      <w:r w:rsidR="00C6067A">
        <w:t>how a transmission customer</w:t>
      </w:r>
      <w:r w:rsidR="006153CE">
        <w:t xml:space="preserve"> may satisfy</w:t>
      </w:r>
      <w:r w:rsidR="00BB64E1">
        <w:t xml:space="preserve"> its obligations </w:t>
      </w:r>
      <w:r w:rsidR="00BD082C">
        <w:t>under</w:t>
      </w:r>
      <w:r w:rsidRPr="00D25EEE">
        <w:t xml:space="preserve"> Schedule</w:t>
      </w:r>
      <w:r>
        <w:t xml:space="preserve"> </w:t>
      </w:r>
      <w:r w:rsidRPr="00D25EEE">
        <w:t xml:space="preserve">2 and </w:t>
      </w:r>
      <w:r>
        <w:t xml:space="preserve">Schedule </w:t>
      </w:r>
      <w:r w:rsidRPr="00D25EEE">
        <w:t xml:space="preserve">3 </w:t>
      </w:r>
      <w:r>
        <w:t xml:space="preserve">and </w:t>
      </w:r>
      <w:r w:rsidR="00454865">
        <w:lastRenderedPageBreak/>
        <w:t>notes</w:t>
      </w:r>
      <w:r>
        <w:t xml:space="preserve"> </w:t>
      </w:r>
      <w:r w:rsidRPr="000520A4">
        <w:t xml:space="preserve">that services under Schedules 4, 5, and 6 may be provided by the </w:t>
      </w:r>
      <w:r>
        <w:t>t</w:t>
      </w:r>
      <w:r w:rsidRPr="000520A4">
        <w:t xml:space="preserve">ransmission </w:t>
      </w:r>
      <w:r>
        <w:t>p</w:t>
      </w:r>
      <w:r w:rsidRPr="000520A4">
        <w:t>rovider, with charges outlined in the Joint OATT</w:t>
      </w:r>
      <w:r w:rsidR="009D1C91">
        <w:t>.</w:t>
      </w:r>
      <w:r w:rsidR="00F35A66">
        <w:rPr>
          <w:rStyle w:val="FootnoteReference"/>
        </w:rPr>
        <w:footnoteReference w:id="129"/>
      </w:r>
    </w:p>
    <w:p w14:paraId="2E2E1B5E" w14:textId="77777777" w:rsidR="00A07425" w:rsidRDefault="00543014" w:rsidP="001118E4">
      <w:pPr>
        <w:pStyle w:val="FERCparanumber"/>
        <w:tabs>
          <w:tab w:val="num" w:pos="1440"/>
        </w:tabs>
      </w:pPr>
      <w:r>
        <w:t xml:space="preserve">In section </w:t>
      </w:r>
      <w:r w:rsidRPr="00543014">
        <w:t>6.13</w:t>
      </w:r>
      <w:r w:rsidR="003B60EC">
        <w:t xml:space="preserve"> (Distribution Rates)</w:t>
      </w:r>
      <w:r>
        <w:t xml:space="preserve">, DEC </w:t>
      </w:r>
      <w:r w:rsidR="00403A27">
        <w:t xml:space="preserve">proposes to </w:t>
      </w:r>
      <w:r w:rsidRPr="00543014">
        <w:t>revise</w:t>
      </w:r>
      <w:r w:rsidR="00E71340">
        <w:t xml:space="preserve"> </w:t>
      </w:r>
      <w:r w:rsidRPr="00543014">
        <w:t>the</w:t>
      </w:r>
      <w:r w:rsidR="005A273E">
        <w:t xml:space="preserve"> section</w:t>
      </w:r>
      <w:r w:rsidRPr="00543014">
        <w:t xml:space="preserve"> title</w:t>
      </w:r>
      <w:r w:rsidR="00B35866">
        <w:t>, remove</w:t>
      </w:r>
      <w:r w:rsidRPr="00543014">
        <w:t xml:space="preserve"> the reference</w:t>
      </w:r>
      <w:r w:rsidR="00EA7722">
        <w:t>s to a nonexistent NITSA attachment</w:t>
      </w:r>
      <w:r w:rsidR="00D4759C">
        <w:t>,</w:t>
      </w:r>
      <w:r w:rsidRPr="00543014">
        <w:t xml:space="preserve"> and correct </w:t>
      </w:r>
      <w:r w:rsidR="00C4749B">
        <w:t>an erroneous</w:t>
      </w:r>
      <w:r w:rsidRPr="00543014">
        <w:t xml:space="preserve"> reference to </w:t>
      </w:r>
      <w:r w:rsidR="00C4749B">
        <w:t>a nonexistent NITSA attachment</w:t>
      </w:r>
      <w:r w:rsidR="00CA5C8B">
        <w:t>.</w:t>
      </w:r>
      <w:r w:rsidR="00193C3E">
        <w:rPr>
          <w:rStyle w:val="FootnoteReference"/>
        </w:rPr>
        <w:footnoteReference w:id="130"/>
      </w:r>
      <w:r w:rsidR="00C4749B">
        <w:t xml:space="preserve">  </w:t>
      </w:r>
      <w:r w:rsidR="00A07425" w:rsidRPr="005765D0">
        <w:t xml:space="preserve">Finally, </w:t>
      </w:r>
      <w:r w:rsidR="00A07425">
        <w:t xml:space="preserve">DEC </w:t>
      </w:r>
      <w:r w:rsidR="00257B19">
        <w:t xml:space="preserve">proposes to </w:t>
      </w:r>
      <w:r w:rsidR="00A07425">
        <w:t xml:space="preserve">add </w:t>
      </w:r>
      <w:r w:rsidR="004E0567">
        <w:t xml:space="preserve">     </w:t>
      </w:r>
      <w:r w:rsidR="00A07425">
        <w:t>s</w:t>
      </w:r>
      <w:r w:rsidR="00A07425" w:rsidRPr="005765D0">
        <w:t xml:space="preserve">ection 7.0 to </w:t>
      </w:r>
      <w:r w:rsidR="00C4749B">
        <w:t>permit</w:t>
      </w:r>
      <w:r w:rsidR="00C4749B" w:rsidRPr="005765D0">
        <w:t xml:space="preserve"> </w:t>
      </w:r>
      <w:r w:rsidR="00A07425" w:rsidRPr="005765D0">
        <w:t>customers to mov</w:t>
      </w:r>
      <w:r w:rsidR="002C050D">
        <w:t xml:space="preserve">e </w:t>
      </w:r>
      <w:r w:rsidR="00A07425" w:rsidRPr="005765D0">
        <w:t>their load to another control area if desired</w:t>
      </w:r>
      <w:r w:rsidR="00A07425">
        <w:t>.</w:t>
      </w:r>
      <w:r w:rsidR="00A07425">
        <w:rPr>
          <w:rStyle w:val="FootnoteReference"/>
        </w:rPr>
        <w:footnoteReference w:id="131"/>
      </w:r>
      <w:r w:rsidR="00BD518A">
        <w:t xml:space="preserve">  </w:t>
      </w:r>
    </w:p>
    <w:p w14:paraId="39DCA9DC" w14:textId="77777777" w:rsidR="00A07425" w:rsidRPr="0098715A" w:rsidRDefault="00A07425" w:rsidP="00EE38F8">
      <w:pPr>
        <w:pStyle w:val="Heading5"/>
      </w:pPr>
      <w:r w:rsidRPr="0098715A">
        <w:t xml:space="preserve">Attachment B </w:t>
      </w:r>
      <w:r w:rsidR="00BC11CA">
        <w:t>–</w:t>
      </w:r>
      <w:r w:rsidRPr="0098715A">
        <w:t xml:space="preserve"> (Delivery Points)</w:t>
      </w:r>
    </w:p>
    <w:p w14:paraId="616D260D" w14:textId="77777777" w:rsidR="00A07425" w:rsidRPr="0098715A" w:rsidRDefault="00B74502" w:rsidP="00A07425">
      <w:pPr>
        <w:pStyle w:val="FERCparanumber"/>
      </w:pPr>
      <w:r>
        <w:t xml:space="preserve">DEC proposes to </w:t>
      </w:r>
      <w:r w:rsidR="004A25BD">
        <w:t>add</w:t>
      </w:r>
      <w:r w:rsidR="007F7A2D">
        <w:t xml:space="preserve"> bracketed</w:t>
      </w:r>
      <w:r w:rsidR="004A25BD">
        <w:t xml:space="preserve"> </w:t>
      </w:r>
      <w:r w:rsidR="004A25BD" w:rsidRPr="004A25BD">
        <w:rPr>
          <w:bCs/>
        </w:rPr>
        <w:t xml:space="preserve">placeholders </w:t>
      </w:r>
      <w:r w:rsidR="00173F90">
        <w:rPr>
          <w:bCs/>
        </w:rPr>
        <w:t xml:space="preserve">for </w:t>
      </w:r>
      <w:r w:rsidR="004A25BD" w:rsidRPr="004A25BD">
        <w:rPr>
          <w:bCs/>
        </w:rPr>
        <w:t>delivery point number and name</w:t>
      </w:r>
      <w:r w:rsidR="00C71874">
        <w:rPr>
          <w:bCs/>
        </w:rPr>
        <w:t>s</w:t>
      </w:r>
      <w:r w:rsidR="004A25BD" w:rsidRPr="004A25BD">
        <w:rPr>
          <w:bCs/>
        </w:rPr>
        <w:t xml:space="preserve"> </w:t>
      </w:r>
      <w:r w:rsidR="00C71874">
        <w:rPr>
          <w:bCs/>
        </w:rPr>
        <w:t>and</w:t>
      </w:r>
      <w:r w:rsidR="00821C01">
        <w:rPr>
          <w:bCs/>
        </w:rPr>
        <w:t xml:space="preserve"> to </w:t>
      </w:r>
      <w:r w:rsidR="000F0D39">
        <w:rPr>
          <w:bCs/>
        </w:rPr>
        <w:t>remove the</w:t>
      </w:r>
      <w:r w:rsidR="000F0D39" w:rsidRPr="000F0D39">
        <w:rPr>
          <w:bCs/>
        </w:rPr>
        <w:t xml:space="preserve"> Delivery Point Data Sheet from </w:t>
      </w:r>
      <w:r w:rsidR="00257B19">
        <w:rPr>
          <w:bCs/>
        </w:rPr>
        <w:t>its</w:t>
      </w:r>
      <w:r w:rsidR="00257B19" w:rsidRPr="000F0D39">
        <w:rPr>
          <w:bCs/>
        </w:rPr>
        <w:t xml:space="preserve"> </w:t>
      </w:r>
      <w:r w:rsidR="000F0D39" w:rsidRPr="00FF2E91">
        <w:rPr>
          <w:i/>
        </w:rPr>
        <w:t>pro forma</w:t>
      </w:r>
      <w:r w:rsidR="000F0D39" w:rsidRPr="000F0D39">
        <w:rPr>
          <w:bCs/>
        </w:rPr>
        <w:t xml:space="preserve"> NITSA</w:t>
      </w:r>
      <w:r w:rsidR="00C71874">
        <w:rPr>
          <w:bCs/>
        </w:rPr>
        <w:t>, in favor of</w:t>
      </w:r>
      <w:r w:rsidR="00FF2E91">
        <w:rPr>
          <w:bCs/>
        </w:rPr>
        <w:t xml:space="preserve"> </w:t>
      </w:r>
      <w:r w:rsidR="000F0D39" w:rsidRPr="000F0D39">
        <w:rPr>
          <w:bCs/>
        </w:rPr>
        <w:t>post</w:t>
      </w:r>
      <w:r w:rsidR="00E071EB">
        <w:rPr>
          <w:bCs/>
        </w:rPr>
        <w:t xml:space="preserve">ing </w:t>
      </w:r>
      <w:r w:rsidR="00FF2E91">
        <w:rPr>
          <w:bCs/>
        </w:rPr>
        <w:t>it</w:t>
      </w:r>
      <w:r w:rsidR="000F0D39" w:rsidRPr="000F0D39">
        <w:rPr>
          <w:bCs/>
        </w:rPr>
        <w:t xml:space="preserve"> on the publicly available portion of </w:t>
      </w:r>
      <w:r w:rsidR="00257B19">
        <w:rPr>
          <w:bCs/>
        </w:rPr>
        <w:t>its</w:t>
      </w:r>
      <w:r w:rsidR="000F0D39" w:rsidRPr="000F0D39">
        <w:rPr>
          <w:bCs/>
        </w:rPr>
        <w:t xml:space="preserve"> OASIS website</w:t>
      </w:r>
      <w:r w:rsidR="007218FE">
        <w:rPr>
          <w:bCs/>
        </w:rPr>
        <w:t>.</w:t>
      </w:r>
      <w:r w:rsidR="00175338">
        <w:rPr>
          <w:rStyle w:val="FootnoteReference"/>
          <w:bCs/>
        </w:rPr>
        <w:footnoteReference w:id="132"/>
      </w:r>
      <w:r w:rsidR="00175338" w:rsidRPr="009C4650">
        <w:rPr>
          <w:bCs/>
        </w:rPr>
        <w:t xml:space="preserve"> </w:t>
      </w:r>
      <w:r w:rsidR="007218FE">
        <w:rPr>
          <w:bCs/>
        </w:rPr>
        <w:t xml:space="preserve"> </w:t>
      </w:r>
      <w:r w:rsidR="00497C63">
        <w:rPr>
          <w:bCs/>
        </w:rPr>
        <w:t xml:space="preserve">DEC states </w:t>
      </w:r>
      <w:r w:rsidR="007218FE">
        <w:rPr>
          <w:bCs/>
        </w:rPr>
        <w:t xml:space="preserve">that this will </w:t>
      </w:r>
      <w:r w:rsidR="00497C63">
        <w:rPr>
          <w:bCs/>
        </w:rPr>
        <w:t>imp</w:t>
      </w:r>
      <w:r w:rsidR="00482660">
        <w:rPr>
          <w:bCs/>
        </w:rPr>
        <w:t>rove</w:t>
      </w:r>
      <w:r w:rsidR="009C4650" w:rsidRPr="009C4650">
        <w:rPr>
          <w:bCs/>
        </w:rPr>
        <w:t xml:space="preserve"> accessibility and </w:t>
      </w:r>
      <w:r w:rsidR="00544A76">
        <w:rPr>
          <w:bCs/>
        </w:rPr>
        <w:t xml:space="preserve">allows the form to be </w:t>
      </w:r>
      <w:r w:rsidR="0021787A">
        <w:rPr>
          <w:bCs/>
        </w:rPr>
        <w:t xml:space="preserve">updated without amending </w:t>
      </w:r>
      <w:r w:rsidR="00257B19">
        <w:rPr>
          <w:bCs/>
        </w:rPr>
        <w:t>its</w:t>
      </w:r>
      <w:r w:rsidR="00257B19" w:rsidRPr="009C4650">
        <w:rPr>
          <w:bCs/>
        </w:rPr>
        <w:t xml:space="preserve"> </w:t>
      </w:r>
      <w:r w:rsidR="004E0567">
        <w:rPr>
          <w:bCs/>
        </w:rPr>
        <w:t xml:space="preserve">       </w:t>
      </w:r>
      <w:r w:rsidR="009C4650" w:rsidRPr="000146EA">
        <w:rPr>
          <w:bCs/>
          <w:i/>
          <w:iCs/>
        </w:rPr>
        <w:t xml:space="preserve">pro forma </w:t>
      </w:r>
      <w:r w:rsidR="009C4650" w:rsidRPr="004F454C">
        <w:rPr>
          <w:bCs/>
        </w:rPr>
        <w:t>NITSA</w:t>
      </w:r>
      <w:r w:rsidR="009C4650" w:rsidRPr="009C4650">
        <w:rPr>
          <w:bCs/>
        </w:rPr>
        <w:t xml:space="preserve"> through the regulatory process</w:t>
      </w:r>
      <w:r w:rsidR="00175338">
        <w:rPr>
          <w:bCs/>
        </w:rPr>
        <w:t>.</w:t>
      </w:r>
      <w:r w:rsidR="009C4650" w:rsidRPr="009C4650">
        <w:rPr>
          <w:bCs/>
        </w:rPr>
        <w:t xml:space="preserve"> </w:t>
      </w:r>
    </w:p>
    <w:p w14:paraId="3359A55A" w14:textId="77777777" w:rsidR="00A07425" w:rsidRPr="007D0415" w:rsidRDefault="00A07425" w:rsidP="00EE38F8">
      <w:pPr>
        <w:pStyle w:val="Heading5"/>
      </w:pPr>
      <w:r w:rsidRPr="007D0415">
        <w:t xml:space="preserve">Attachment C </w:t>
      </w:r>
      <w:r w:rsidR="00BC11CA">
        <w:t>–</w:t>
      </w:r>
      <w:r w:rsidRPr="007D0415">
        <w:t xml:space="preserve"> (Transmission and Distribution Rates)</w:t>
      </w:r>
    </w:p>
    <w:p w14:paraId="1129455D" w14:textId="77777777" w:rsidR="00A07425" w:rsidRPr="00153AAE" w:rsidRDefault="00B4644A" w:rsidP="00153AAE">
      <w:pPr>
        <w:pStyle w:val="FERCparanumber"/>
        <w:rPr>
          <w:bCs/>
        </w:rPr>
      </w:pPr>
      <w:r>
        <w:rPr>
          <w:bCs/>
        </w:rPr>
        <w:t xml:space="preserve">DEC </w:t>
      </w:r>
      <w:r w:rsidR="000B604C">
        <w:rPr>
          <w:bCs/>
        </w:rPr>
        <w:t xml:space="preserve">proposes to </w:t>
      </w:r>
      <w:r>
        <w:rPr>
          <w:bCs/>
        </w:rPr>
        <w:t>revise the title of the attachment</w:t>
      </w:r>
      <w:r w:rsidRPr="00B4644A">
        <w:rPr>
          <w:bCs/>
        </w:rPr>
        <w:t xml:space="preserve"> to add “Transmission” to reflect the reality that certain delivery points </w:t>
      </w:r>
      <w:r w:rsidR="00122503">
        <w:rPr>
          <w:bCs/>
        </w:rPr>
        <w:t>may be</w:t>
      </w:r>
      <w:r w:rsidRPr="00B4644A">
        <w:rPr>
          <w:bCs/>
        </w:rPr>
        <w:t xml:space="preserve"> served </w:t>
      </w:r>
      <w:r w:rsidR="00495653">
        <w:rPr>
          <w:bCs/>
        </w:rPr>
        <w:t xml:space="preserve">by </w:t>
      </w:r>
      <w:r w:rsidRPr="00B4644A">
        <w:rPr>
          <w:bCs/>
        </w:rPr>
        <w:t>transmission</w:t>
      </w:r>
      <w:r w:rsidR="00340434">
        <w:rPr>
          <w:bCs/>
        </w:rPr>
        <w:t xml:space="preserve"> or</w:t>
      </w:r>
      <w:r w:rsidRPr="00B4644A">
        <w:rPr>
          <w:bCs/>
        </w:rPr>
        <w:t xml:space="preserve"> distribution facilities</w:t>
      </w:r>
      <w:r w:rsidR="009D15E4">
        <w:rPr>
          <w:bCs/>
        </w:rPr>
        <w:t>.</w:t>
      </w:r>
      <w:r w:rsidR="002D74E2">
        <w:rPr>
          <w:rStyle w:val="FootnoteReference"/>
          <w:bCs/>
        </w:rPr>
        <w:footnoteReference w:id="133"/>
      </w:r>
      <w:r w:rsidR="009D15E4">
        <w:rPr>
          <w:bCs/>
        </w:rPr>
        <w:t xml:space="preserve">  DEC also </w:t>
      </w:r>
      <w:r w:rsidR="000B604C">
        <w:rPr>
          <w:bCs/>
        </w:rPr>
        <w:t xml:space="preserve">proposes to </w:t>
      </w:r>
      <w:r>
        <w:rPr>
          <w:bCs/>
        </w:rPr>
        <w:t>duplicat</w:t>
      </w:r>
      <w:r w:rsidR="009D15E4">
        <w:rPr>
          <w:bCs/>
        </w:rPr>
        <w:t>e</w:t>
      </w:r>
      <w:r w:rsidRPr="00B4644A">
        <w:rPr>
          <w:bCs/>
        </w:rPr>
        <w:t xml:space="preserve"> the</w:t>
      </w:r>
      <w:r w:rsidR="00FB1653">
        <w:rPr>
          <w:bCs/>
        </w:rPr>
        <w:t xml:space="preserve"> </w:t>
      </w:r>
      <w:r w:rsidRPr="00B4644A">
        <w:rPr>
          <w:bCs/>
        </w:rPr>
        <w:t>distribution rates</w:t>
      </w:r>
      <w:r w:rsidR="00FB1653">
        <w:rPr>
          <w:bCs/>
        </w:rPr>
        <w:t xml:space="preserve"> </w:t>
      </w:r>
      <w:r w:rsidR="00FB1653" w:rsidRPr="00B4644A">
        <w:rPr>
          <w:bCs/>
        </w:rPr>
        <w:t>formula</w:t>
      </w:r>
      <w:r w:rsidRPr="00B4644A">
        <w:rPr>
          <w:bCs/>
        </w:rPr>
        <w:t xml:space="preserve"> to create </w:t>
      </w:r>
      <w:r w:rsidR="00275774">
        <w:rPr>
          <w:bCs/>
        </w:rPr>
        <w:t>an ana</w:t>
      </w:r>
      <w:r w:rsidR="00001934">
        <w:rPr>
          <w:bCs/>
        </w:rPr>
        <w:t xml:space="preserve">logous </w:t>
      </w:r>
      <w:r w:rsidRPr="00B4644A">
        <w:rPr>
          <w:bCs/>
        </w:rPr>
        <w:t>transmission</w:t>
      </w:r>
      <w:r w:rsidR="005954CD">
        <w:rPr>
          <w:bCs/>
        </w:rPr>
        <w:t>-</w:t>
      </w:r>
      <w:r w:rsidRPr="00B4644A">
        <w:rPr>
          <w:bCs/>
        </w:rPr>
        <w:t>rate</w:t>
      </w:r>
      <w:r w:rsidR="005954CD">
        <w:rPr>
          <w:bCs/>
        </w:rPr>
        <w:t xml:space="preserve"> </w:t>
      </w:r>
      <w:r w:rsidR="005954CD" w:rsidRPr="00B4644A">
        <w:rPr>
          <w:bCs/>
        </w:rPr>
        <w:t>formula</w:t>
      </w:r>
      <w:r w:rsidR="008637BA">
        <w:rPr>
          <w:bCs/>
        </w:rPr>
        <w:t xml:space="preserve"> </w:t>
      </w:r>
      <w:r w:rsidRPr="00B4644A">
        <w:rPr>
          <w:bCs/>
        </w:rPr>
        <w:t>for delivery points.</w:t>
      </w:r>
      <w:r w:rsidR="00EE7EB7">
        <w:rPr>
          <w:bCs/>
        </w:rPr>
        <w:t xml:space="preserve"> </w:t>
      </w:r>
      <w:r w:rsidR="000B604C">
        <w:rPr>
          <w:bCs/>
        </w:rPr>
        <w:t xml:space="preserve"> </w:t>
      </w:r>
      <w:r w:rsidR="00532F8C" w:rsidRPr="00230736">
        <w:rPr>
          <w:bCs/>
        </w:rPr>
        <w:t xml:space="preserve">DEC </w:t>
      </w:r>
      <w:r w:rsidR="009F40D5" w:rsidRPr="00230736">
        <w:rPr>
          <w:bCs/>
        </w:rPr>
        <w:t>propose</w:t>
      </w:r>
      <w:r w:rsidR="00D10F98">
        <w:rPr>
          <w:bCs/>
        </w:rPr>
        <w:t xml:space="preserve">s </w:t>
      </w:r>
      <w:r w:rsidRPr="00230736">
        <w:rPr>
          <w:bCs/>
        </w:rPr>
        <w:t xml:space="preserve">new language that provides that </w:t>
      </w:r>
      <w:r w:rsidR="00104620">
        <w:rPr>
          <w:bCs/>
        </w:rPr>
        <w:t>a transmission customer or provider</w:t>
      </w:r>
      <w:r w:rsidRPr="00230736">
        <w:rPr>
          <w:bCs/>
        </w:rPr>
        <w:t xml:space="preserve"> may terminate a delivery point and provides terms and conditions for the termination, including application of the loss due to early retirement calculations.</w:t>
      </w:r>
      <w:r w:rsidR="009F40D5">
        <w:rPr>
          <w:rStyle w:val="FootnoteReference"/>
          <w:bCs/>
        </w:rPr>
        <w:footnoteReference w:id="134"/>
      </w:r>
      <w:r w:rsidR="007E6AD6">
        <w:rPr>
          <w:bCs/>
        </w:rPr>
        <w:t xml:space="preserve">  </w:t>
      </w:r>
      <w:r w:rsidR="00AC3D35" w:rsidRPr="00230736">
        <w:rPr>
          <w:bCs/>
        </w:rPr>
        <w:t xml:space="preserve">DEC </w:t>
      </w:r>
      <w:r w:rsidR="009E1788">
        <w:rPr>
          <w:bCs/>
        </w:rPr>
        <w:t xml:space="preserve">also proposes to </w:t>
      </w:r>
      <w:r w:rsidR="00AE43EA" w:rsidRPr="00230736">
        <w:rPr>
          <w:bCs/>
        </w:rPr>
        <w:t>revise</w:t>
      </w:r>
      <w:r w:rsidR="000E7B5E">
        <w:rPr>
          <w:bCs/>
        </w:rPr>
        <w:t xml:space="preserve"> </w:t>
      </w:r>
      <w:r w:rsidRPr="00230736">
        <w:rPr>
          <w:bCs/>
        </w:rPr>
        <w:t xml:space="preserve">the table of delivery locations </w:t>
      </w:r>
      <w:r w:rsidR="00D06671">
        <w:rPr>
          <w:bCs/>
        </w:rPr>
        <w:t>to use bracketed placeholders for customer-specific data</w:t>
      </w:r>
      <w:r w:rsidR="00153AAE">
        <w:rPr>
          <w:bCs/>
        </w:rPr>
        <w:t xml:space="preserve">, which </w:t>
      </w:r>
      <w:r w:rsidR="00AE43EA" w:rsidRPr="00153AAE">
        <w:rPr>
          <w:bCs/>
        </w:rPr>
        <w:t>DEC asserts</w:t>
      </w:r>
      <w:r w:rsidRPr="00153AAE">
        <w:rPr>
          <w:bCs/>
        </w:rPr>
        <w:t xml:space="preserve"> should not render individual NITSAs with customers to be non-conforming</w:t>
      </w:r>
      <w:r w:rsidR="00FE15C4">
        <w:rPr>
          <w:bCs/>
        </w:rPr>
        <w:t>.</w:t>
      </w:r>
      <w:r w:rsidR="00C97438" w:rsidRPr="00153AAE">
        <w:rPr>
          <w:bCs/>
        </w:rPr>
        <w:t xml:space="preserve"> </w:t>
      </w:r>
      <w:r w:rsidR="00AB4AD7">
        <w:rPr>
          <w:bCs/>
        </w:rPr>
        <w:t xml:space="preserve"> </w:t>
      </w:r>
      <w:r w:rsidR="00C91F58">
        <w:rPr>
          <w:bCs/>
        </w:rPr>
        <w:t xml:space="preserve">Finally, </w:t>
      </w:r>
      <w:r w:rsidR="00C91F58" w:rsidRPr="007D5049">
        <w:rPr>
          <w:bCs/>
        </w:rPr>
        <w:lastRenderedPageBreak/>
        <w:t>DEC</w:t>
      </w:r>
      <w:r w:rsidR="00AB4AD7">
        <w:rPr>
          <w:bCs/>
        </w:rPr>
        <w:t xml:space="preserve"> </w:t>
      </w:r>
      <w:r w:rsidR="00C91F58">
        <w:rPr>
          <w:bCs/>
        </w:rPr>
        <w:t>proposes changes to correct internal references</w:t>
      </w:r>
      <w:r w:rsidR="00AB4AD7">
        <w:rPr>
          <w:bCs/>
        </w:rPr>
        <w:t xml:space="preserve"> and</w:t>
      </w:r>
      <w:r w:rsidR="00C91F58">
        <w:rPr>
          <w:bCs/>
        </w:rPr>
        <w:t xml:space="preserve"> remove embedded </w:t>
      </w:r>
      <w:r w:rsidR="00C91F58" w:rsidRPr="00230736">
        <w:rPr>
          <w:bCs/>
        </w:rPr>
        <w:t xml:space="preserve">images that do not comply with </w:t>
      </w:r>
      <w:proofErr w:type="spellStart"/>
      <w:r w:rsidR="00C91F58" w:rsidRPr="00230736">
        <w:rPr>
          <w:bCs/>
        </w:rPr>
        <w:t>eTariff</w:t>
      </w:r>
      <w:proofErr w:type="spellEnd"/>
      <w:r w:rsidR="00C91F58" w:rsidRPr="00230736">
        <w:rPr>
          <w:bCs/>
        </w:rPr>
        <w:t xml:space="preserve"> standards.  </w:t>
      </w:r>
    </w:p>
    <w:p w14:paraId="7756C830" w14:textId="77777777" w:rsidR="00A07425" w:rsidRPr="0098715A" w:rsidRDefault="00A07425" w:rsidP="00EE38F8">
      <w:pPr>
        <w:pStyle w:val="Heading5"/>
      </w:pPr>
      <w:r w:rsidRPr="0098715A">
        <w:t xml:space="preserve">Attachment D </w:t>
      </w:r>
      <w:r w:rsidR="00BC11CA">
        <w:t>–</w:t>
      </w:r>
      <w:r w:rsidRPr="0098715A">
        <w:t xml:space="preserve"> (Network Operating Agreement)</w:t>
      </w:r>
    </w:p>
    <w:p w14:paraId="574ADD9C" w14:textId="77777777" w:rsidR="00F033EB" w:rsidRDefault="00D82D31" w:rsidP="00EE38F8">
      <w:pPr>
        <w:pStyle w:val="FERCparanumber"/>
      </w:pPr>
      <w:r>
        <w:t xml:space="preserve">DEC </w:t>
      </w:r>
      <w:r w:rsidR="00B44806">
        <w:t>proposes to delete</w:t>
      </w:r>
      <w:r>
        <w:t xml:space="preserve"> the </w:t>
      </w:r>
      <w:r w:rsidR="00EB191E">
        <w:t>existing</w:t>
      </w:r>
      <w:r w:rsidR="0013368E">
        <w:t xml:space="preserve"> </w:t>
      </w:r>
      <w:r w:rsidR="0013368E" w:rsidRPr="003B641C">
        <w:rPr>
          <w:bCs/>
        </w:rPr>
        <w:t>Attachment D</w:t>
      </w:r>
      <w:r w:rsidR="001E40E8" w:rsidRPr="003B641C">
        <w:rPr>
          <w:bCs/>
        </w:rPr>
        <w:t xml:space="preserve"> </w:t>
      </w:r>
      <w:r w:rsidR="00CE4F1F">
        <w:rPr>
          <w:bCs/>
        </w:rPr>
        <w:t xml:space="preserve">(Power Factor Penalty) </w:t>
      </w:r>
      <w:r w:rsidR="001E40E8" w:rsidRPr="003B641C">
        <w:rPr>
          <w:bCs/>
        </w:rPr>
        <w:t>and replace it with</w:t>
      </w:r>
      <w:r w:rsidR="00731B01" w:rsidRPr="003B641C">
        <w:rPr>
          <w:bCs/>
        </w:rPr>
        <w:t xml:space="preserve"> a section</w:t>
      </w:r>
      <w:r w:rsidR="00186E56" w:rsidRPr="003B641C">
        <w:rPr>
          <w:bCs/>
        </w:rPr>
        <w:t xml:space="preserve"> titled</w:t>
      </w:r>
      <w:r w:rsidR="00A84A46" w:rsidRPr="003B641C">
        <w:rPr>
          <w:bCs/>
        </w:rPr>
        <w:t xml:space="preserve"> </w:t>
      </w:r>
      <w:r w:rsidR="00EB6A62" w:rsidRPr="003B641C">
        <w:rPr>
          <w:bCs/>
        </w:rPr>
        <w:t>“</w:t>
      </w:r>
      <w:r w:rsidR="00A84A46" w:rsidRPr="003B641C">
        <w:rPr>
          <w:bCs/>
        </w:rPr>
        <w:t>Network Operating Agreement</w:t>
      </w:r>
      <w:r w:rsidR="00104620" w:rsidRPr="003B641C">
        <w:rPr>
          <w:bCs/>
        </w:rPr>
        <w:t>.</w:t>
      </w:r>
      <w:r w:rsidR="00EB6A62" w:rsidRPr="003B641C">
        <w:rPr>
          <w:bCs/>
        </w:rPr>
        <w:t>”</w:t>
      </w:r>
      <w:r w:rsidR="00F033EB">
        <w:rPr>
          <w:rStyle w:val="FootnoteReference"/>
          <w:bCs/>
        </w:rPr>
        <w:footnoteReference w:id="135"/>
      </w:r>
      <w:r w:rsidR="003B641C">
        <w:rPr>
          <w:bCs/>
        </w:rPr>
        <w:t xml:space="preserve">  </w:t>
      </w:r>
      <w:r w:rsidR="00CE4F1F">
        <w:rPr>
          <w:bCs/>
        </w:rPr>
        <w:t xml:space="preserve">DEC explains that </w:t>
      </w:r>
      <w:r w:rsidR="006A74B0">
        <w:rPr>
          <w:bCs/>
        </w:rPr>
        <w:t xml:space="preserve">it has proposed to delete </w:t>
      </w:r>
      <w:r w:rsidR="00F033EB">
        <w:t>Attachment D</w:t>
      </w:r>
      <w:r w:rsidR="00600957">
        <w:t xml:space="preserve"> </w:t>
      </w:r>
      <w:r w:rsidR="00F033EB">
        <w:t>because</w:t>
      </w:r>
      <w:r w:rsidR="00A269E3">
        <w:t xml:space="preserve">:  </w:t>
      </w:r>
      <w:r w:rsidR="00F033EB">
        <w:t>(</w:t>
      </w:r>
      <w:r w:rsidR="008A0756">
        <w:t>1</w:t>
      </w:r>
      <w:r w:rsidR="00F033EB">
        <w:t xml:space="preserve">) the power factor requirements applicable to a </w:t>
      </w:r>
      <w:r w:rsidR="008A0756">
        <w:t>t</w:t>
      </w:r>
      <w:r w:rsidR="00F033EB">
        <w:t xml:space="preserve">ransmission </w:t>
      </w:r>
      <w:r w:rsidR="008A0756">
        <w:t>c</w:t>
      </w:r>
      <w:r w:rsidR="00F033EB">
        <w:t>ustomer are referenced in the Network Operating Agreement</w:t>
      </w:r>
      <w:r w:rsidR="00A269E3">
        <w:t>;</w:t>
      </w:r>
      <w:r w:rsidR="00F033EB">
        <w:t xml:space="preserve"> and (</w:t>
      </w:r>
      <w:r w:rsidR="00E21470">
        <w:t>2</w:t>
      </w:r>
      <w:r w:rsidR="00F033EB">
        <w:t>) DEC wishes to incentive customers to comply with the power factor requirements rather than charging a monetary penalty for non-compliance</w:t>
      </w:r>
      <w:r w:rsidR="00766750">
        <w:t>,</w:t>
      </w:r>
      <w:r w:rsidR="00F033EB">
        <w:t xml:space="preserve"> which is not helpful from a system reliability or operational perspective.</w:t>
      </w:r>
    </w:p>
    <w:p w14:paraId="6E249365" w14:textId="77777777" w:rsidR="003E3B64" w:rsidRDefault="00EB191E" w:rsidP="00F033EB">
      <w:pPr>
        <w:pStyle w:val="FERCparanumber"/>
      </w:pPr>
      <w:r>
        <w:t xml:space="preserve">DEC proposes </w:t>
      </w:r>
      <w:r w:rsidR="00CA47F5">
        <w:t xml:space="preserve">various </w:t>
      </w:r>
      <w:r>
        <w:t>revis</w:t>
      </w:r>
      <w:r w:rsidR="009D44B1">
        <w:t>ions</w:t>
      </w:r>
      <w:r w:rsidR="000779D9">
        <w:t xml:space="preserve"> throughout</w:t>
      </w:r>
      <w:r>
        <w:t xml:space="preserve"> </w:t>
      </w:r>
      <w:r w:rsidR="00F713F3">
        <w:t xml:space="preserve">revised </w:t>
      </w:r>
      <w:r>
        <w:t xml:space="preserve">Attachment D to </w:t>
      </w:r>
      <w:r w:rsidR="00FE29A5">
        <w:t>correct terminology</w:t>
      </w:r>
      <w:r w:rsidR="003059A8">
        <w:t xml:space="preserve"> and </w:t>
      </w:r>
      <w:r w:rsidR="00D94DB3">
        <w:t>update internal references.</w:t>
      </w:r>
      <w:r w:rsidR="00F159D9">
        <w:rPr>
          <w:rStyle w:val="FootnoteReference"/>
        </w:rPr>
        <w:footnoteReference w:id="136"/>
      </w:r>
      <w:r w:rsidR="0095140B">
        <w:t xml:space="preserve">  </w:t>
      </w:r>
      <w:r w:rsidR="00D264B2">
        <w:t xml:space="preserve">DEC </w:t>
      </w:r>
      <w:r w:rsidR="003131E9">
        <w:t xml:space="preserve">also </w:t>
      </w:r>
      <w:r w:rsidR="009C67A4">
        <w:t xml:space="preserve">proposes to </w:t>
      </w:r>
      <w:r>
        <w:t>revise</w:t>
      </w:r>
      <w:r w:rsidR="00D264B2">
        <w:t xml:space="preserve"> </w:t>
      </w:r>
      <w:r w:rsidR="00327F84">
        <w:t xml:space="preserve">section 3 </w:t>
      </w:r>
      <w:r w:rsidR="009549BD">
        <w:t>(</w:t>
      </w:r>
      <w:r w:rsidR="009549BD" w:rsidRPr="009549BD">
        <w:rPr>
          <w:bCs/>
        </w:rPr>
        <w:t>Network Operating Committee Agreements)</w:t>
      </w:r>
      <w:r w:rsidR="00327F84">
        <w:t xml:space="preserve"> </w:t>
      </w:r>
      <w:r>
        <w:t>to require approval of decisions and agreements made by the Network Operating Committee to be evidenced by each party to the committee instead of by each member of the committee</w:t>
      </w:r>
      <w:r w:rsidR="00723A7E">
        <w:t>, which</w:t>
      </w:r>
      <w:r>
        <w:t xml:space="preserve"> </w:t>
      </w:r>
      <w:r w:rsidR="0031625A">
        <w:t xml:space="preserve">DEC asserts </w:t>
      </w:r>
      <w:r>
        <w:t xml:space="preserve">reduces </w:t>
      </w:r>
      <w:r w:rsidR="000A3425">
        <w:t>administrative burden</w:t>
      </w:r>
      <w:r>
        <w:t>, while ensuring each party</w:t>
      </w:r>
      <w:r w:rsidR="00485CD2">
        <w:t>’s</w:t>
      </w:r>
      <w:r>
        <w:t xml:space="preserve"> consent.</w:t>
      </w:r>
      <w:r w:rsidR="00DE67E1">
        <w:t xml:space="preserve">    </w:t>
      </w:r>
    </w:p>
    <w:p w14:paraId="0C376ED9" w14:textId="77777777" w:rsidR="00EB191E" w:rsidRDefault="001407D7" w:rsidP="00DE67E1">
      <w:pPr>
        <w:pStyle w:val="FERCparanumber"/>
      </w:pPr>
      <w:r>
        <w:t>DEC</w:t>
      </w:r>
      <w:r w:rsidR="00EB191E">
        <w:t xml:space="preserve"> </w:t>
      </w:r>
      <w:r>
        <w:t>propose</w:t>
      </w:r>
      <w:r w:rsidR="006E077B">
        <w:t>s</w:t>
      </w:r>
      <w:r>
        <w:t xml:space="preserve"> </w:t>
      </w:r>
      <w:r w:rsidR="00EB191E">
        <w:t xml:space="preserve">several </w:t>
      </w:r>
      <w:r>
        <w:t xml:space="preserve">revisions </w:t>
      </w:r>
      <w:r w:rsidR="006E077B">
        <w:t>to section 5</w:t>
      </w:r>
      <w:r w:rsidR="007B6DB0">
        <w:t xml:space="preserve"> (Metering)</w:t>
      </w:r>
      <w:r w:rsidR="00EB191E">
        <w:t xml:space="preserve"> </w:t>
      </w:r>
      <w:r w:rsidR="00063904">
        <w:t>to</w:t>
      </w:r>
      <w:r w:rsidR="00E54C4C">
        <w:t xml:space="preserve"> update definitions and</w:t>
      </w:r>
      <w:r w:rsidR="00063904">
        <w:t xml:space="preserve"> </w:t>
      </w:r>
      <w:r w:rsidR="00EB191E">
        <w:t xml:space="preserve">reflect </w:t>
      </w:r>
      <w:r w:rsidR="00063904">
        <w:t>curr</w:t>
      </w:r>
      <w:r w:rsidR="000E2CB0">
        <w:t xml:space="preserve">ent </w:t>
      </w:r>
      <w:r w:rsidR="00EB191E">
        <w:t>operational realities of metering arrangements</w:t>
      </w:r>
      <w:r w:rsidR="00E26CBD">
        <w:t xml:space="preserve">, including </w:t>
      </w:r>
      <w:r w:rsidR="00EB191E">
        <w:t>insert</w:t>
      </w:r>
      <w:r w:rsidR="00E26CBD">
        <w:t>ing</w:t>
      </w:r>
      <w:r w:rsidR="00EB191E">
        <w:t xml:space="preserve"> bracket</w:t>
      </w:r>
      <w:r w:rsidR="00E26CBD">
        <w:t>ed optionality</w:t>
      </w:r>
      <w:r w:rsidR="00EB191E">
        <w:t xml:space="preserve"> </w:t>
      </w:r>
      <w:r w:rsidR="002C28BE">
        <w:t>to specify whi</w:t>
      </w:r>
      <w:r w:rsidR="00DB678B">
        <w:t>ch party (</w:t>
      </w:r>
      <w:r w:rsidR="0066158E">
        <w:t>t</w:t>
      </w:r>
      <w:r w:rsidR="00EB191E">
        <w:t xml:space="preserve">ransmission </w:t>
      </w:r>
      <w:r w:rsidR="0066158E">
        <w:t>p</w:t>
      </w:r>
      <w:r w:rsidR="00EB191E">
        <w:t xml:space="preserve">rovider </w:t>
      </w:r>
      <w:r w:rsidR="00D05767">
        <w:t xml:space="preserve">or </w:t>
      </w:r>
      <w:r w:rsidR="0066158E">
        <w:t>t</w:t>
      </w:r>
      <w:r w:rsidR="00EB191E">
        <w:t xml:space="preserve">ransmission </w:t>
      </w:r>
      <w:r w:rsidR="0066158E">
        <w:t>c</w:t>
      </w:r>
      <w:r w:rsidR="00EB191E">
        <w:t>ustomer</w:t>
      </w:r>
      <w:r w:rsidR="0066158E">
        <w:t>)</w:t>
      </w:r>
      <w:r w:rsidR="00EB191E">
        <w:t xml:space="preserve"> is responsible for the purchase, installation, operation, maintenance, repair</w:t>
      </w:r>
      <w:r w:rsidR="00100F44">
        <w:t>,</w:t>
      </w:r>
      <w:r w:rsidR="00EB191E">
        <w:t xml:space="preserve"> and replacement of metering equipment.</w:t>
      </w:r>
      <w:r w:rsidR="00372DE2">
        <w:rPr>
          <w:rStyle w:val="FootnoteReference"/>
        </w:rPr>
        <w:footnoteReference w:id="137"/>
      </w:r>
      <w:r w:rsidR="00EB191E">
        <w:t xml:space="preserve">  </w:t>
      </w:r>
      <w:r w:rsidR="008C23ED">
        <w:t>DEC asserts that this change</w:t>
      </w:r>
      <w:r w:rsidR="00EB191E">
        <w:t xml:space="preserve"> acknowledges the current reality that</w:t>
      </w:r>
      <w:r w:rsidR="000A61B4">
        <w:t xml:space="preserve"> either the </w:t>
      </w:r>
      <w:r w:rsidR="00D43A6C">
        <w:t>t</w:t>
      </w:r>
      <w:r w:rsidR="00EB191E">
        <w:t xml:space="preserve">ransmission </w:t>
      </w:r>
      <w:r w:rsidR="00D43A6C">
        <w:t>c</w:t>
      </w:r>
      <w:r w:rsidR="00EB191E">
        <w:t xml:space="preserve">ustomer </w:t>
      </w:r>
      <w:r w:rsidR="000A61B4">
        <w:t>or transmission provider can</w:t>
      </w:r>
      <w:r w:rsidR="00EB191E">
        <w:t xml:space="preserve"> fulfill those responsibilities.    </w:t>
      </w:r>
    </w:p>
    <w:p w14:paraId="45A436B3" w14:textId="77777777" w:rsidR="00EB191E" w:rsidRDefault="00044549">
      <w:pPr>
        <w:pStyle w:val="FERCparanumber"/>
      </w:pPr>
      <w:r>
        <w:t xml:space="preserve">DEC </w:t>
      </w:r>
      <w:r w:rsidR="00B3362E">
        <w:t xml:space="preserve">proposes to </w:t>
      </w:r>
      <w:r w:rsidR="00AC3CC0">
        <w:t>similarly revise</w:t>
      </w:r>
      <w:r w:rsidR="00630FD4">
        <w:t xml:space="preserve"> section 6</w:t>
      </w:r>
      <w:r w:rsidR="0091139C">
        <w:t xml:space="preserve"> (Control Area and Data Equipment)</w:t>
      </w:r>
      <w:r w:rsidR="00630FD4">
        <w:t xml:space="preserve"> to reflect </w:t>
      </w:r>
      <w:r w:rsidR="00EB191E">
        <w:t>the operational reality of construction, installation</w:t>
      </w:r>
      <w:r w:rsidR="00B3362E">
        <w:t>,</w:t>
      </w:r>
      <w:r w:rsidR="00EB191E">
        <w:t xml:space="preserve"> and operation of control area and data equipment</w:t>
      </w:r>
      <w:r w:rsidR="00C661E7">
        <w:t xml:space="preserve">, </w:t>
      </w:r>
      <w:r w:rsidR="008A5A1C">
        <w:t xml:space="preserve">correct </w:t>
      </w:r>
      <w:r w:rsidR="003D1DDF">
        <w:t>cross-references</w:t>
      </w:r>
      <w:r w:rsidR="00C661E7">
        <w:t xml:space="preserve">, and update </w:t>
      </w:r>
      <w:r w:rsidR="00FE6B7F">
        <w:t>defined term</w:t>
      </w:r>
      <w:r w:rsidR="00C661E7">
        <w:t>s</w:t>
      </w:r>
      <w:r w:rsidR="00EB191E">
        <w:t>.</w:t>
      </w:r>
      <w:r w:rsidR="00F159D9">
        <w:rPr>
          <w:rStyle w:val="FootnoteReference"/>
        </w:rPr>
        <w:footnoteReference w:id="138"/>
      </w:r>
      <w:r w:rsidR="00EB191E">
        <w:t xml:space="preserve">  </w:t>
      </w:r>
      <w:r w:rsidR="004D56EB">
        <w:t>In section 6 s</w:t>
      </w:r>
      <w:r w:rsidR="00EB191E">
        <w:t>ubsection b</w:t>
      </w:r>
      <w:r w:rsidR="004D56EB">
        <w:t>, DEC</w:t>
      </w:r>
      <w:r w:rsidR="00EB191E">
        <w:t xml:space="preserve"> </w:t>
      </w:r>
      <w:r w:rsidR="00B3362E">
        <w:t xml:space="preserve">proposes to </w:t>
      </w:r>
      <w:r w:rsidR="00EB191E">
        <w:t>insert</w:t>
      </w:r>
      <w:r w:rsidR="00AE6D21">
        <w:t xml:space="preserve"> bracketed</w:t>
      </w:r>
      <w:r w:rsidR="00EB191E">
        <w:t xml:space="preserve"> optionality </w:t>
      </w:r>
      <w:r w:rsidR="008B1454">
        <w:t>denoting that either</w:t>
      </w:r>
      <w:r w:rsidR="00EB191E">
        <w:t xml:space="preserve"> the </w:t>
      </w:r>
      <w:r w:rsidR="008B1454">
        <w:t>t</w:t>
      </w:r>
      <w:r w:rsidR="00EB191E">
        <w:t xml:space="preserve">ransmission </w:t>
      </w:r>
      <w:r w:rsidR="008B1454">
        <w:t>c</w:t>
      </w:r>
      <w:r w:rsidR="00EB191E">
        <w:t xml:space="preserve">ustomer or </w:t>
      </w:r>
      <w:r w:rsidR="008B1454">
        <w:t>t</w:t>
      </w:r>
      <w:r w:rsidR="00EB191E">
        <w:t xml:space="preserve">ransmission </w:t>
      </w:r>
      <w:r w:rsidR="008B1454">
        <w:t>p</w:t>
      </w:r>
      <w:r w:rsidR="00EB191E">
        <w:t>rovider shall install data acquisition equipment</w:t>
      </w:r>
      <w:r w:rsidR="009749CB">
        <w:t>.</w:t>
      </w:r>
      <w:r w:rsidR="00EB191E">
        <w:t xml:space="preserve">  </w:t>
      </w:r>
      <w:r w:rsidR="00EA6444">
        <w:t>DEC states that the option to s</w:t>
      </w:r>
      <w:r w:rsidR="00EB191E">
        <w:t xml:space="preserve">elect the proper entity and </w:t>
      </w:r>
      <w:r w:rsidR="006B44E9">
        <w:t>remove</w:t>
      </w:r>
      <w:r w:rsidR="00EB191E">
        <w:t xml:space="preserve"> the non-applicable entity in individual NITSAs with customers should not render those NITSAs as </w:t>
      </w:r>
      <w:r w:rsidR="004E0567">
        <w:t xml:space="preserve">                        </w:t>
      </w:r>
      <w:r w:rsidR="00EB191E">
        <w:lastRenderedPageBreak/>
        <w:t>non-conforming.</w:t>
      </w:r>
      <w:r w:rsidR="00F159D9">
        <w:rPr>
          <w:rStyle w:val="FootnoteReference"/>
        </w:rPr>
        <w:footnoteReference w:id="139"/>
      </w:r>
      <w:r w:rsidR="00EB191E">
        <w:t xml:space="preserve"> </w:t>
      </w:r>
      <w:r w:rsidR="00A65A0C">
        <w:t xml:space="preserve"> </w:t>
      </w:r>
      <w:r w:rsidR="004D56EB">
        <w:t>DEC propose</w:t>
      </w:r>
      <w:r w:rsidR="00313ED7">
        <w:t>s</w:t>
      </w:r>
      <w:r w:rsidR="004D56EB">
        <w:t xml:space="preserve"> new</w:t>
      </w:r>
      <w:r w:rsidR="00EB191E">
        <w:t xml:space="preserve"> subsections d, e</w:t>
      </w:r>
      <w:r w:rsidR="00DC5FFA">
        <w:t>,</w:t>
      </w:r>
      <w:r w:rsidR="00EB191E">
        <w:t xml:space="preserve"> and f </w:t>
      </w:r>
      <w:r w:rsidR="004D56EB">
        <w:t>in section 6</w:t>
      </w:r>
      <w:r w:rsidR="00EB191E">
        <w:t xml:space="preserve"> to set forth terms and conditions relating to dynamic scheduling arrangements</w:t>
      </w:r>
      <w:r w:rsidR="000C7B06">
        <w:t>.  DEC explains</w:t>
      </w:r>
      <w:r w:rsidR="00EB191E">
        <w:t xml:space="preserve"> </w:t>
      </w:r>
      <w:r w:rsidR="00CC1389">
        <w:t xml:space="preserve">that </w:t>
      </w:r>
      <w:r w:rsidR="00EB191E">
        <w:t>such arrangements have become more prevalent on the DEC system</w:t>
      </w:r>
      <w:r w:rsidR="00A626C1">
        <w:t>,</w:t>
      </w:r>
      <w:r w:rsidR="00EB191E">
        <w:t xml:space="preserve"> and the existing Network Operating Agreement does not have adequate or specific terms and conditions to address such arrangements.  </w:t>
      </w:r>
    </w:p>
    <w:p w14:paraId="47D34FE3" w14:textId="77777777" w:rsidR="00EB191E" w:rsidRDefault="000C7B06" w:rsidP="00B77FDE">
      <w:pPr>
        <w:pStyle w:val="FERCparanumber"/>
      </w:pPr>
      <w:r>
        <w:t xml:space="preserve">DEC </w:t>
      </w:r>
      <w:r w:rsidR="00A9059F">
        <w:t xml:space="preserve">proposes to </w:t>
      </w:r>
      <w:r w:rsidR="00EB191E">
        <w:t>revise</w:t>
      </w:r>
      <w:r w:rsidR="00244C10">
        <w:t xml:space="preserve"> section 7</w:t>
      </w:r>
      <w:r w:rsidR="0091139C">
        <w:t xml:space="preserve"> (Operating Requirements)</w:t>
      </w:r>
      <w:r w:rsidR="00EB191E">
        <w:t xml:space="preserve"> to acknowledge situations in which the </w:t>
      </w:r>
      <w:r w:rsidR="00244C10">
        <w:t xml:space="preserve">transmission </w:t>
      </w:r>
      <w:r w:rsidR="00EB191E">
        <w:t xml:space="preserve">customer may not be operator of its resources but can cause </w:t>
      </w:r>
      <w:r w:rsidR="00244C10">
        <w:t>an</w:t>
      </w:r>
      <w:r w:rsidR="00EB191E">
        <w:t xml:space="preserve"> operator to operate its resources in a manner compliant with th</w:t>
      </w:r>
      <w:r w:rsidR="007E74AA">
        <w:t>e</w:t>
      </w:r>
      <w:r w:rsidR="00EB191E">
        <w:t xml:space="preserve"> agreement</w:t>
      </w:r>
      <w:r w:rsidR="00D8175B">
        <w:t>.</w:t>
      </w:r>
      <w:r w:rsidR="00DE4952">
        <w:rPr>
          <w:rStyle w:val="FootnoteReference"/>
        </w:rPr>
        <w:footnoteReference w:id="140"/>
      </w:r>
      <w:r w:rsidR="00D8175B">
        <w:t xml:space="preserve">  </w:t>
      </w:r>
      <w:r w:rsidR="00814894">
        <w:t xml:space="preserve">Further, </w:t>
      </w:r>
      <w:r w:rsidR="003C06C1">
        <w:t>DEC</w:t>
      </w:r>
      <w:r w:rsidR="007D5546">
        <w:t xml:space="preserve"> </w:t>
      </w:r>
      <w:r w:rsidR="00D6432C">
        <w:t>proposes changes to:  (</w:t>
      </w:r>
      <w:r w:rsidR="002F6D11">
        <w:t xml:space="preserve">1) </w:t>
      </w:r>
      <w:r w:rsidR="00CD53B0">
        <w:t xml:space="preserve">include consideration of </w:t>
      </w:r>
      <w:r w:rsidR="00EB191E">
        <w:t>underfrequency relay systems</w:t>
      </w:r>
      <w:r w:rsidR="00063EBE">
        <w:t xml:space="preserve">; </w:t>
      </w:r>
      <w:r w:rsidR="001D487D">
        <w:t>(2)</w:t>
      </w:r>
      <w:r w:rsidR="00EB191E">
        <w:t xml:space="preserve"> include NERC and SERC requirements in addition to Good Utility Practice as the standards by which the </w:t>
      </w:r>
      <w:r w:rsidR="00B77FDE">
        <w:t>t</w:t>
      </w:r>
      <w:r w:rsidR="00EB191E">
        <w:t xml:space="preserve">ransmission </w:t>
      </w:r>
      <w:r w:rsidR="00B77FDE">
        <w:t>p</w:t>
      </w:r>
      <w:r w:rsidR="00EB191E">
        <w:t>rovider may reasonably modify the load shedding syste</w:t>
      </w:r>
      <w:r w:rsidR="00E727B9">
        <w:t>m</w:t>
      </w:r>
      <w:r w:rsidR="00DE4952">
        <w:t>;</w:t>
      </w:r>
      <w:r w:rsidR="00E727B9">
        <w:t xml:space="preserve"> and </w:t>
      </w:r>
      <w:r w:rsidR="00DE4952">
        <w:t xml:space="preserve">(3) </w:t>
      </w:r>
      <w:r w:rsidR="00E727B9">
        <w:t>clarif</w:t>
      </w:r>
      <w:r w:rsidR="005E697C">
        <w:t>y</w:t>
      </w:r>
      <w:r w:rsidR="00EB191E">
        <w:t xml:space="preserve"> th</w:t>
      </w:r>
      <w:r w:rsidR="00E727B9">
        <w:t>at</w:t>
      </w:r>
      <w:r w:rsidR="00EB191E">
        <w:t xml:space="preserve"> the parties</w:t>
      </w:r>
      <w:r w:rsidR="000E008B">
        <w:t xml:space="preserve">, upon request, </w:t>
      </w:r>
      <w:r w:rsidR="000E008B" w:rsidRPr="000E008B">
        <w:t>will provide each other with copies of NERC compliance reports</w:t>
      </w:r>
      <w:r w:rsidR="008D4F7B">
        <w:rPr>
          <w:bCs/>
        </w:rPr>
        <w:t>.</w:t>
      </w:r>
      <w:r w:rsidR="00F159D9">
        <w:rPr>
          <w:rStyle w:val="FootnoteReference"/>
        </w:rPr>
        <w:footnoteReference w:id="141"/>
      </w:r>
    </w:p>
    <w:p w14:paraId="10AC8FA9" w14:textId="77777777" w:rsidR="00EB191E" w:rsidRDefault="00201AD3" w:rsidP="0092791E">
      <w:pPr>
        <w:pStyle w:val="FERCparanumber"/>
      </w:pPr>
      <w:r>
        <w:t>In s</w:t>
      </w:r>
      <w:r w:rsidR="00EB191E">
        <w:t>ection 9.0</w:t>
      </w:r>
      <w:r w:rsidR="00962176">
        <w:t xml:space="preserve"> (Network Planning)</w:t>
      </w:r>
      <w:r>
        <w:t>,</w:t>
      </w:r>
      <w:r w:rsidR="00EB191E">
        <w:t xml:space="preserve"> </w:t>
      </w:r>
      <w:r>
        <w:t>DEC</w:t>
      </w:r>
      <w:r w:rsidR="00EB191E">
        <w:t xml:space="preserve"> </w:t>
      </w:r>
      <w:r w:rsidR="00A9059F">
        <w:t xml:space="preserve">proposes to </w:t>
      </w:r>
      <w:r>
        <w:t>revise</w:t>
      </w:r>
      <w:r w:rsidR="00EB191E">
        <w:t xml:space="preserve"> the first sentence to insert the word “annually” to underscore the annual nature of the obligation of the </w:t>
      </w:r>
      <w:r w:rsidR="0065702D">
        <w:t>t</w:t>
      </w:r>
      <w:r w:rsidR="00EB191E">
        <w:t xml:space="preserve">ransmission </w:t>
      </w:r>
      <w:r w:rsidR="0065702D">
        <w:t>c</w:t>
      </w:r>
      <w:r w:rsidR="00EB191E">
        <w:t xml:space="preserve">ustomer to provide the </w:t>
      </w:r>
      <w:r w:rsidR="0065702D">
        <w:t>t</w:t>
      </w:r>
      <w:r w:rsidR="00EB191E">
        <w:t xml:space="preserve">ransmission </w:t>
      </w:r>
      <w:r w:rsidR="0065702D">
        <w:t>p</w:t>
      </w:r>
      <w:r w:rsidR="00EB191E">
        <w:t>rovider with a current and 10-year projection of network loads and resources by September 1st of each year.</w:t>
      </w:r>
      <w:r w:rsidR="00F159D9">
        <w:rPr>
          <w:rStyle w:val="FootnoteReference"/>
        </w:rPr>
        <w:footnoteReference w:id="142"/>
      </w:r>
      <w:r w:rsidR="0092791E">
        <w:t xml:space="preserve">  </w:t>
      </w:r>
      <w:r>
        <w:t xml:space="preserve">In </w:t>
      </w:r>
      <w:r w:rsidR="004E0567">
        <w:t xml:space="preserve">              </w:t>
      </w:r>
      <w:r>
        <w:t>s</w:t>
      </w:r>
      <w:r w:rsidR="00EB191E">
        <w:t>ection 11.0</w:t>
      </w:r>
      <w:r>
        <w:t xml:space="preserve">, DEC </w:t>
      </w:r>
      <w:r w:rsidR="00A45658">
        <w:t xml:space="preserve">proposes to clarify </w:t>
      </w:r>
      <w:r w:rsidR="00EB191E">
        <w:t xml:space="preserve">that </w:t>
      </w:r>
      <w:r w:rsidR="00A45658">
        <w:t xml:space="preserve">the </w:t>
      </w:r>
      <w:r w:rsidR="00DD4E62">
        <w:t>transmission customer is</w:t>
      </w:r>
      <w:r w:rsidR="004D6F5D">
        <w:t xml:space="preserve"> responsible for</w:t>
      </w:r>
      <w:r w:rsidR="00EB191E">
        <w:t xml:space="preserve"> </w:t>
      </w:r>
      <w:r w:rsidR="00B65A1D">
        <w:t>making arrangements</w:t>
      </w:r>
      <w:r w:rsidR="00EB191E">
        <w:t xml:space="preserve"> </w:t>
      </w:r>
      <w:r w:rsidR="00107884" w:rsidRPr="00107884">
        <w:t xml:space="preserve">for the scheduling and delivery of the electric capacity and energy from the designated Network Resource within the </w:t>
      </w:r>
      <w:r w:rsidR="00402F98">
        <w:t>t</w:t>
      </w:r>
      <w:r w:rsidR="00107884" w:rsidRPr="00107884">
        <w:t xml:space="preserve">ransmission </w:t>
      </w:r>
      <w:r w:rsidR="00402F98">
        <w:t>c</w:t>
      </w:r>
      <w:r w:rsidR="00107884" w:rsidRPr="00107884">
        <w:t xml:space="preserve">ustomer’s Control Area to the </w:t>
      </w:r>
      <w:r w:rsidR="00960013">
        <w:t>t</w:t>
      </w:r>
      <w:r w:rsidR="00107884" w:rsidRPr="00107884">
        <w:t xml:space="preserve">ransmission </w:t>
      </w:r>
      <w:r w:rsidR="00960013">
        <w:t>p</w:t>
      </w:r>
      <w:r w:rsidR="00107884" w:rsidRPr="00107884">
        <w:t>rovider</w:t>
      </w:r>
      <w:r w:rsidR="001A1CC5">
        <w:t xml:space="preserve"> Control Area</w:t>
      </w:r>
      <w:r w:rsidR="00107884" w:rsidRPr="00107884">
        <w:t xml:space="preserve">, </w:t>
      </w:r>
      <w:r w:rsidR="001A1CC5">
        <w:t>and any other</w:t>
      </w:r>
      <w:r w:rsidR="00107884" w:rsidRPr="00107884">
        <w:t xml:space="preserve"> neighboring</w:t>
      </w:r>
      <w:r w:rsidR="006B1394">
        <w:t xml:space="preserve"> </w:t>
      </w:r>
      <w:r w:rsidR="001A1CC5">
        <w:t>transmission provider</w:t>
      </w:r>
      <w:r w:rsidR="00A45658">
        <w:t>’</w:t>
      </w:r>
      <w:r w:rsidR="001A1CC5">
        <w:t>s</w:t>
      </w:r>
      <w:r w:rsidR="001A1CC5" w:rsidRPr="00107884">
        <w:t xml:space="preserve"> </w:t>
      </w:r>
      <w:r w:rsidR="00107884" w:rsidRPr="00107884">
        <w:t>Control Area</w:t>
      </w:r>
      <w:r w:rsidR="00EB191E">
        <w:t>.</w:t>
      </w:r>
      <w:r w:rsidR="00F2252F" w:rsidDel="00F2252F">
        <w:rPr>
          <w:rStyle w:val="FootnoteReference"/>
        </w:rPr>
        <w:t xml:space="preserve"> </w:t>
      </w:r>
    </w:p>
    <w:p w14:paraId="470FF1DA" w14:textId="77777777" w:rsidR="00A07425" w:rsidRPr="0098715A" w:rsidRDefault="00F159D9" w:rsidP="00A07425">
      <w:pPr>
        <w:pStyle w:val="FERCparanumber"/>
      </w:pPr>
      <w:r>
        <w:t>DEC proposes the addition of a new</w:t>
      </w:r>
      <w:r w:rsidR="00201AD3">
        <w:t xml:space="preserve"> s</w:t>
      </w:r>
      <w:r w:rsidR="00EB191E">
        <w:t xml:space="preserve">ection 12 </w:t>
      </w:r>
      <w:r w:rsidR="00962176">
        <w:t>(Power Factor Requirements)</w:t>
      </w:r>
      <w:r w:rsidR="00EB191E">
        <w:t xml:space="preserve"> to state that</w:t>
      </w:r>
      <w:r w:rsidR="008B5371">
        <w:t>,</w:t>
      </w:r>
      <w:r w:rsidR="00EB191E">
        <w:t xml:space="preserve"> in compliance with Section 24.3 of the Joint OATT, the </w:t>
      </w:r>
      <w:r w:rsidR="00B30175">
        <w:t>t</w:t>
      </w:r>
      <w:r w:rsidR="00EB191E">
        <w:t xml:space="preserve">ransmission </w:t>
      </w:r>
      <w:r w:rsidR="00B30175">
        <w:t>c</w:t>
      </w:r>
      <w:r w:rsidR="00EB191E">
        <w:t xml:space="preserve">ustomer shall </w:t>
      </w:r>
      <w:r w:rsidR="008461E4">
        <w:t xml:space="preserve">comply </w:t>
      </w:r>
      <w:r w:rsidR="00EB191E">
        <w:t xml:space="preserve">with the power factor requirements set forth in </w:t>
      </w:r>
      <w:r w:rsidR="00D737A0">
        <w:t>s</w:t>
      </w:r>
      <w:r w:rsidR="00EB191E">
        <w:t xml:space="preserve">ection 5.3.1(a) of </w:t>
      </w:r>
      <w:r w:rsidR="00A12CFF">
        <w:t xml:space="preserve">the </w:t>
      </w:r>
      <w:r w:rsidR="00447868">
        <w:t>t</w:t>
      </w:r>
      <w:r w:rsidR="00EB191E">
        <w:t xml:space="preserve">ransmission </w:t>
      </w:r>
      <w:r w:rsidR="00447868">
        <w:t>p</w:t>
      </w:r>
      <w:r w:rsidR="00EB191E">
        <w:t>rovider’s Facilities Connection Requirement document posted on its OASIS website.</w:t>
      </w:r>
      <w:r w:rsidR="000B232F">
        <w:rPr>
          <w:rStyle w:val="FootnoteReference"/>
        </w:rPr>
        <w:footnoteReference w:id="143"/>
      </w:r>
      <w:r w:rsidR="00EB191E">
        <w:t xml:space="preserve"> </w:t>
      </w:r>
      <w:r>
        <w:t xml:space="preserve"> </w:t>
      </w:r>
    </w:p>
    <w:p w14:paraId="49BE1F85" w14:textId="77777777" w:rsidR="00A07425" w:rsidRPr="00892ACC" w:rsidRDefault="00A07425" w:rsidP="00F61222">
      <w:pPr>
        <w:pStyle w:val="Heading5"/>
      </w:pPr>
      <w:r w:rsidRPr="0098715A">
        <w:lastRenderedPageBreak/>
        <w:t xml:space="preserve">Attachment E </w:t>
      </w:r>
      <w:r w:rsidR="00BC11CA">
        <w:t>–</w:t>
      </w:r>
      <w:r w:rsidRPr="0098715A">
        <w:t xml:space="preserve"> (Other Charges/Credits)</w:t>
      </w:r>
    </w:p>
    <w:p w14:paraId="1DCC1DAA" w14:textId="77777777" w:rsidR="00A07425" w:rsidRPr="008C7C77" w:rsidRDefault="00A07425" w:rsidP="00B031A6">
      <w:pPr>
        <w:pStyle w:val="FERCparanumber"/>
      </w:pPr>
      <w:r>
        <w:t xml:space="preserve">DEC proposes to add a new Attachment E with a placeholder in brackets to insert any other charges or credits not already referenced in </w:t>
      </w:r>
      <w:r w:rsidR="00A53CFF">
        <w:t xml:space="preserve">its </w:t>
      </w:r>
      <w:r w:rsidRPr="00FD73C7">
        <w:rPr>
          <w:i/>
          <w:iCs/>
        </w:rPr>
        <w:t>pro forma</w:t>
      </w:r>
      <w:r>
        <w:t xml:space="preserve"> NITSA.</w:t>
      </w:r>
      <w:r w:rsidR="00B079A2">
        <w:rPr>
          <w:rStyle w:val="FootnoteReference"/>
        </w:rPr>
        <w:footnoteReference w:id="144"/>
      </w:r>
      <w:r>
        <w:t xml:space="preserve">  DEC states that many of the NITSAs do not contain any other charges or credits listed in this attachment.  DEC notes that the Commission reviews such charges and credits as part of the filing of individual NITSAs containing such charges. </w:t>
      </w:r>
    </w:p>
    <w:p w14:paraId="3A9ACF43" w14:textId="77777777" w:rsidR="004D56EB" w:rsidRDefault="004D56EB" w:rsidP="00F61222">
      <w:pPr>
        <w:pStyle w:val="Heading4"/>
      </w:pPr>
      <w:r>
        <w:t>Commission Determination</w:t>
      </w:r>
    </w:p>
    <w:p w14:paraId="600E0246" w14:textId="77777777" w:rsidR="00226F87" w:rsidRDefault="00226F87" w:rsidP="00226F87">
      <w:pPr>
        <w:pStyle w:val="FERCparanumber"/>
      </w:pPr>
      <w:r>
        <w:t xml:space="preserve">We find that the proposed changes to Attachment A of </w:t>
      </w:r>
      <w:r w:rsidR="00DF7D5F">
        <w:t xml:space="preserve">DEC’s </w:t>
      </w:r>
      <w:r>
        <w:rPr>
          <w:i/>
          <w:iCs/>
        </w:rPr>
        <w:t xml:space="preserve">pro forma </w:t>
      </w:r>
      <w:r>
        <w:t xml:space="preserve">NITSA are just and reasonable because they more accurately reflect how network service operates and will allow </w:t>
      </w:r>
      <w:r w:rsidRPr="00A64A9B">
        <w:t>D</w:t>
      </w:r>
      <w:r>
        <w:t>EC</w:t>
      </w:r>
      <w:r w:rsidRPr="00A64A9B">
        <w:t xml:space="preserve"> to conduct </w:t>
      </w:r>
      <w:r>
        <w:t xml:space="preserve">studies </w:t>
      </w:r>
      <w:r w:rsidRPr="00A64A9B">
        <w:t>to meet its responsibility, as the transmission provider, to ensure continued reliability of the transmission system</w:t>
      </w:r>
      <w:r>
        <w:t>.</w:t>
      </w:r>
    </w:p>
    <w:p w14:paraId="147A1578" w14:textId="77777777" w:rsidR="00812A2F" w:rsidRDefault="00EB3468" w:rsidP="004D56EB">
      <w:pPr>
        <w:pStyle w:val="FERCparanumber"/>
      </w:pPr>
      <w:r>
        <w:t xml:space="preserve">We </w:t>
      </w:r>
      <w:r w:rsidR="00DF7D5F">
        <w:t xml:space="preserve">further </w:t>
      </w:r>
      <w:r>
        <w:t xml:space="preserve">find that </w:t>
      </w:r>
      <w:r w:rsidR="009347DA">
        <w:t>the</w:t>
      </w:r>
      <w:r>
        <w:t xml:space="preserve"> proposed revisions to Attachments B, C, D, and E </w:t>
      </w:r>
      <w:r w:rsidR="009B73CB">
        <w:t xml:space="preserve">of </w:t>
      </w:r>
      <w:r w:rsidR="00DF7D5F">
        <w:t xml:space="preserve">DEC’s </w:t>
      </w:r>
      <w:r w:rsidR="009B73CB" w:rsidRPr="00740C05">
        <w:rPr>
          <w:i/>
        </w:rPr>
        <w:t xml:space="preserve">pro </w:t>
      </w:r>
      <w:r w:rsidR="009B73CB" w:rsidRPr="00740C05">
        <w:rPr>
          <w:i/>
          <w:iCs/>
        </w:rPr>
        <w:t>form</w:t>
      </w:r>
      <w:r w:rsidR="00740C05" w:rsidRPr="00740C05">
        <w:rPr>
          <w:i/>
          <w:iCs/>
        </w:rPr>
        <w:t xml:space="preserve">a </w:t>
      </w:r>
      <w:r w:rsidR="00474CBD">
        <w:t xml:space="preserve">NITSA </w:t>
      </w:r>
      <w:r w:rsidR="00740C05">
        <w:t>are just and reasonable</w:t>
      </w:r>
      <w:r w:rsidR="00B32418">
        <w:t xml:space="preserve">.  The </w:t>
      </w:r>
      <w:r w:rsidR="00CD7331">
        <w:t xml:space="preserve">proposed </w:t>
      </w:r>
      <w:r w:rsidR="00B32418">
        <w:t>revisions</w:t>
      </w:r>
      <w:r w:rsidR="00CD7331">
        <w:t xml:space="preserve"> </w:t>
      </w:r>
      <w:r w:rsidR="00AF3E50">
        <w:t>address the impact of changing</w:t>
      </w:r>
      <w:r w:rsidR="003E5590">
        <w:t xml:space="preserve"> </w:t>
      </w:r>
      <w:r w:rsidR="00A41C88">
        <w:t xml:space="preserve">system conditions on </w:t>
      </w:r>
      <w:r w:rsidR="00EA04CB">
        <w:t>DEC’s</w:t>
      </w:r>
      <w:r w:rsidR="00AF3E50">
        <w:t xml:space="preserve"> </w:t>
      </w:r>
      <w:r w:rsidR="00DD533A">
        <w:t xml:space="preserve">provision of </w:t>
      </w:r>
      <w:r w:rsidR="009C3CF7">
        <w:t>NITS</w:t>
      </w:r>
      <w:r w:rsidR="001516FD">
        <w:t xml:space="preserve"> and provide greater clarity for DEC’s network customers</w:t>
      </w:r>
      <w:r w:rsidR="009C3CF7">
        <w:t>.</w:t>
      </w:r>
    </w:p>
    <w:p w14:paraId="2A964E7F" w14:textId="77777777" w:rsidR="00B5726E" w:rsidRDefault="00812A2F" w:rsidP="004D56EB">
      <w:pPr>
        <w:pStyle w:val="FERCparanumber"/>
      </w:pPr>
      <w:r>
        <w:t xml:space="preserve">We note, </w:t>
      </w:r>
      <w:r w:rsidR="00F409CA">
        <w:t xml:space="preserve">however, that although we find DEC’s proposed revisions to </w:t>
      </w:r>
      <w:r w:rsidR="0058624C">
        <w:t>its</w:t>
      </w:r>
      <w:r w:rsidR="00F409CA">
        <w:t xml:space="preserve"> </w:t>
      </w:r>
      <w:r w:rsidR="004E0567">
        <w:t xml:space="preserve">                  </w:t>
      </w:r>
      <w:r w:rsidR="00F409CA">
        <w:rPr>
          <w:i/>
          <w:iCs/>
        </w:rPr>
        <w:t xml:space="preserve">pro forma </w:t>
      </w:r>
      <w:r w:rsidR="00F409CA">
        <w:t xml:space="preserve">NITSA </w:t>
      </w:r>
      <w:r w:rsidR="00C47A56">
        <w:t>are</w:t>
      </w:r>
      <w:r w:rsidR="00F409CA">
        <w:t xml:space="preserve"> just and reasonable</w:t>
      </w:r>
      <w:r w:rsidR="00231387">
        <w:t xml:space="preserve"> and not unduly discriminatory or preferential</w:t>
      </w:r>
      <w:r w:rsidR="00F409CA">
        <w:t xml:space="preserve"> based on the record in this proceeding, </w:t>
      </w:r>
      <w:r w:rsidR="00B41BEB">
        <w:t xml:space="preserve">DEC </w:t>
      </w:r>
      <w:r w:rsidR="00923394">
        <w:t xml:space="preserve">may </w:t>
      </w:r>
      <w:r w:rsidR="00751574">
        <w:t xml:space="preserve">still </w:t>
      </w:r>
      <w:r w:rsidR="000E4644">
        <w:t xml:space="preserve">(and we encourage it to) </w:t>
      </w:r>
      <w:r w:rsidR="008E5FB8">
        <w:t xml:space="preserve">at any time </w:t>
      </w:r>
      <w:r w:rsidR="00922817">
        <w:t xml:space="preserve">either </w:t>
      </w:r>
      <w:r w:rsidR="00B41BEB">
        <w:t>execut</w:t>
      </w:r>
      <w:r w:rsidR="00923394">
        <w:t>e</w:t>
      </w:r>
      <w:r w:rsidR="00B41BEB">
        <w:t xml:space="preserve"> non-conf</w:t>
      </w:r>
      <w:r w:rsidR="00632AB2">
        <w:t>o</w:t>
      </w:r>
      <w:r w:rsidR="00B41BEB">
        <w:t xml:space="preserve">rming NITSAs </w:t>
      </w:r>
      <w:r w:rsidR="003516CA">
        <w:t>that</w:t>
      </w:r>
      <w:r w:rsidR="00B41BEB">
        <w:t xml:space="preserve"> </w:t>
      </w:r>
      <w:r w:rsidR="00CD274E">
        <w:t>provide</w:t>
      </w:r>
      <w:r w:rsidR="00400509">
        <w:t xml:space="preserve"> </w:t>
      </w:r>
      <w:r w:rsidR="00CD274E">
        <w:t>greater</w:t>
      </w:r>
      <w:r w:rsidR="00400509">
        <w:t xml:space="preserve"> </w:t>
      </w:r>
      <w:r w:rsidR="00E02E51">
        <w:t>protecti</w:t>
      </w:r>
      <w:r w:rsidR="00400509">
        <w:t>on</w:t>
      </w:r>
      <w:r w:rsidR="00E02E51">
        <w:t xml:space="preserve"> against cost shifting to other DEC transmission </w:t>
      </w:r>
      <w:proofErr w:type="gramStart"/>
      <w:r w:rsidR="00E02E51">
        <w:t>customers</w:t>
      </w:r>
      <w:r w:rsidR="00922817">
        <w:t>, or</w:t>
      </w:r>
      <w:proofErr w:type="gramEnd"/>
      <w:r w:rsidR="00922817">
        <w:t xml:space="preserve"> propose additional consumer protections to this </w:t>
      </w:r>
      <w:r w:rsidR="00922817">
        <w:rPr>
          <w:i/>
          <w:iCs/>
        </w:rPr>
        <w:t>pro forma</w:t>
      </w:r>
      <w:r w:rsidR="00922817">
        <w:t xml:space="preserve"> NITSA</w:t>
      </w:r>
      <w:r w:rsidR="00E02E51">
        <w:t xml:space="preserve">.  The Commission’s </w:t>
      </w:r>
      <w:r w:rsidR="00AB7D3E">
        <w:t>longstanding t</w:t>
      </w:r>
      <w:r w:rsidR="00E02E51">
        <w:t>ransmission pricing policy</w:t>
      </w:r>
      <w:r w:rsidR="001E1983">
        <w:t xml:space="preserve"> </w:t>
      </w:r>
      <w:r w:rsidR="009677E7">
        <w:t>provides flexibility for transmission providers to seek the higher of either rolled-in or incremental pricing for transmission service requests</w:t>
      </w:r>
      <w:r w:rsidR="002C3743">
        <w:t xml:space="preserve"> that </w:t>
      </w:r>
      <w:r w:rsidR="006B1265">
        <w:t>necessitate</w:t>
      </w:r>
      <w:r w:rsidR="002C3743">
        <w:t xml:space="preserve"> expansion of the </w:t>
      </w:r>
      <w:r w:rsidR="00DF31E2">
        <w:t>transmission system</w:t>
      </w:r>
      <w:r w:rsidR="009677E7">
        <w:t>.</w:t>
      </w:r>
      <w:r w:rsidR="009677E7">
        <w:rPr>
          <w:rStyle w:val="FootnoteReference"/>
        </w:rPr>
        <w:footnoteReference w:id="145"/>
      </w:r>
      <w:r w:rsidR="001E1983">
        <w:t xml:space="preserve">  Should DEC </w:t>
      </w:r>
      <w:r w:rsidR="000D4855">
        <w:t>determine that a new or expanded request for transmission service would trigger substantial upgrades</w:t>
      </w:r>
      <w:r w:rsidR="002C4E68">
        <w:t xml:space="preserve"> that could raise costs for other </w:t>
      </w:r>
      <w:r w:rsidR="00B739E6">
        <w:t xml:space="preserve">transmission </w:t>
      </w:r>
      <w:r w:rsidR="002C4E68">
        <w:t xml:space="preserve">customers, </w:t>
      </w:r>
      <w:r w:rsidR="003922F7">
        <w:t xml:space="preserve">it </w:t>
      </w:r>
      <w:r w:rsidR="0012606F">
        <w:t>should</w:t>
      </w:r>
      <w:r w:rsidR="007603F8">
        <w:t xml:space="preserve"> strongly consider</w:t>
      </w:r>
      <w:r w:rsidR="003922F7">
        <w:t xml:space="preserve"> </w:t>
      </w:r>
      <w:r w:rsidR="0035514C">
        <w:t>fil</w:t>
      </w:r>
      <w:r w:rsidR="007603F8">
        <w:t>ing</w:t>
      </w:r>
      <w:r w:rsidR="003922F7">
        <w:t xml:space="preserve"> a non-conforming </w:t>
      </w:r>
      <w:r w:rsidR="0035514C">
        <w:t>agreement</w:t>
      </w:r>
      <w:r w:rsidR="0035514C" w:rsidRPr="0035514C">
        <w:t xml:space="preserve"> to charge an incremental rate</w:t>
      </w:r>
      <w:r w:rsidR="0035514C">
        <w:t xml:space="preserve">.  </w:t>
      </w:r>
      <w:r w:rsidR="000346AE">
        <w:t>In such a case,</w:t>
      </w:r>
      <w:r w:rsidR="0035514C">
        <w:t xml:space="preserve"> DEC </w:t>
      </w:r>
      <w:r w:rsidR="00E87B7B">
        <w:t xml:space="preserve">also </w:t>
      </w:r>
      <w:r w:rsidR="000346AE">
        <w:t>would have an</w:t>
      </w:r>
      <w:r w:rsidR="001A1607">
        <w:t xml:space="preserve"> opportunity to</w:t>
      </w:r>
      <w:r w:rsidR="0035514C" w:rsidRPr="0035514C">
        <w:t xml:space="preserve"> explain</w:t>
      </w:r>
      <w:r w:rsidR="000346AE">
        <w:t xml:space="preserve"> in support of its filing</w:t>
      </w:r>
      <w:r w:rsidR="0035514C" w:rsidRPr="0035514C">
        <w:t xml:space="preserve"> why</w:t>
      </w:r>
      <w:r w:rsidR="00D277E1">
        <w:t xml:space="preserve">, under that specific set of facts and </w:t>
      </w:r>
      <w:r w:rsidR="00D277E1">
        <w:lastRenderedPageBreak/>
        <w:t>circumstances,</w:t>
      </w:r>
      <w:r w:rsidR="0035514C" w:rsidRPr="0035514C">
        <w:t xml:space="preserve"> deviating from the </w:t>
      </w:r>
      <w:r w:rsidR="0035514C" w:rsidRPr="0035514C">
        <w:rPr>
          <w:i/>
          <w:iCs/>
        </w:rPr>
        <w:t xml:space="preserve">pro </w:t>
      </w:r>
      <w:proofErr w:type="gramStart"/>
      <w:r w:rsidR="0035514C" w:rsidRPr="0035514C">
        <w:rPr>
          <w:i/>
          <w:iCs/>
        </w:rPr>
        <w:t>forma</w:t>
      </w:r>
      <w:proofErr w:type="gramEnd"/>
      <w:r w:rsidR="0035514C" w:rsidRPr="0035514C">
        <w:t xml:space="preserve"> we</w:t>
      </w:r>
      <w:r w:rsidR="0035514C">
        <w:t xml:space="preserve"> accept in this order</w:t>
      </w:r>
      <w:r w:rsidR="0035514C" w:rsidRPr="0035514C">
        <w:t xml:space="preserve"> is necessary to protect its existing customers</w:t>
      </w:r>
      <w:r w:rsidR="000346AE">
        <w:t>.</w:t>
      </w:r>
      <w:r w:rsidR="0044349E">
        <w:rPr>
          <w:rStyle w:val="FootnoteReference"/>
        </w:rPr>
        <w:footnoteReference w:id="146"/>
      </w:r>
      <w:r w:rsidR="00C02AB1">
        <w:t xml:space="preserve"> </w:t>
      </w:r>
    </w:p>
    <w:p w14:paraId="634E36ED" w14:textId="77777777" w:rsidR="002A3B24" w:rsidRDefault="002A3B24" w:rsidP="00A722D7">
      <w:pPr>
        <w:pStyle w:val="FERCparanumber"/>
      </w:pPr>
      <w:r>
        <w:t>Along the same lines, we encourage DEC</w:t>
      </w:r>
      <w:r w:rsidR="003E077C">
        <w:t xml:space="preserve"> and</w:t>
      </w:r>
      <w:r>
        <w:t xml:space="preserve"> other transmission providers</w:t>
      </w:r>
      <w:r w:rsidR="003E077C">
        <w:t xml:space="preserve"> </w:t>
      </w:r>
      <w:r>
        <w:t xml:space="preserve">to continue to consider where they can erect further protections against the potential for cost shifting among transmission customers.  These measures may include proposing substantial </w:t>
      </w:r>
      <w:r w:rsidRPr="00DE1B98">
        <w:t>shortfall payments</w:t>
      </w:r>
      <w:r>
        <w:t>, such as the shortfall payment structure approved in this order, which are designed to ensure that transmission customers make a meaningful contribution to the costs of building out the transmission system to serve them, even if the new</w:t>
      </w:r>
      <w:r w:rsidRPr="00DB647F">
        <w:t xml:space="preserve"> Network Load does not materialize</w:t>
      </w:r>
      <w:r>
        <w:t xml:space="preserve"> or otherwise takes less service than anticipated.</w:t>
      </w:r>
      <w:r>
        <w:rPr>
          <w:rStyle w:val="FootnoteReference"/>
        </w:rPr>
        <w:footnoteReference w:id="147"/>
      </w:r>
      <w:r>
        <w:t xml:space="preserve">  Other measures may include greater deployment of alternative transmission technologies and grid enhancing technologies, both to use the existing transmission system as efficiently as possible and to right-size any further transmission system expansion.</w:t>
      </w:r>
    </w:p>
    <w:p w14:paraId="4A9E054D" w14:textId="77777777" w:rsidR="00C01B7A" w:rsidRPr="00AD7E86" w:rsidRDefault="00064073" w:rsidP="00A722D7">
      <w:pPr>
        <w:pStyle w:val="FERCparanumber"/>
      </w:pPr>
      <w:r w:rsidRPr="00293501">
        <w:t>Lastly, we note that</w:t>
      </w:r>
      <w:r w:rsidR="00AD39AC">
        <w:t>,</w:t>
      </w:r>
      <w:r w:rsidRPr="00293501">
        <w:t xml:space="preserve"> because DEC’s proposal came to us under FPA section 205</w:t>
      </w:r>
      <w:r w:rsidR="003E1797" w:rsidRPr="00293501">
        <w:t>,</w:t>
      </w:r>
      <w:r w:rsidRPr="00293501">
        <w:t xml:space="preserve"> the Commission is statutorily bound to a reactive role in assessing the proposal.</w:t>
      </w:r>
      <w:r w:rsidRPr="00293501">
        <w:rPr>
          <w:b/>
          <w:vertAlign w:val="superscript"/>
        </w:rPr>
        <w:footnoteReference w:id="148"/>
      </w:r>
      <w:r w:rsidRPr="00293501">
        <w:t xml:space="preserve">  </w:t>
      </w:r>
      <w:r w:rsidR="00A31F97" w:rsidRPr="00293501">
        <w:t>To be clear, h</w:t>
      </w:r>
      <w:r w:rsidRPr="00293501">
        <w:t xml:space="preserve">owever, our approval today in no way prejudges the outcomes of the June 2026 </w:t>
      </w:r>
      <w:r w:rsidRPr="00293501">
        <w:lastRenderedPageBreak/>
        <w:t>Large Load Show Cause Order proceedings</w:t>
      </w:r>
      <w:r w:rsidR="00C01B7A">
        <w:t xml:space="preserve"> </w:t>
      </w:r>
      <w:r w:rsidR="00C01B7A" w:rsidRPr="00C01B7A">
        <w:t>under FPA section 206,</w:t>
      </w:r>
      <w:r w:rsidR="00C01B7A" w:rsidRPr="00C01B7A">
        <w:rPr>
          <w:b/>
          <w:vertAlign w:val="superscript"/>
        </w:rPr>
        <w:footnoteReference w:id="149"/>
      </w:r>
      <w:r w:rsidR="00C01B7A" w:rsidRPr="00C01B7A">
        <w:t xml:space="preserve"> nor the </w:t>
      </w:r>
      <w:r w:rsidR="00F81E3E" w:rsidRPr="00AD7E86">
        <w:t>ANOPR proceeding in Docket No. RM26-4-000</w:t>
      </w:r>
      <w:r w:rsidR="00C01B7A" w:rsidRPr="00AD7E86">
        <w:t>, which remains open.</w:t>
      </w:r>
      <w:r w:rsidR="00C01B7A" w:rsidRPr="00AD7E86">
        <w:rPr>
          <w:b/>
          <w:vertAlign w:val="superscript"/>
        </w:rPr>
        <w:footnoteReference w:id="150"/>
      </w:r>
    </w:p>
    <w:p w14:paraId="2B3E47B2" w14:textId="77777777" w:rsidR="00A722D7" w:rsidRDefault="002A3B24" w:rsidP="00A722D7">
      <w:pPr>
        <w:pStyle w:val="FERCparanumber"/>
      </w:pPr>
      <w:r w:rsidRPr="00AD7E86">
        <w:t>We recognize that building out the transmission system to serve the nation</w:t>
      </w:r>
      <w:r w:rsidR="00053F5A" w:rsidRPr="00AD7E86">
        <w:t>’</w:t>
      </w:r>
      <w:r w:rsidRPr="00AD7E86">
        <w:t xml:space="preserve">s growing demand for electricity can require substantial financial investment.  We encourage transmission providers—including DEC—to continually reevaluate their study processes and transmission service agreements to ensure both that they are minimizing the costs of </w:t>
      </w:r>
      <w:r w:rsidR="00053F5A" w:rsidRPr="00AD7E86">
        <w:t>N</w:t>
      </w:r>
      <w:r w:rsidRPr="00AD7E86">
        <w:t xml:space="preserve">etwork </w:t>
      </w:r>
      <w:r w:rsidR="00053F5A" w:rsidRPr="00AD7E86">
        <w:t>U</w:t>
      </w:r>
      <w:r w:rsidRPr="00AD7E86">
        <w:t>pgrades</w:t>
      </w:r>
      <w:r w:rsidRPr="00D27B9C">
        <w:t xml:space="preserve"> </w:t>
      </w:r>
      <w:r w:rsidR="00DA3174">
        <w:t>required</w:t>
      </w:r>
      <w:r w:rsidR="004F0A77">
        <w:t xml:space="preserve"> </w:t>
      </w:r>
      <w:r w:rsidRPr="00D27B9C">
        <w:t xml:space="preserve">and </w:t>
      </w:r>
      <w:r>
        <w:t xml:space="preserve">that they </w:t>
      </w:r>
      <w:r w:rsidRPr="00D27B9C">
        <w:t>have sufficient protections in place to shield other transmission customers from potential cost shifts as new technologies and trends in load growth emerge</w:t>
      </w:r>
      <w:r w:rsidR="00FF1BA8">
        <w:t>.</w:t>
      </w:r>
    </w:p>
    <w:p w14:paraId="0F5140A6" w14:textId="77777777" w:rsidR="009A00E0" w:rsidRDefault="00E76ADA" w:rsidP="004E0567">
      <w:pPr>
        <w:keepLines/>
        <w:spacing w:after="240"/>
        <w:ind w:left="720"/>
      </w:pPr>
      <w:r w:rsidRPr="00704918">
        <w:rPr>
          <w:u w:val="single"/>
        </w:rPr>
        <w:t>The Commission orders</w:t>
      </w:r>
      <w:r w:rsidRPr="00704918">
        <w:t>:</w:t>
      </w:r>
    </w:p>
    <w:p w14:paraId="3B29D0A2" w14:textId="77777777" w:rsidR="00E76ADA" w:rsidRPr="00704918" w:rsidRDefault="00E2605C" w:rsidP="009A00E0">
      <w:pPr>
        <w:keepLines/>
        <w:spacing w:after="260"/>
        <w:ind w:firstLine="720"/>
      </w:pPr>
      <w:r>
        <w:t xml:space="preserve">DEC’s proposed revisions to the </w:t>
      </w:r>
      <w:r>
        <w:rPr>
          <w:i/>
          <w:iCs/>
        </w:rPr>
        <w:t xml:space="preserve">pro forma </w:t>
      </w:r>
      <w:r>
        <w:t>NITSA are hereby accepted, effective August 1, 2026, as requested, as discussed in the body of this order.</w:t>
      </w:r>
    </w:p>
    <w:p w14:paraId="4E35B6C2" w14:textId="77777777" w:rsidR="00E76ADA" w:rsidRDefault="00E76ADA" w:rsidP="009A00E0">
      <w:r w:rsidRPr="00704918">
        <w:t>By the Commission.</w:t>
      </w:r>
      <w:r w:rsidR="004E0567">
        <w:t xml:space="preserve">  Commissioner Rosner is concurring with a separate statement </w:t>
      </w:r>
    </w:p>
    <w:p w14:paraId="7DB11D7E" w14:textId="77777777" w:rsidR="004E0567" w:rsidRDefault="004E0567" w:rsidP="009A00E0">
      <w:r>
        <w:tab/>
      </w:r>
      <w:r>
        <w:tab/>
      </w:r>
      <w:r>
        <w:tab/>
        <w:t xml:space="preserve">  attached.</w:t>
      </w:r>
    </w:p>
    <w:p w14:paraId="0EC575FE" w14:textId="77777777" w:rsidR="004E0567" w:rsidRDefault="004E0567" w:rsidP="009A00E0">
      <w:r>
        <w:tab/>
      </w:r>
      <w:r>
        <w:tab/>
      </w:r>
      <w:r>
        <w:tab/>
        <w:t xml:space="preserve">  Commissioner See is concurring with a separate statement </w:t>
      </w:r>
    </w:p>
    <w:p w14:paraId="484C57A2" w14:textId="77777777" w:rsidR="004E0567" w:rsidRDefault="004E0567" w:rsidP="009A00E0">
      <w:r>
        <w:tab/>
      </w:r>
      <w:r>
        <w:tab/>
      </w:r>
      <w:r>
        <w:tab/>
        <w:t xml:space="preserve">  attached.</w:t>
      </w:r>
    </w:p>
    <w:p w14:paraId="33CAAAD5" w14:textId="77777777" w:rsidR="004E0567" w:rsidRDefault="004E0567" w:rsidP="009A00E0">
      <w:r>
        <w:tab/>
      </w:r>
      <w:r>
        <w:tab/>
      </w:r>
      <w:r>
        <w:tab/>
        <w:t xml:space="preserve">  Commissioner Chang is dissenting with a separate statement</w:t>
      </w:r>
    </w:p>
    <w:p w14:paraId="01088413" w14:textId="77777777" w:rsidR="004E0567" w:rsidRDefault="004E0567" w:rsidP="009A00E0">
      <w:r>
        <w:t xml:space="preserve"> </w:t>
      </w:r>
      <w:r>
        <w:tab/>
      </w:r>
      <w:r>
        <w:tab/>
      </w:r>
      <w:r>
        <w:tab/>
        <w:t xml:space="preserve">  attached.</w:t>
      </w:r>
    </w:p>
    <w:p w14:paraId="3EBF8673" w14:textId="77777777" w:rsidR="009A00E0" w:rsidRDefault="009A00E0" w:rsidP="00E76ADA">
      <w:pPr>
        <w:ind w:left="720"/>
      </w:pPr>
    </w:p>
    <w:p w14:paraId="5495B06F" w14:textId="77777777" w:rsidR="009A00E0" w:rsidRDefault="009A00E0" w:rsidP="009A00E0">
      <w:pPr>
        <w:widowControl/>
      </w:pPr>
      <w:r w:rsidRPr="009A00E0">
        <w:t>( S E A L )</w:t>
      </w:r>
    </w:p>
    <w:p w14:paraId="0D9E82A5" w14:textId="77777777" w:rsidR="004E0567" w:rsidRDefault="004E0567" w:rsidP="009A00E0">
      <w:pPr>
        <w:widowControl/>
      </w:pPr>
    </w:p>
    <w:p w14:paraId="1506B223" w14:textId="77777777" w:rsidR="009A00E0" w:rsidRDefault="009A00E0" w:rsidP="009A00E0">
      <w:pPr>
        <w:widowControl/>
      </w:pPr>
    </w:p>
    <w:p w14:paraId="3CEC930D" w14:textId="77777777" w:rsidR="009A00E0" w:rsidRPr="009A00E0" w:rsidRDefault="009A00E0" w:rsidP="009A00E0">
      <w:pPr>
        <w:widowControl/>
        <w:ind w:firstLine="2606"/>
        <w:jc w:val="center"/>
      </w:pPr>
      <w:r w:rsidRPr="009A00E0">
        <w:t>Debbie-Anne A. Reese,</w:t>
      </w:r>
    </w:p>
    <w:p w14:paraId="5AD22540" w14:textId="77777777" w:rsidR="009A00E0" w:rsidRPr="009A00E0" w:rsidRDefault="009A00E0" w:rsidP="009A00E0">
      <w:pPr>
        <w:widowControl/>
        <w:ind w:firstLine="2606"/>
        <w:jc w:val="center"/>
      </w:pPr>
      <w:r w:rsidRPr="009A00E0">
        <w:t>Secretary.</w:t>
      </w:r>
    </w:p>
    <w:p w14:paraId="4AEBE5AF" w14:textId="77777777" w:rsidR="009A00E0" w:rsidRPr="00704918" w:rsidRDefault="009A00E0" w:rsidP="009A00E0">
      <w:pPr>
        <w:widowControl/>
      </w:pPr>
    </w:p>
    <w:p w14:paraId="56D757D2" w14:textId="77777777" w:rsidR="001B1F79" w:rsidRDefault="001B1F79" w:rsidP="00C035C9">
      <w:pPr>
        <w:pStyle w:val="FootnoteText"/>
        <w:ind w:firstLine="0"/>
        <w:rPr>
          <w:b/>
          <w:bCs/>
        </w:rPr>
      </w:pPr>
    </w:p>
    <w:p w14:paraId="1E50E6B0" w14:textId="77777777" w:rsidR="00A162F7" w:rsidRDefault="00A162F7">
      <w:pPr>
        <w:widowControl/>
        <w:spacing w:after="160" w:line="259" w:lineRule="auto"/>
        <w:rPr>
          <w:b/>
          <w:bCs/>
          <w:szCs w:val="20"/>
        </w:rPr>
      </w:pPr>
      <w:r>
        <w:rPr>
          <w:b/>
          <w:bCs/>
        </w:rPr>
        <w:br w:type="page"/>
      </w:r>
    </w:p>
    <w:p w14:paraId="20AEA7C9" w14:textId="77777777" w:rsidR="00E76ADA" w:rsidRPr="000D6DF3" w:rsidRDefault="00E76ADA" w:rsidP="00B35A14">
      <w:pPr>
        <w:pStyle w:val="FootnoteText"/>
        <w:ind w:left="720" w:firstLine="0"/>
        <w:jc w:val="center"/>
        <w:rPr>
          <w:b/>
          <w:bCs/>
        </w:rPr>
      </w:pPr>
      <w:r w:rsidRPr="005A0F80">
        <w:rPr>
          <w:b/>
          <w:bCs/>
        </w:rPr>
        <w:lastRenderedPageBreak/>
        <w:t xml:space="preserve">Appendix A – </w:t>
      </w:r>
      <w:proofErr w:type="spellStart"/>
      <w:r w:rsidRPr="005A0F80">
        <w:rPr>
          <w:b/>
          <w:bCs/>
        </w:rPr>
        <w:t>eTariff</w:t>
      </w:r>
      <w:proofErr w:type="spellEnd"/>
      <w:r w:rsidRPr="005A0F80">
        <w:rPr>
          <w:b/>
          <w:bCs/>
        </w:rPr>
        <w:t xml:space="preserve"> Records</w:t>
      </w:r>
    </w:p>
    <w:p w14:paraId="6767862F" w14:textId="77777777" w:rsidR="00E76ADA" w:rsidRPr="000D6DF3" w:rsidRDefault="00E76ADA" w:rsidP="00E76ADA">
      <w:pPr>
        <w:widowControl/>
        <w:autoSpaceDE w:val="0"/>
        <w:autoSpaceDN w:val="0"/>
        <w:adjustRightInd w:val="0"/>
        <w:spacing w:line="252" w:lineRule="auto"/>
        <w:ind w:left="720"/>
        <w:rPr>
          <w:rFonts w:eastAsia="Times New Roman"/>
          <w:szCs w:val="26"/>
          <w14:ligatures w14:val="standardContextual"/>
        </w:rPr>
      </w:pPr>
      <w:r w:rsidRPr="000D6DF3">
        <w:rPr>
          <w:rFonts w:eastAsia="Times New Roman"/>
          <w:szCs w:val="26"/>
          <w14:ligatures w14:val="standardContextual"/>
        </w:rPr>
        <w:t xml:space="preserve">Duke Energy Carolinas, LLC, Tariffs, Rate Schedules and Service Agreements, </w:t>
      </w:r>
      <w:hyperlink r:id="rId12" w:history="1">
        <w:r w:rsidRPr="000D6DF3">
          <w:rPr>
            <w:rFonts w:eastAsia="Times New Roman"/>
            <w:color w:val="0563C1"/>
            <w:szCs w:val="26"/>
            <w:u w:val="single"/>
            <w14:ligatures w14:val="standardContextual"/>
          </w:rPr>
          <w:t>Attachment F-2, Service Agreement for NITS (DEC Zone) (8.0.0)</w:t>
        </w:r>
      </w:hyperlink>
      <w:r w:rsidRPr="000D6DF3">
        <w:rPr>
          <w:rFonts w:eastAsia="Times New Roman"/>
          <w:szCs w:val="26"/>
          <w14:ligatures w14:val="standardContextual"/>
        </w:rPr>
        <w:t xml:space="preserve">. </w:t>
      </w:r>
    </w:p>
    <w:p w14:paraId="0993B3CF" w14:textId="77777777" w:rsidR="004E0567" w:rsidRDefault="004E0567" w:rsidP="00E76ADA">
      <w:pPr>
        <w:pStyle w:val="FootnoteText"/>
        <w:ind w:left="720" w:firstLine="0"/>
        <w:jc w:val="center"/>
        <w:rPr>
          <w:b/>
          <w:bCs/>
        </w:rPr>
        <w:sectPr w:rsidR="004E0567" w:rsidSect="00704918">
          <w:headerReference w:type="even" r:id="rId13"/>
          <w:headerReference w:type="default" r:id="rId14"/>
          <w:headerReference w:type="first" r:id="rId15"/>
          <w:pgSz w:w="12240" w:h="15840"/>
          <w:pgMar w:top="1440" w:right="1440" w:bottom="1440" w:left="1440" w:header="720" w:footer="720" w:gutter="0"/>
          <w:pgNumType w:fmt="numberInDash" w:start="1"/>
          <w:cols w:space="720"/>
          <w:titlePg/>
          <w:docGrid w:linePitch="360"/>
        </w:sectPr>
      </w:pPr>
    </w:p>
    <w:p w14:paraId="0265D3E9" w14:textId="77777777" w:rsidR="004E0567" w:rsidRPr="00C02A04" w:rsidRDefault="004E0567" w:rsidP="00C02A04">
      <w:pPr>
        <w:jc w:val="center"/>
      </w:pPr>
      <w:r w:rsidRPr="00C02A04">
        <w:lastRenderedPageBreak/>
        <w:t>UNITED STATES OF AMERICA</w:t>
      </w:r>
    </w:p>
    <w:p w14:paraId="177F3E9B" w14:textId="77777777" w:rsidR="004E0567" w:rsidRPr="00C02A04" w:rsidRDefault="004E0567" w:rsidP="00C02A04">
      <w:pPr>
        <w:jc w:val="center"/>
      </w:pPr>
      <w:r w:rsidRPr="00C02A04">
        <w:t>FEDERAL ENERGY REGULATORY COMMISSION</w:t>
      </w:r>
    </w:p>
    <w:p w14:paraId="07917331" w14:textId="77777777" w:rsidR="004E0567" w:rsidRPr="00C02A04" w:rsidRDefault="004E0567" w:rsidP="00C02A0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31"/>
        <w:gridCol w:w="1535"/>
        <w:gridCol w:w="1894"/>
      </w:tblGrid>
      <w:tr w:rsidR="004E0567" w:rsidRPr="00C02A04" w14:paraId="1B59F11F" w14:textId="77777777" w:rsidTr="0041059A">
        <w:tc>
          <w:tcPr>
            <w:tcW w:w="6088" w:type="dxa"/>
          </w:tcPr>
          <w:p w14:paraId="71FCCFBA" w14:textId="77777777" w:rsidR="004E0567" w:rsidRPr="00C02A04" w:rsidRDefault="004E0567" w:rsidP="00C02A04">
            <w:pPr>
              <w:rPr>
                <w:rFonts w:eastAsiaTheme="minorHAnsi"/>
                <w:szCs w:val="22"/>
              </w:rPr>
            </w:pPr>
            <w:r w:rsidRPr="00B84FED">
              <w:rPr>
                <w:rFonts w:eastAsiaTheme="minorHAnsi"/>
                <w:szCs w:val="22"/>
              </w:rPr>
              <w:t>Duke Energy Carolinas, LLC</w:t>
            </w:r>
          </w:p>
        </w:tc>
        <w:tc>
          <w:tcPr>
            <w:tcW w:w="1560" w:type="dxa"/>
          </w:tcPr>
          <w:p w14:paraId="0ABA03DE" w14:textId="77777777" w:rsidR="004E0567" w:rsidRPr="00C02A04" w:rsidRDefault="004E0567" w:rsidP="0041059A">
            <w:pPr>
              <w:jc w:val="right"/>
              <w:rPr>
                <w:rFonts w:eastAsiaTheme="minorHAnsi"/>
                <w:szCs w:val="22"/>
              </w:rPr>
            </w:pPr>
            <w:r>
              <w:rPr>
                <w:rFonts w:eastAsiaTheme="minorHAnsi"/>
                <w:szCs w:val="22"/>
              </w:rPr>
              <w:t>Docket No.</w:t>
            </w:r>
          </w:p>
        </w:tc>
        <w:tc>
          <w:tcPr>
            <w:tcW w:w="1928" w:type="dxa"/>
            <w:tcMar>
              <w:left w:w="144" w:type="dxa"/>
            </w:tcMar>
          </w:tcPr>
          <w:p w14:paraId="1D330157" w14:textId="77777777" w:rsidR="004E0567" w:rsidRPr="00812223" w:rsidRDefault="004E0567" w:rsidP="00812223">
            <w:pPr>
              <w:rPr>
                <w:rFonts w:eastAsiaTheme="minorHAnsi"/>
                <w:szCs w:val="22"/>
              </w:rPr>
            </w:pPr>
            <w:r w:rsidRPr="00812223">
              <w:rPr>
                <w:rFonts w:eastAsiaTheme="minorHAnsi"/>
                <w:szCs w:val="22"/>
              </w:rPr>
              <w:t>ER26-2691-000</w:t>
            </w:r>
          </w:p>
          <w:p w14:paraId="48C72818" w14:textId="77777777" w:rsidR="004E0567" w:rsidRPr="00C02A04" w:rsidRDefault="004E0567" w:rsidP="00812223">
            <w:pPr>
              <w:rPr>
                <w:rFonts w:eastAsiaTheme="minorHAnsi"/>
                <w:szCs w:val="22"/>
              </w:rPr>
            </w:pPr>
            <w:r w:rsidRPr="00812223">
              <w:rPr>
                <w:rFonts w:eastAsiaTheme="minorHAnsi"/>
                <w:szCs w:val="22"/>
              </w:rPr>
              <w:t>ER26-2691-001</w:t>
            </w:r>
          </w:p>
        </w:tc>
      </w:tr>
    </w:tbl>
    <w:p w14:paraId="6483E1EA" w14:textId="77777777" w:rsidR="004E0567" w:rsidRPr="00C02A04" w:rsidRDefault="004E0567" w:rsidP="00C02A04"/>
    <w:p w14:paraId="327EBBEE" w14:textId="77777777" w:rsidR="004E0567" w:rsidRPr="00C02A04" w:rsidRDefault="004E0567" w:rsidP="00C02A04"/>
    <w:p w14:paraId="42FC5ED8" w14:textId="77777777" w:rsidR="00972FF0" w:rsidRPr="00972FF0" w:rsidRDefault="00972FF0" w:rsidP="00972FF0">
      <w:pPr>
        <w:widowControl/>
        <w:jc w:val="center"/>
      </w:pPr>
      <w:r w:rsidRPr="00972FF0">
        <w:t>(</w:t>
      </w:r>
      <w:r w:rsidR="004E0567" w:rsidRPr="00972FF0">
        <w:t xml:space="preserve">Issued </w:t>
      </w:r>
      <w:r w:rsidR="004E0567" w:rsidRPr="00972FF0">
        <w:fldChar w:fldCharType="begin"/>
      </w:r>
      <w:r w:rsidR="004E0567" w:rsidRPr="00972FF0">
        <w:instrText xml:space="preserve"> MACROBUTTON  AcceptAllChangesInDoc </w:instrText>
      </w:r>
      <w:r w:rsidR="004E0567" w:rsidRPr="00972FF0">
        <w:fldChar w:fldCharType="end"/>
      </w:r>
      <w:r w:rsidRPr="00972FF0">
        <w:t>October 9, 2026)</w:t>
      </w:r>
    </w:p>
    <w:p w14:paraId="66CF65F3" w14:textId="77777777" w:rsidR="004E0567" w:rsidRPr="00C02A04" w:rsidRDefault="004E0567" w:rsidP="00C02A04">
      <w:pPr>
        <w:rPr>
          <w:bCs/>
        </w:rPr>
      </w:pPr>
    </w:p>
    <w:p w14:paraId="3D87012E" w14:textId="77777777" w:rsidR="004E0567" w:rsidRPr="00C02A04" w:rsidRDefault="004E0567" w:rsidP="00C02A04">
      <w:pPr>
        <w:rPr>
          <w:bCs/>
        </w:rPr>
      </w:pPr>
      <w:bookmarkStart w:id="1" w:name="Commissioner"/>
      <w:bookmarkEnd w:id="1"/>
      <w:r>
        <w:rPr>
          <w:bCs/>
        </w:rPr>
        <w:t xml:space="preserve">ROSNER, Commissioner, </w:t>
      </w:r>
      <w:r>
        <w:rPr>
          <w:bCs/>
          <w:i/>
        </w:rPr>
        <w:t>concurring</w:t>
      </w:r>
      <w:r>
        <w:rPr>
          <w:bCs/>
        </w:rPr>
        <w:t>:</w:t>
      </w:r>
      <w:r w:rsidRPr="00C02A04">
        <w:rPr>
          <w:bCs/>
        </w:rPr>
        <w:t xml:space="preserve"> </w:t>
      </w:r>
      <w:bookmarkStart w:id="2" w:name="Action1"/>
      <w:bookmarkEnd w:id="2"/>
    </w:p>
    <w:p w14:paraId="7F451CBF" w14:textId="77777777" w:rsidR="004E0567" w:rsidRPr="00C02A04" w:rsidRDefault="004E0567" w:rsidP="00C02A04">
      <w:pPr>
        <w:rPr>
          <w:bCs/>
        </w:rPr>
      </w:pPr>
    </w:p>
    <w:p w14:paraId="196CBFD4" w14:textId="77777777" w:rsidR="004E0567" w:rsidRDefault="004E0567" w:rsidP="00972FF0">
      <w:pPr>
        <w:pStyle w:val="FERCparanumber"/>
        <w:numPr>
          <w:ilvl w:val="0"/>
          <w:numId w:val="28"/>
        </w:numPr>
      </w:pPr>
      <w:r w:rsidRPr="00BC3CB0">
        <w:t xml:space="preserve">I concur </w:t>
      </w:r>
      <w:proofErr w:type="gramStart"/>
      <w:r w:rsidRPr="00BC3CB0">
        <w:t>in</w:t>
      </w:r>
      <w:proofErr w:type="gramEnd"/>
      <w:r w:rsidRPr="00BC3CB0">
        <w:t xml:space="preserve"> today’s </w:t>
      </w:r>
      <w:proofErr w:type="gramStart"/>
      <w:r w:rsidRPr="00BC3CB0">
        <w:t>order</w:t>
      </w:r>
      <w:proofErr w:type="gramEnd"/>
      <w:r w:rsidRPr="00BC3CB0">
        <w:t xml:space="preserve"> </w:t>
      </w:r>
      <w:r>
        <w:t xml:space="preserve">and I write separately to highlight two truths.  </w:t>
      </w:r>
    </w:p>
    <w:p w14:paraId="7C07E5FA" w14:textId="77777777" w:rsidR="004E0567" w:rsidRDefault="004E0567" w:rsidP="00BC3CB0">
      <w:pPr>
        <w:pStyle w:val="FERCparanumber"/>
      </w:pPr>
      <w:r>
        <w:t xml:space="preserve">First, Duke’s existing tariff includes zero protections safeguarding residential consumers and small businesses from bearing the costs of transmission for new large loads such as data centers.  Duke’s proposal offers meaningful, if imperfect, new </w:t>
      </w:r>
      <w:proofErr w:type="gramStart"/>
      <w:r>
        <w:t>protections</w:t>
      </w:r>
      <w:proofErr w:type="gramEnd"/>
      <w:r>
        <w:t xml:space="preserve">, and for that reason the Commission is right to accept it.  Given the pace of data center development, we cannot afford to tinker with and reject iterative FPA section 205 filings for months or years while regular people remain unprotected.  </w:t>
      </w:r>
    </w:p>
    <w:p w14:paraId="560EB057" w14:textId="77777777" w:rsidR="004E0567" w:rsidRDefault="004E0567" w:rsidP="00F60FAA">
      <w:pPr>
        <w:numPr>
          <w:ilvl w:val="0"/>
          <w:numId w:val="11"/>
        </w:numPr>
      </w:pPr>
      <w:r>
        <w:t>Second, this filing highlights a broader problem: consumer protections are inadequate across the country.  The risks that remain under the filing we accept today make clear that there is more work to do.  To the extent state regulatory actions are not sufficient to protect consumers, the Commission has an obligation to seriously consider expanding the cost recovery framework it established in the Large Load Show Cause Orders.</w:t>
      </w:r>
      <w:r>
        <w:rPr>
          <w:rStyle w:val="FootnoteReference"/>
        </w:rPr>
        <w:footnoteReference w:id="151"/>
      </w:r>
      <w:r>
        <w:t xml:space="preserve">  </w:t>
      </w:r>
      <w:r w:rsidRPr="00114F7E">
        <w:t>The Department of Energy</w:t>
      </w:r>
      <w:r>
        <w:t>’</w:t>
      </w:r>
      <w:r w:rsidRPr="00114F7E">
        <w:t>s ANOPR remains pending and provides an opportunity to consider a more uniform approach.</w:t>
      </w:r>
      <w:r>
        <w:rPr>
          <w:rStyle w:val="FootnoteReference"/>
        </w:rPr>
        <w:footnoteReference w:id="152"/>
      </w:r>
      <w:r w:rsidRPr="00114F7E">
        <w:t xml:space="preserve"> </w:t>
      </w:r>
      <w:r>
        <w:t xml:space="preserve"> </w:t>
      </w:r>
      <w:r w:rsidRPr="00114F7E">
        <w:t xml:space="preserve">And, as always, if the Commission initiates a proceeding under </w:t>
      </w:r>
      <w:r>
        <w:t xml:space="preserve">FPA </w:t>
      </w:r>
      <w:r w:rsidRPr="00114F7E">
        <w:t xml:space="preserve">section 206, </w:t>
      </w:r>
      <w:r>
        <w:t>the Commission will</w:t>
      </w:r>
      <w:r w:rsidRPr="00114F7E">
        <w:t xml:space="preserve"> correct </w:t>
      </w:r>
      <w:r>
        <w:t>any currently effective</w:t>
      </w:r>
      <w:r w:rsidRPr="00114F7E">
        <w:t xml:space="preserve"> rates </w:t>
      </w:r>
      <w:r>
        <w:t>that it finds no longer just and reasonable</w:t>
      </w:r>
      <w:r w:rsidRPr="00114F7E">
        <w:t xml:space="preserve">. </w:t>
      </w:r>
      <w:r>
        <w:t xml:space="preserve"> In the meantime, we must put initial safeguards in place without delay. </w:t>
      </w:r>
    </w:p>
    <w:p w14:paraId="0C8FD1A6" w14:textId="77777777" w:rsidR="004E0567" w:rsidRDefault="004E0567" w:rsidP="0041059A">
      <w:r>
        <w:br/>
      </w:r>
      <w:bookmarkStart w:id="3" w:name="Action2"/>
      <w:bookmarkEnd w:id="3"/>
      <w:r>
        <w:t>For these reasons, I respectfully concur.</w:t>
      </w:r>
    </w:p>
    <w:p w14:paraId="046A9132" w14:textId="77777777" w:rsidR="004E0567" w:rsidRDefault="004E0567" w:rsidP="0041059A">
      <w:r>
        <w:t>________________________</w:t>
      </w:r>
    </w:p>
    <w:p w14:paraId="0750CE02" w14:textId="77777777" w:rsidR="004E0567" w:rsidRDefault="004E0567" w:rsidP="0041059A">
      <w:r>
        <w:t>David Rosner</w:t>
      </w:r>
    </w:p>
    <w:p w14:paraId="41FBE7F6" w14:textId="77777777" w:rsidR="00972FF0" w:rsidRDefault="004E0567" w:rsidP="00972FF0">
      <w:pPr>
        <w:sectPr w:rsidR="00972FF0" w:rsidSect="00704918">
          <w:footnotePr>
            <w:numRestart w:val="eachSect"/>
          </w:footnotePr>
          <w:pgSz w:w="12240" w:h="15840"/>
          <w:pgMar w:top="1440" w:right="1440" w:bottom="1440" w:left="1440" w:header="720" w:footer="720" w:gutter="0"/>
          <w:pgNumType w:fmt="numberInDash" w:start="1"/>
          <w:cols w:space="720"/>
          <w:titlePg/>
          <w:docGrid w:linePitch="360"/>
        </w:sectPr>
      </w:pPr>
      <w:r>
        <w:t>Commissioner</w:t>
      </w:r>
    </w:p>
    <w:p w14:paraId="77FE9BE9" w14:textId="77777777" w:rsidR="00972FF0" w:rsidRPr="00C02A04" w:rsidRDefault="00972FF0" w:rsidP="00C02A04">
      <w:pPr>
        <w:jc w:val="center"/>
      </w:pPr>
      <w:r w:rsidRPr="00C02A04">
        <w:lastRenderedPageBreak/>
        <w:t>UNITED STATES OF AMERICA</w:t>
      </w:r>
    </w:p>
    <w:p w14:paraId="7DB027C9" w14:textId="77777777" w:rsidR="00972FF0" w:rsidRPr="00C02A04" w:rsidRDefault="00972FF0" w:rsidP="00C02A04">
      <w:pPr>
        <w:jc w:val="center"/>
      </w:pPr>
      <w:r w:rsidRPr="00C02A04">
        <w:t>FEDERAL ENERGY REGULATORY COMMISSION</w:t>
      </w:r>
    </w:p>
    <w:p w14:paraId="69F34AD2" w14:textId="77777777" w:rsidR="00972FF0" w:rsidRPr="00C02A04" w:rsidRDefault="00972FF0" w:rsidP="00C02A0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31"/>
        <w:gridCol w:w="1535"/>
        <w:gridCol w:w="1894"/>
      </w:tblGrid>
      <w:tr w:rsidR="00972FF0" w:rsidRPr="00C02A04" w14:paraId="53AA7665" w14:textId="77777777" w:rsidTr="003475DE">
        <w:tc>
          <w:tcPr>
            <w:tcW w:w="6088" w:type="dxa"/>
          </w:tcPr>
          <w:p w14:paraId="358A3D6C" w14:textId="77777777" w:rsidR="00972FF0" w:rsidRPr="00C02A04" w:rsidRDefault="00972FF0" w:rsidP="00C02A04">
            <w:pPr>
              <w:rPr>
                <w:rFonts w:eastAsiaTheme="minorHAnsi"/>
                <w:szCs w:val="22"/>
              </w:rPr>
            </w:pPr>
            <w:r w:rsidRPr="00C60FEE">
              <w:rPr>
                <w:rFonts w:eastAsiaTheme="minorHAnsi"/>
                <w:szCs w:val="22"/>
              </w:rPr>
              <w:t>Duke Energy Carolinas, LLC</w:t>
            </w:r>
          </w:p>
        </w:tc>
        <w:tc>
          <w:tcPr>
            <w:tcW w:w="1560" w:type="dxa"/>
          </w:tcPr>
          <w:p w14:paraId="136317A0" w14:textId="77777777" w:rsidR="00972FF0" w:rsidRPr="00C02A04" w:rsidRDefault="00972FF0" w:rsidP="003475DE">
            <w:pPr>
              <w:jc w:val="right"/>
              <w:rPr>
                <w:rFonts w:eastAsiaTheme="minorHAnsi"/>
                <w:szCs w:val="22"/>
              </w:rPr>
            </w:pPr>
            <w:r>
              <w:rPr>
                <w:rFonts w:eastAsiaTheme="minorHAnsi"/>
                <w:szCs w:val="22"/>
              </w:rPr>
              <w:t>Docket No.</w:t>
            </w:r>
          </w:p>
        </w:tc>
        <w:tc>
          <w:tcPr>
            <w:tcW w:w="1928" w:type="dxa"/>
            <w:tcMar>
              <w:left w:w="144" w:type="dxa"/>
            </w:tcMar>
          </w:tcPr>
          <w:p w14:paraId="5B8E223A" w14:textId="77777777" w:rsidR="00972FF0" w:rsidRPr="00B55242" w:rsidRDefault="00972FF0" w:rsidP="00B55242">
            <w:pPr>
              <w:rPr>
                <w:rFonts w:eastAsiaTheme="minorHAnsi"/>
                <w:szCs w:val="22"/>
              </w:rPr>
            </w:pPr>
            <w:r w:rsidRPr="00B55242">
              <w:rPr>
                <w:rFonts w:eastAsiaTheme="minorHAnsi"/>
                <w:szCs w:val="22"/>
              </w:rPr>
              <w:t>ER26-2691-000</w:t>
            </w:r>
          </w:p>
          <w:p w14:paraId="76C3E162" w14:textId="77777777" w:rsidR="00972FF0" w:rsidRPr="00C02A04" w:rsidRDefault="00972FF0" w:rsidP="00B55242">
            <w:pPr>
              <w:rPr>
                <w:rFonts w:eastAsiaTheme="minorHAnsi"/>
                <w:szCs w:val="22"/>
              </w:rPr>
            </w:pPr>
            <w:r w:rsidRPr="00B55242">
              <w:rPr>
                <w:rFonts w:eastAsiaTheme="minorHAnsi"/>
                <w:szCs w:val="22"/>
              </w:rPr>
              <w:t>ER26-2691-001</w:t>
            </w:r>
          </w:p>
        </w:tc>
      </w:tr>
    </w:tbl>
    <w:p w14:paraId="4D8CDC07" w14:textId="77777777" w:rsidR="00972FF0" w:rsidRPr="00C02A04" w:rsidRDefault="00972FF0" w:rsidP="00C02A04"/>
    <w:p w14:paraId="2FE1E27E" w14:textId="77777777" w:rsidR="00972FF0" w:rsidRPr="00C02A04" w:rsidRDefault="00972FF0" w:rsidP="00C02A04"/>
    <w:p w14:paraId="07BACF79" w14:textId="77777777" w:rsidR="00972FF0" w:rsidRDefault="00972FF0" w:rsidP="00972FF0">
      <w:pPr>
        <w:widowControl/>
        <w:jc w:val="center"/>
      </w:pPr>
      <w:r w:rsidRPr="00972FF0">
        <w:t>(Issued October 9, 2026)</w:t>
      </w:r>
    </w:p>
    <w:p w14:paraId="24B60450" w14:textId="77777777" w:rsidR="00972FF0" w:rsidRPr="00907325" w:rsidRDefault="00972FF0" w:rsidP="00907325">
      <w:pPr>
        <w:rPr>
          <w:bCs/>
        </w:rPr>
      </w:pPr>
    </w:p>
    <w:p w14:paraId="75D0431B" w14:textId="77777777" w:rsidR="00972FF0" w:rsidRPr="00907325" w:rsidRDefault="00972FF0" w:rsidP="00907325">
      <w:pPr>
        <w:rPr>
          <w:bCs/>
        </w:rPr>
      </w:pPr>
      <w:r w:rsidRPr="00907325">
        <w:rPr>
          <w:bCs/>
        </w:rPr>
        <w:t xml:space="preserve">SEE, Commissioner, </w:t>
      </w:r>
      <w:r w:rsidRPr="00907325">
        <w:rPr>
          <w:bCs/>
          <w:i/>
        </w:rPr>
        <w:t>concurring</w:t>
      </w:r>
      <w:r w:rsidRPr="00907325">
        <w:rPr>
          <w:bCs/>
        </w:rPr>
        <w:t xml:space="preserve">: </w:t>
      </w:r>
    </w:p>
    <w:p w14:paraId="51AB5F0A" w14:textId="77777777" w:rsidR="00972FF0" w:rsidRPr="00C02A04" w:rsidRDefault="00972FF0" w:rsidP="00C02A04">
      <w:pPr>
        <w:rPr>
          <w:bCs/>
        </w:rPr>
      </w:pPr>
    </w:p>
    <w:p w14:paraId="3669E2C4" w14:textId="77777777" w:rsidR="00972FF0" w:rsidRPr="00972FF0" w:rsidRDefault="00972FF0" w:rsidP="00972FF0">
      <w:pPr>
        <w:pStyle w:val="FERCparanumber"/>
        <w:numPr>
          <w:ilvl w:val="0"/>
          <w:numId w:val="29"/>
        </w:numPr>
        <w:rPr>
          <w:szCs w:val="26"/>
        </w:rPr>
      </w:pPr>
      <w:r w:rsidRPr="00972FF0">
        <w:rPr>
          <w:szCs w:val="26"/>
        </w:rPr>
        <w:t xml:space="preserve">Today’s order involves one of the most pressing cost allocation issues we face: how to ensure large load pays its way and that residential and small business customers aren’t saddled with stranded costs if those loads don’t materialize, don’t take service at the expected level, or exit prematurely.  I concur in today’s order because the safeguards Duke Energy Carolinas, LLC (DEC) memorializes in its </w:t>
      </w:r>
      <w:r w:rsidRPr="00972FF0">
        <w:rPr>
          <w:i/>
          <w:iCs/>
          <w:szCs w:val="26"/>
        </w:rPr>
        <w:t>pro forma</w:t>
      </w:r>
      <w:r w:rsidRPr="00972FF0">
        <w:rPr>
          <w:szCs w:val="26"/>
        </w:rPr>
        <w:t xml:space="preserve"> Network Integration Transmission Service Agreement fall within the range of just and reasonable.  Though not perfect, they will help protect existing customers from the impacts of large loads—and they are better than the status quo’s alternative that leaves those customers wholly exposed.  I write separately to urge DEC to continue looking out for existing customers’ interests as it applies (and potentially further modifies) this policy in the months and years ahead.</w:t>
      </w:r>
    </w:p>
    <w:p w14:paraId="172D54C5" w14:textId="77777777" w:rsidR="00972FF0" w:rsidRPr="004D23AC" w:rsidRDefault="00972FF0" w:rsidP="00A068CD">
      <w:pPr>
        <w:pStyle w:val="FERCparanumber"/>
        <w:rPr>
          <w:szCs w:val="26"/>
        </w:rPr>
      </w:pPr>
      <w:r w:rsidRPr="004D23AC">
        <w:rPr>
          <w:szCs w:val="26"/>
        </w:rPr>
        <w:t xml:space="preserve">The electric industry is </w:t>
      </w:r>
      <w:proofErr w:type="gramStart"/>
      <w:r w:rsidRPr="004D23AC">
        <w:rPr>
          <w:szCs w:val="26"/>
        </w:rPr>
        <w:t>in the midst of</w:t>
      </w:r>
      <w:proofErr w:type="gramEnd"/>
      <w:r w:rsidRPr="004D23AC">
        <w:rPr>
          <w:szCs w:val="26"/>
        </w:rPr>
        <w:t xml:space="preserve"> transformative change, and our regulatory framework must keep pace.  Meeting growing demand, including from large loads, requires substantial investment in the grid.  But as we build the infrastructure needed to serve growing demand, we must ensure that the customers driving new costs bear appropriate responsibility for them.  </w:t>
      </w:r>
    </w:p>
    <w:p w14:paraId="4119BBB2" w14:textId="77777777" w:rsidR="00972FF0" w:rsidRPr="004D23AC" w:rsidRDefault="00972FF0" w:rsidP="00A068CD">
      <w:pPr>
        <w:pStyle w:val="FERCparanumber"/>
        <w:rPr>
          <w:szCs w:val="26"/>
        </w:rPr>
      </w:pPr>
      <w:r w:rsidRPr="004D23AC">
        <w:rPr>
          <w:szCs w:val="26"/>
        </w:rPr>
        <w:t xml:space="preserve">Long-familiar transmission pricing policies, including rolled-in rates, may be a viable tool to help achieve that goal by requiring large loads to pay for a significant share of system upgrades.  They do not, however, address what happens when anticipated demand from large loads fails to materialize or grows more slowly than expected.  </w:t>
      </w:r>
      <w:proofErr w:type="gramStart"/>
      <w:r w:rsidRPr="004D23AC">
        <w:rPr>
          <w:szCs w:val="26"/>
        </w:rPr>
        <w:t>So</w:t>
      </w:r>
      <w:proofErr w:type="gramEnd"/>
      <w:r w:rsidRPr="004D23AC">
        <w:rPr>
          <w:szCs w:val="26"/>
        </w:rPr>
        <w:t xml:space="preserve"> we need strong and tailored protections to ensure that existing ratepayers are not left paying for investments built for someone else.</w:t>
      </w:r>
    </w:p>
    <w:p w14:paraId="13426300" w14:textId="77777777" w:rsidR="00972FF0" w:rsidRPr="004D23AC" w:rsidRDefault="00972FF0" w:rsidP="00352E19">
      <w:pPr>
        <w:pStyle w:val="FERCparanumber"/>
        <w:rPr>
          <w:szCs w:val="26"/>
        </w:rPr>
      </w:pPr>
      <w:r w:rsidRPr="004D23AC">
        <w:rPr>
          <w:szCs w:val="26"/>
        </w:rPr>
        <w:t xml:space="preserve">DEC’s proposal helps address that risk: the Committed Revenue Contribution mechanism will ensure that </w:t>
      </w:r>
      <w:r w:rsidRPr="004D23AC">
        <w:rPr>
          <w:rFonts w:eastAsia="Times New Roman"/>
          <w:color w:val="000000"/>
          <w:szCs w:val="26"/>
          <w:shd w:val="clear" w:color="auto" w:fill="FFFFFF"/>
        </w:rPr>
        <w:t>the transmission customer serving large loads pays for at least 75% of the planned load amount for 15 years, even if the actual load ends up being lower</w:t>
      </w:r>
      <w:r w:rsidRPr="004D23AC">
        <w:rPr>
          <w:szCs w:val="26"/>
        </w:rPr>
        <w:t>.</w:t>
      </w:r>
      <w:r w:rsidRPr="004D23AC">
        <w:rPr>
          <w:rStyle w:val="FootnoteReference"/>
          <w:szCs w:val="26"/>
        </w:rPr>
        <w:footnoteReference w:id="153"/>
      </w:r>
      <w:r w:rsidRPr="004D23AC">
        <w:rPr>
          <w:szCs w:val="26"/>
        </w:rPr>
        <w:t xml:space="preserve">  To my mind, this proposal is an incremental improvement, not a slam dunk.  For </w:t>
      </w:r>
      <w:r w:rsidRPr="004D23AC">
        <w:rPr>
          <w:szCs w:val="26"/>
        </w:rPr>
        <w:lastRenderedPageBreak/>
        <w:t xml:space="preserve">example, a Committed Revenue Contribution of </w:t>
      </w:r>
      <w:r w:rsidRPr="004D23AC">
        <w:rPr>
          <w:rFonts w:eastAsia="Times New Roman"/>
          <w:szCs w:val="26"/>
        </w:rPr>
        <w:t xml:space="preserve">75% may be near the low end of what’s just and reasonable to protect other customers.  </w:t>
      </w:r>
      <w:r w:rsidRPr="004D23AC">
        <w:rPr>
          <w:szCs w:val="26"/>
        </w:rPr>
        <w:t>DEC</w:t>
      </w:r>
      <w:r w:rsidRPr="004D23AC">
        <w:rPr>
          <w:rFonts w:eastAsia="Times New Roman"/>
          <w:szCs w:val="26"/>
        </w:rPr>
        <w:t xml:space="preserve"> also could have further strengthened its approach by requiring transmission customers serving large loads to back up their payment obligations with financial security </w:t>
      </w:r>
      <w:proofErr w:type="gramStart"/>
      <w:r w:rsidRPr="004D23AC">
        <w:rPr>
          <w:rFonts w:eastAsia="Times New Roman"/>
          <w:szCs w:val="26"/>
        </w:rPr>
        <w:t>at</w:t>
      </w:r>
      <w:proofErr w:type="gramEnd"/>
      <w:r w:rsidRPr="004D23AC">
        <w:rPr>
          <w:rFonts w:eastAsia="Times New Roman"/>
          <w:szCs w:val="26"/>
        </w:rPr>
        <w:t xml:space="preserve"> a large load-worthy scale.  That additional step would ensure that if the transmission customer serving large loads goes bankrupt, other ratepayers will not be stuck paying for grid upgrades they did not cause.</w:t>
      </w:r>
    </w:p>
    <w:p w14:paraId="74DCA77A" w14:textId="77777777" w:rsidR="00972FF0" w:rsidRPr="004D23AC" w:rsidRDefault="00972FF0" w:rsidP="003E5B16">
      <w:pPr>
        <w:pStyle w:val="FERCparanumber"/>
        <w:rPr>
          <w:rFonts w:eastAsia="Times New Roman"/>
          <w:szCs w:val="26"/>
        </w:rPr>
      </w:pPr>
      <w:r w:rsidRPr="004D23AC">
        <w:rPr>
          <w:rFonts w:eastAsia="Times New Roman"/>
          <w:szCs w:val="26"/>
        </w:rPr>
        <w:t xml:space="preserve">But here is where our standard of review matters.  </w:t>
      </w:r>
      <w:r w:rsidRPr="004D23AC">
        <w:rPr>
          <w:szCs w:val="26"/>
        </w:rPr>
        <w:t xml:space="preserve">To date, the Commission has taken up questions like these in the context of </w:t>
      </w:r>
      <w:r w:rsidRPr="004D23AC">
        <w:rPr>
          <w:i/>
          <w:iCs/>
          <w:szCs w:val="26"/>
        </w:rPr>
        <w:t>Mobile-Sierra</w:t>
      </w:r>
      <w:r w:rsidRPr="004D23AC">
        <w:rPr>
          <w:i/>
          <w:szCs w:val="26"/>
        </w:rPr>
        <w:t xml:space="preserve"> </w:t>
      </w:r>
      <w:r w:rsidRPr="004D23AC">
        <w:rPr>
          <w:szCs w:val="26"/>
        </w:rPr>
        <w:t>protected agreements, where we presume they pass legal muster absent evidence they “seriously harm the public interest.”</w:t>
      </w:r>
      <w:r w:rsidRPr="004D23AC">
        <w:rPr>
          <w:rStyle w:val="FootnoteReference"/>
          <w:szCs w:val="26"/>
        </w:rPr>
        <w:footnoteReference w:id="154"/>
      </w:r>
      <w:r w:rsidRPr="004D23AC">
        <w:rPr>
          <w:szCs w:val="26"/>
        </w:rPr>
        <w:t xml:space="preserve">  DEC’s proposal for today came to us under FPA section 205—which allows more searching review, but still keeps the Commission statutor</w:t>
      </w:r>
      <w:r w:rsidRPr="002F6CD7">
        <w:rPr>
          <w:szCs w:val="26"/>
        </w:rPr>
        <w:t>il</w:t>
      </w:r>
      <w:r w:rsidRPr="004D23AC">
        <w:rPr>
          <w:szCs w:val="26"/>
        </w:rPr>
        <w:t>y bound to a reactive role in assessing if DEC hit the just-and-reasonable zone.</w:t>
      </w:r>
      <w:r w:rsidRPr="004D23AC">
        <w:rPr>
          <w:rStyle w:val="FootnoteReference"/>
          <w:rFonts w:eastAsia="Times New Roman"/>
          <w:szCs w:val="26"/>
        </w:rPr>
        <w:footnoteReference w:id="155"/>
      </w:r>
      <w:r w:rsidRPr="004D23AC">
        <w:rPr>
          <w:szCs w:val="26"/>
        </w:rPr>
        <w:t xml:space="preserve">  And in that section 205 posture, I believe DEC satisfied the statutory standard with its improvement over the status quo and its 75 percent-floor, 15-year assurances.  (To be clear, incremental gains may not be enough in a section 206 posture where the Commission affirmatively sets a replacement rate</w:t>
      </w:r>
      <w:r w:rsidRPr="004D23AC">
        <w:rPr>
          <w:rFonts w:eastAsia="Times New Roman"/>
          <w:szCs w:val="26"/>
        </w:rPr>
        <w:t xml:space="preserve">.  </w:t>
      </w:r>
      <w:proofErr w:type="gramStart"/>
      <w:r w:rsidRPr="004D23AC">
        <w:rPr>
          <w:rFonts w:eastAsia="Times New Roman"/>
          <w:szCs w:val="26"/>
        </w:rPr>
        <w:t>So</w:t>
      </w:r>
      <w:proofErr w:type="gramEnd"/>
      <w:r w:rsidRPr="004D23AC">
        <w:rPr>
          <w:rFonts w:eastAsia="Times New Roman"/>
          <w:szCs w:val="26"/>
        </w:rPr>
        <w:t xml:space="preserve"> today’s decision in no way prejudges acceptable outcomes in the June 2026 Large Load Show Cause Order proceedings.</w:t>
      </w:r>
      <w:r w:rsidRPr="004D23AC">
        <w:rPr>
          <w:rStyle w:val="FootnoteReference"/>
          <w:rFonts w:eastAsia="Times New Roman"/>
          <w:szCs w:val="26"/>
        </w:rPr>
        <w:footnoteReference w:id="156"/>
      </w:r>
      <w:r w:rsidRPr="004D23AC">
        <w:rPr>
          <w:rFonts w:eastAsia="Times New Roman"/>
          <w:szCs w:val="26"/>
        </w:rPr>
        <w:t xml:space="preserve">)  </w:t>
      </w:r>
    </w:p>
    <w:p w14:paraId="5011E12A" w14:textId="77777777" w:rsidR="00972FF0" w:rsidRPr="004D23AC" w:rsidRDefault="00972FF0" w:rsidP="00004C5C">
      <w:pPr>
        <w:pStyle w:val="FERCparanumber"/>
        <w:rPr>
          <w:szCs w:val="26"/>
        </w:rPr>
      </w:pPr>
      <w:r w:rsidRPr="004D23AC">
        <w:rPr>
          <w:rFonts w:eastAsia="Times New Roman"/>
          <w:szCs w:val="26"/>
        </w:rPr>
        <w:t xml:space="preserve">Implicit in recognizing a zone of potential solutions is the idea that no one-size-fits-all answer likely exists when it comes to the “right” customer protection measures.  Even so, just and reasonable rates require a meaningful commitment from the large load </w:t>
      </w:r>
      <w:proofErr w:type="gramStart"/>
      <w:r w:rsidRPr="004D23AC">
        <w:rPr>
          <w:rFonts w:eastAsia="Times New Roman"/>
          <w:szCs w:val="26"/>
        </w:rPr>
        <w:t>customer</w:t>
      </w:r>
      <w:proofErr w:type="gramEnd"/>
      <w:r w:rsidRPr="004D23AC">
        <w:rPr>
          <w:rFonts w:eastAsia="Times New Roman"/>
          <w:szCs w:val="26"/>
        </w:rPr>
        <w:t xml:space="preserve"> (often through the transmission </w:t>
      </w:r>
      <w:proofErr w:type="gramStart"/>
      <w:r w:rsidRPr="004D23AC">
        <w:rPr>
          <w:rFonts w:eastAsia="Times New Roman"/>
          <w:szCs w:val="26"/>
        </w:rPr>
        <w:t>customer</w:t>
      </w:r>
      <w:proofErr w:type="gramEnd"/>
      <w:r w:rsidRPr="004D23AC">
        <w:rPr>
          <w:rFonts w:eastAsia="Times New Roman"/>
          <w:szCs w:val="26"/>
        </w:rPr>
        <w:t xml:space="preserve"> serving them) to mitigate stranded asset risks.  And though today’s proposal does that, there’s more </w:t>
      </w:r>
      <w:r w:rsidRPr="004D23AC">
        <w:rPr>
          <w:szCs w:val="26"/>
        </w:rPr>
        <w:t>DEC</w:t>
      </w:r>
      <w:r w:rsidRPr="004D23AC">
        <w:rPr>
          <w:rFonts w:eastAsia="Times New Roman"/>
          <w:szCs w:val="26"/>
        </w:rPr>
        <w:t xml:space="preserve"> can and should do to protect </w:t>
      </w:r>
      <w:proofErr w:type="gramStart"/>
      <w:r w:rsidRPr="004D23AC">
        <w:rPr>
          <w:rFonts w:eastAsia="Times New Roman"/>
          <w:szCs w:val="26"/>
        </w:rPr>
        <w:t>all of</w:t>
      </w:r>
      <w:proofErr w:type="gramEnd"/>
      <w:r w:rsidRPr="004D23AC">
        <w:rPr>
          <w:rFonts w:eastAsia="Times New Roman"/>
          <w:szCs w:val="26"/>
        </w:rPr>
        <w:t xml:space="preserve"> its customers as it applies the new policy case-by-case. </w:t>
      </w:r>
    </w:p>
    <w:p w14:paraId="58F7ED2F" w14:textId="77777777" w:rsidR="00972FF0" w:rsidRPr="004D23AC" w:rsidRDefault="00972FF0" w:rsidP="001A637D">
      <w:pPr>
        <w:pStyle w:val="FERCparanumber"/>
        <w:rPr>
          <w:szCs w:val="26"/>
        </w:rPr>
      </w:pPr>
      <w:r w:rsidRPr="004D23AC">
        <w:rPr>
          <w:szCs w:val="26"/>
        </w:rPr>
        <w:t xml:space="preserve">For one, </w:t>
      </w:r>
      <w:r w:rsidRPr="002F6CD7">
        <w:rPr>
          <w:szCs w:val="26"/>
        </w:rPr>
        <w:t>as the order recognizes,</w:t>
      </w:r>
      <w:r w:rsidRPr="004D23AC">
        <w:rPr>
          <w:szCs w:val="26"/>
        </w:rPr>
        <w:t xml:space="preserve"> DEC should </w:t>
      </w:r>
      <w:r w:rsidRPr="004D23AC">
        <w:rPr>
          <w:rFonts w:eastAsia="Times New Roman"/>
          <w:szCs w:val="26"/>
        </w:rPr>
        <w:t xml:space="preserve">avail itself of the flexibility our transmission pricing policy affords. </w:t>
      </w:r>
      <w:r w:rsidRPr="004D23AC">
        <w:rPr>
          <w:szCs w:val="26"/>
        </w:rPr>
        <w:t xml:space="preserve"> </w:t>
      </w:r>
      <w:r w:rsidRPr="004D23AC">
        <w:rPr>
          <w:rFonts w:eastAsia="Times New Roman"/>
          <w:szCs w:val="26"/>
        </w:rPr>
        <w:t xml:space="preserve">Today we accept </w:t>
      </w:r>
      <w:r w:rsidRPr="004D23AC">
        <w:rPr>
          <w:szCs w:val="26"/>
        </w:rPr>
        <w:t>DEC</w:t>
      </w:r>
      <w:r w:rsidRPr="004D23AC">
        <w:rPr>
          <w:rFonts w:eastAsia="Times New Roman"/>
          <w:szCs w:val="26"/>
        </w:rPr>
        <w:t xml:space="preserve">’s proposal to codify rolled-in rate treatment as the default for large load-driven network upgrades because it is </w:t>
      </w:r>
      <w:r w:rsidRPr="004D23AC">
        <w:rPr>
          <w:rFonts w:eastAsia="Times New Roman"/>
          <w:szCs w:val="26"/>
        </w:rPr>
        <w:lastRenderedPageBreak/>
        <w:t xml:space="preserve">consistent with our current transmission pricing policy, which gives transmission providers the option to charge either rolled-in rates or, if higher, the incremental rate.  But I urge </w:t>
      </w:r>
      <w:r w:rsidRPr="004D23AC">
        <w:rPr>
          <w:szCs w:val="26"/>
        </w:rPr>
        <w:t>DEC</w:t>
      </w:r>
      <w:r w:rsidRPr="004D23AC">
        <w:rPr>
          <w:rFonts w:eastAsia="Times New Roman"/>
          <w:szCs w:val="26"/>
        </w:rPr>
        <w:t xml:space="preserve"> to remain watchful.  A primary goal of our “higher of” policy is to allow transmission providers to charge the higher incremental rate when doing so would hold native load customers harmless from system expansion costs.</w:t>
      </w:r>
      <w:r w:rsidRPr="004D23AC">
        <w:rPr>
          <w:rStyle w:val="FootnoteReference"/>
          <w:rFonts w:eastAsia="Times New Roman"/>
          <w:szCs w:val="26"/>
        </w:rPr>
        <w:footnoteReference w:id="157"/>
      </w:r>
      <w:r w:rsidRPr="004D23AC">
        <w:rPr>
          <w:rFonts w:eastAsia="Times New Roman"/>
          <w:szCs w:val="26"/>
        </w:rPr>
        <w:t xml:space="preserve">  There may well be circumstances where large load requests drive significant network upgrade costs well beyond the norm, and rolling those costs into the rate everyone pays would raise rates for existing customers.  In those cases, </w:t>
      </w:r>
      <w:r w:rsidRPr="004D23AC">
        <w:rPr>
          <w:szCs w:val="26"/>
        </w:rPr>
        <w:t>DEC</w:t>
      </w:r>
      <w:r w:rsidRPr="004D23AC">
        <w:rPr>
          <w:rFonts w:eastAsia="Times New Roman"/>
          <w:szCs w:val="26"/>
        </w:rPr>
        <w:t xml:space="preserve">’s ratepayers would be better served by </w:t>
      </w:r>
      <w:r w:rsidRPr="004D23AC">
        <w:rPr>
          <w:szCs w:val="26"/>
        </w:rPr>
        <w:t>DEC</w:t>
      </w:r>
      <w:r w:rsidRPr="004D23AC">
        <w:rPr>
          <w:rFonts w:eastAsia="Times New Roman"/>
          <w:szCs w:val="26"/>
        </w:rPr>
        <w:t xml:space="preserve"> filing a non-conforming agreement to charge an incremental rate, with a supporting record explaining why deviating from the </w:t>
      </w:r>
      <w:r w:rsidRPr="004D23AC">
        <w:rPr>
          <w:rFonts w:eastAsia="Times New Roman"/>
          <w:i/>
          <w:szCs w:val="26"/>
        </w:rPr>
        <w:t>pro forma</w:t>
      </w:r>
      <w:r w:rsidRPr="004D23AC">
        <w:rPr>
          <w:rFonts w:eastAsia="Times New Roman"/>
          <w:szCs w:val="26"/>
        </w:rPr>
        <w:t xml:space="preserve"> we accept today is necessary to protect its existing customers in that specific case.</w:t>
      </w:r>
      <w:r w:rsidRPr="004D23AC">
        <w:rPr>
          <w:rStyle w:val="FootnoteReference"/>
          <w:rFonts w:eastAsia="Times New Roman"/>
          <w:szCs w:val="26"/>
        </w:rPr>
        <w:footnoteReference w:id="158"/>
      </w:r>
      <w:r w:rsidRPr="004D23AC">
        <w:rPr>
          <w:rFonts w:eastAsia="Times New Roman"/>
          <w:szCs w:val="26"/>
        </w:rPr>
        <w:t xml:space="preserve">  Doing so would not only put to proper use the flexibility in current Commission policy to protect customers, but also better uphold the commitments Duke made when it signed the Ratepayer Protection Pledge to keep large load costs with large load customers.</w:t>
      </w:r>
      <w:r w:rsidRPr="004D23AC">
        <w:rPr>
          <w:rStyle w:val="FootnoteReference"/>
          <w:rFonts w:eastAsia="Times New Roman"/>
          <w:szCs w:val="26"/>
        </w:rPr>
        <w:footnoteReference w:id="159"/>
      </w:r>
    </w:p>
    <w:p w14:paraId="3A53179D" w14:textId="77777777" w:rsidR="00972FF0" w:rsidRPr="004D23AC" w:rsidRDefault="00972FF0" w:rsidP="00575C71">
      <w:pPr>
        <w:pStyle w:val="FERCparanumber"/>
        <w:rPr>
          <w:rFonts w:eastAsia="Times New Roman"/>
          <w:szCs w:val="26"/>
        </w:rPr>
      </w:pPr>
      <w:r w:rsidRPr="004D23AC">
        <w:rPr>
          <w:rFonts w:eastAsia="Times New Roman"/>
          <w:szCs w:val="26"/>
        </w:rPr>
        <w:t>Additionally, as the Commission explained in the Show Cause Orders (and as I highlighted in my separate statements</w:t>
      </w:r>
      <w:r w:rsidRPr="004D23AC">
        <w:rPr>
          <w:rStyle w:val="FootnoteReference"/>
          <w:rFonts w:eastAsia="Times New Roman"/>
          <w:szCs w:val="26"/>
        </w:rPr>
        <w:footnoteReference w:id="160"/>
      </w:r>
      <w:r w:rsidRPr="004D23AC">
        <w:rPr>
          <w:rFonts w:eastAsia="Times New Roman"/>
          <w:szCs w:val="26"/>
        </w:rPr>
        <w:t xml:space="preserve">), we can have more confidence that rolled-in rate treatment works for existing ratepayers if transmission providers are vigilant about using the most cost-effective options for upgrading the grid.  There, we preliminarily required </w:t>
      </w:r>
      <w:r w:rsidRPr="004D23AC">
        <w:rPr>
          <w:rFonts w:eastAsia="Times New Roman"/>
          <w:szCs w:val="26"/>
        </w:rPr>
        <w:lastRenderedPageBreak/>
        <w:t>transmission owners in RTO and ISO regions to evaluate whether Alternative Transmission Technologies can meet system upgrade needs driven by large loads, and to demonstrate why traditional upgrades are preferable if they choose not to go with ATTs in whole or in part.</w:t>
      </w:r>
      <w:r w:rsidRPr="004D23AC">
        <w:rPr>
          <w:rStyle w:val="FootnoteReference"/>
          <w:rFonts w:eastAsia="Times New Roman"/>
          <w:szCs w:val="26"/>
        </w:rPr>
        <w:footnoteReference w:id="161"/>
      </w:r>
      <w:r w:rsidRPr="004D23AC">
        <w:rPr>
          <w:rFonts w:eastAsia="Times New Roman"/>
          <w:szCs w:val="26"/>
        </w:rPr>
        <w:t xml:space="preserve">  </w:t>
      </w:r>
      <w:r w:rsidRPr="004D23AC">
        <w:rPr>
          <w:szCs w:val="26"/>
        </w:rPr>
        <w:t>DEC</w:t>
      </w:r>
      <w:r w:rsidRPr="004D23AC">
        <w:rPr>
          <w:rFonts w:eastAsia="Times New Roman"/>
          <w:szCs w:val="26"/>
        </w:rPr>
        <w:t xml:space="preserve"> is not currently subject to that obligation, but I strongly urge them to take on the customer-forward charge regardless.  Building out the grid our country needs </w:t>
      </w:r>
      <w:proofErr w:type="gramStart"/>
      <w:r w:rsidRPr="004D23AC">
        <w:rPr>
          <w:rFonts w:eastAsia="Times New Roman"/>
          <w:szCs w:val="26"/>
        </w:rPr>
        <w:t>is</w:t>
      </w:r>
      <w:proofErr w:type="gramEnd"/>
      <w:r w:rsidRPr="004D23AC">
        <w:rPr>
          <w:rFonts w:eastAsia="Times New Roman"/>
          <w:szCs w:val="26"/>
        </w:rPr>
        <w:t xml:space="preserve"> necessarily expensive.  Making cost-conscious and accountable choices about the type of upgrades to meet new </w:t>
      </w:r>
      <w:proofErr w:type="gramStart"/>
      <w:r w:rsidRPr="004D23AC">
        <w:rPr>
          <w:rFonts w:eastAsia="Times New Roman"/>
          <w:szCs w:val="26"/>
        </w:rPr>
        <w:t>loads</w:t>
      </w:r>
      <w:proofErr w:type="gramEnd"/>
      <w:r w:rsidRPr="004D23AC">
        <w:rPr>
          <w:rFonts w:eastAsia="Times New Roman"/>
          <w:szCs w:val="26"/>
        </w:rPr>
        <w:t>’ needs could not matter more.</w:t>
      </w:r>
    </w:p>
    <w:p w14:paraId="20BDBF53" w14:textId="77777777" w:rsidR="00972FF0" w:rsidRPr="004D23AC" w:rsidRDefault="00972FF0" w:rsidP="00877C2F">
      <w:pPr>
        <w:pStyle w:val="FERCparanumber"/>
        <w:rPr>
          <w:rFonts w:eastAsia="Times New Roman"/>
          <w:szCs w:val="26"/>
        </w:rPr>
      </w:pPr>
      <w:r w:rsidRPr="004D23AC">
        <w:rPr>
          <w:szCs w:val="26"/>
        </w:rPr>
        <w:t xml:space="preserve">I appreciate the initial steps DEC has taken in this filing to protect existing customers from the cost implications as large loads continue entering the system.  Also true: that work remains ongoing, including every time it applies these protections in practice. </w:t>
      </w:r>
    </w:p>
    <w:p w14:paraId="2A618C19" w14:textId="77777777" w:rsidR="00972FF0" w:rsidRPr="00C02A04" w:rsidRDefault="00972FF0" w:rsidP="00C02A04"/>
    <w:p w14:paraId="7B4876B7" w14:textId="77777777" w:rsidR="00972FF0" w:rsidRDefault="00972FF0" w:rsidP="00CF3B07">
      <w:pPr>
        <w:ind w:firstLine="720"/>
      </w:pPr>
      <w:r>
        <w:t>For these reasons, I respectfully concur.</w:t>
      </w:r>
    </w:p>
    <w:p w14:paraId="25FF504E" w14:textId="77777777" w:rsidR="00972FF0" w:rsidRDefault="00972FF0" w:rsidP="00C02A04"/>
    <w:p w14:paraId="4EB883B2" w14:textId="77777777" w:rsidR="00972FF0" w:rsidRPr="00CF3B07" w:rsidRDefault="00972FF0" w:rsidP="00CF3B07"/>
    <w:p w14:paraId="17A128D2" w14:textId="77777777" w:rsidR="00972FF0" w:rsidRPr="00CF3B07" w:rsidRDefault="00972FF0" w:rsidP="00CF3B07">
      <w:r w:rsidRPr="00CF3B07">
        <w:rPr>
          <w:noProof/>
        </w:rPr>
        <w:drawing>
          <wp:inline distT="0" distB="0" distL="0" distR="0" wp14:anchorId="14359950" wp14:editId="674743E3">
            <wp:extent cx="1905000" cy="714375"/>
            <wp:effectExtent l="0" t="0" r="0" b="9525"/>
            <wp:docPr id="912593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714375"/>
                    </a:xfrm>
                    <a:prstGeom prst="rect">
                      <a:avLst/>
                    </a:prstGeom>
                    <a:noFill/>
                    <a:ln>
                      <a:noFill/>
                    </a:ln>
                  </pic:spPr>
                </pic:pic>
              </a:graphicData>
            </a:graphic>
          </wp:inline>
        </w:drawing>
      </w:r>
    </w:p>
    <w:p w14:paraId="1CA7BC02" w14:textId="77777777" w:rsidR="00972FF0" w:rsidRPr="00CF3B07" w:rsidRDefault="00972FF0" w:rsidP="00CF3B07">
      <w:r w:rsidRPr="00CF3B07">
        <w:t>______________________________</w:t>
      </w:r>
    </w:p>
    <w:p w14:paraId="69E469A6" w14:textId="77777777" w:rsidR="00972FF0" w:rsidRPr="00CF3B07" w:rsidRDefault="00972FF0" w:rsidP="00CF3B07">
      <w:r w:rsidRPr="00CF3B07">
        <w:t xml:space="preserve">Lindsay </w:t>
      </w:r>
      <w:proofErr w:type="gramStart"/>
      <w:r w:rsidRPr="00CF3B07">
        <w:t xml:space="preserve">S. </w:t>
      </w:r>
      <w:proofErr w:type="gramEnd"/>
      <w:r w:rsidRPr="00CF3B07">
        <w:t>See</w:t>
      </w:r>
    </w:p>
    <w:p w14:paraId="7AB5E5BC" w14:textId="77777777" w:rsidR="00972FF0" w:rsidRDefault="00972FF0" w:rsidP="00CF3B07">
      <w:pPr>
        <w:sectPr w:rsidR="00972FF0" w:rsidSect="00704918">
          <w:footnotePr>
            <w:numRestart w:val="eachSect"/>
          </w:footnotePr>
          <w:pgSz w:w="12240" w:h="15840"/>
          <w:pgMar w:top="1440" w:right="1440" w:bottom="1440" w:left="1440" w:header="720" w:footer="720" w:gutter="0"/>
          <w:pgNumType w:fmt="numberInDash" w:start="1"/>
          <w:cols w:space="720"/>
          <w:titlePg/>
          <w:docGrid w:linePitch="360"/>
        </w:sectPr>
      </w:pPr>
      <w:r w:rsidRPr="00CF3B07">
        <w:t>Commissioner</w:t>
      </w:r>
    </w:p>
    <w:p w14:paraId="2F3B54BC" w14:textId="77777777" w:rsidR="00972FF0" w:rsidRPr="00C02A04" w:rsidRDefault="00972FF0" w:rsidP="00C02A04">
      <w:pPr>
        <w:jc w:val="center"/>
      </w:pPr>
      <w:r w:rsidRPr="00C02A04">
        <w:lastRenderedPageBreak/>
        <w:t>UNITED STATES OF AMERICA</w:t>
      </w:r>
    </w:p>
    <w:p w14:paraId="122E7875" w14:textId="77777777" w:rsidR="00972FF0" w:rsidRPr="00C02A04" w:rsidRDefault="00972FF0" w:rsidP="00C02A04">
      <w:pPr>
        <w:jc w:val="center"/>
      </w:pPr>
      <w:r w:rsidRPr="00C02A04">
        <w:t>FEDERAL ENERGY REGULATORY COMMISSION</w:t>
      </w:r>
    </w:p>
    <w:p w14:paraId="1BCFD0E9" w14:textId="77777777" w:rsidR="00972FF0" w:rsidRPr="00C02A04" w:rsidRDefault="00972FF0" w:rsidP="00C02A0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31"/>
        <w:gridCol w:w="1535"/>
        <w:gridCol w:w="1894"/>
      </w:tblGrid>
      <w:tr w:rsidR="00972FF0" w:rsidRPr="00C02A04" w14:paraId="73A8DCB6" w14:textId="77777777" w:rsidTr="000D27AA">
        <w:tc>
          <w:tcPr>
            <w:tcW w:w="6088" w:type="dxa"/>
          </w:tcPr>
          <w:p w14:paraId="0E8E3B29" w14:textId="77777777" w:rsidR="00972FF0" w:rsidRPr="00C02A04" w:rsidRDefault="00972FF0" w:rsidP="00C02A04">
            <w:pPr>
              <w:rPr>
                <w:rFonts w:eastAsiaTheme="minorHAnsi"/>
                <w:szCs w:val="22"/>
              </w:rPr>
            </w:pPr>
            <w:r>
              <w:rPr>
                <w:rFonts w:eastAsiaTheme="minorHAnsi"/>
                <w:szCs w:val="22"/>
              </w:rPr>
              <w:t>Duke Energy Carolinas, LLC</w:t>
            </w:r>
          </w:p>
        </w:tc>
        <w:tc>
          <w:tcPr>
            <w:tcW w:w="1560" w:type="dxa"/>
          </w:tcPr>
          <w:p w14:paraId="0180566F" w14:textId="77777777" w:rsidR="00972FF0" w:rsidRPr="00C02A04" w:rsidRDefault="00972FF0" w:rsidP="000D27AA">
            <w:pPr>
              <w:jc w:val="right"/>
              <w:rPr>
                <w:rFonts w:eastAsiaTheme="minorHAnsi"/>
                <w:szCs w:val="22"/>
              </w:rPr>
            </w:pPr>
            <w:r>
              <w:rPr>
                <w:rFonts w:eastAsiaTheme="minorHAnsi"/>
                <w:szCs w:val="22"/>
              </w:rPr>
              <w:t>Docket Nos.</w:t>
            </w:r>
          </w:p>
        </w:tc>
        <w:tc>
          <w:tcPr>
            <w:tcW w:w="1928" w:type="dxa"/>
            <w:tcMar>
              <w:left w:w="144" w:type="dxa"/>
            </w:tcMar>
          </w:tcPr>
          <w:p w14:paraId="33809F31" w14:textId="77777777" w:rsidR="00972FF0" w:rsidRDefault="00972FF0" w:rsidP="00C02A04">
            <w:pPr>
              <w:rPr>
                <w:rFonts w:eastAsiaTheme="minorHAnsi"/>
                <w:szCs w:val="22"/>
              </w:rPr>
            </w:pPr>
            <w:r>
              <w:rPr>
                <w:rFonts w:eastAsiaTheme="minorHAnsi"/>
                <w:szCs w:val="22"/>
              </w:rPr>
              <w:t>ER26-2691-000</w:t>
            </w:r>
          </w:p>
          <w:p w14:paraId="6867DD7C" w14:textId="77777777" w:rsidR="00972FF0" w:rsidRPr="00C02A04" w:rsidRDefault="00972FF0" w:rsidP="00C02A04">
            <w:pPr>
              <w:rPr>
                <w:rFonts w:eastAsiaTheme="minorHAnsi"/>
                <w:szCs w:val="22"/>
              </w:rPr>
            </w:pPr>
            <w:r>
              <w:rPr>
                <w:rFonts w:eastAsiaTheme="minorHAnsi"/>
                <w:szCs w:val="22"/>
              </w:rPr>
              <w:t>ER26-2691-001</w:t>
            </w:r>
          </w:p>
        </w:tc>
      </w:tr>
    </w:tbl>
    <w:p w14:paraId="3028219D" w14:textId="77777777" w:rsidR="00972FF0" w:rsidRPr="00C02A04" w:rsidRDefault="00972FF0" w:rsidP="00C02A04"/>
    <w:p w14:paraId="0E9E424E" w14:textId="77777777" w:rsidR="00972FF0" w:rsidRPr="00C02A04" w:rsidRDefault="00972FF0" w:rsidP="00C02A04"/>
    <w:p w14:paraId="68625BA3" w14:textId="77777777" w:rsidR="00972FF0" w:rsidRPr="00972FF0" w:rsidRDefault="00972FF0" w:rsidP="00972FF0">
      <w:pPr>
        <w:widowControl/>
        <w:jc w:val="center"/>
      </w:pPr>
      <w:r w:rsidRPr="00972FF0">
        <w:t xml:space="preserve">(Issued </w:t>
      </w:r>
      <w:r w:rsidRPr="00972FF0">
        <w:fldChar w:fldCharType="begin"/>
      </w:r>
      <w:r w:rsidRPr="00972FF0">
        <w:instrText xml:space="preserve"> MACROBUTTON  AcceptAllChangesInDoc </w:instrText>
      </w:r>
      <w:r w:rsidRPr="00972FF0">
        <w:fldChar w:fldCharType="end"/>
      </w:r>
      <w:r w:rsidRPr="00972FF0">
        <w:t>October 9, 2026)</w:t>
      </w:r>
    </w:p>
    <w:p w14:paraId="206269FD" w14:textId="77777777" w:rsidR="00972FF0" w:rsidRPr="00C02A04" w:rsidRDefault="00972FF0" w:rsidP="00C02A04">
      <w:pPr>
        <w:rPr>
          <w:bCs/>
        </w:rPr>
      </w:pPr>
    </w:p>
    <w:p w14:paraId="7A88C65B" w14:textId="77777777" w:rsidR="00972FF0" w:rsidRPr="00C02A04" w:rsidRDefault="00972FF0" w:rsidP="00C02A04">
      <w:pPr>
        <w:rPr>
          <w:bCs/>
        </w:rPr>
      </w:pPr>
      <w:r>
        <w:rPr>
          <w:bCs/>
        </w:rPr>
        <w:t xml:space="preserve">CHANG, Commissioner, </w:t>
      </w:r>
      <w:r>
        <w:rPr>
          <w:bCs/>
          <w:i/>
        </w:rPr>
        <w:t>dissenting</w:t>
      </w:r>
      <w:r>
        <w:rPr>
          <w:bCs/>
        </w:rPr>
        <w:t>:</w:t>
      </w:r>
      <w:r w:rsidRPr="00C02A04">
        <w:rPr>
          <w:bCs/>
        </w:rPr>
        <w:t xml:space="preserve"> </w:t>
      </w:r>
    </w:p>
    <w:p w14:paraId="6C2E7AC8" w14:textId="77777777" w:rsidR="00972FF0" w:rsidRPr="00C02A04" w:rsidRDefault="00972FF0" w:rsidP="00C02A04">
      <w:pPr>
        <w:rPr>
          <w:bCs/>
        </w:rPr>
      </w:pPr>
    </w:p>
    <w:p w14:paraId="4E292FE2" w14:textId="77777777" w:rsidR="00972FF0" w:rsidRDefault="00972FF0" w:rsidP="00972FF0">
      <w:pPr>
        <w:pStyle w:val="FERCparanumber"/>
        <w:numPr>
          <w:ilvl w:val="0"/>
          <w:numId w:val="30"/>
        </w:numPr>
      </w:pPr>
      <w:r w:rsidRPr="000D27AA">
        <w:t xml:space="preserve">In today’s order, the Commission accepts Duke Energy Carolinas, LLC’s (DEC) proposed revisions to its </w:t>
      </w:r>
      <w:r w:rsidRPr="00972FF0">
        <w:rPr>
          <w:i/>
          <w:iCs/>
        </w:rPr>
        <w:t>pro forma</w:t>
      </w:r>
      <w:r w:rsidRPr="000D27AA">
        <w:t xml:space="preserve"> Network Integration Transmission Service Agreement (NITSA))</w:t>
      </w:r>
      <w:r>
        <w:t xml:space="preserve"> to address increased network load growth and changing network resources, including an influx of large loads.</w:t>
      </w:r>
      <w:r w:rsidDel="009D054C">
        <w:t xml:space="preserve"> </w:t>
      </w:r>
      <w:r>
        <w:t xml:space="preserve"> </w:t>
      </w:r>
      <w:r w:rsidRPr="000D27AA">
        <w:t xml:space="preserve">I dissent because DEC has not demonstrated that its </w:t>
      </w:r>
      <w:r>
        <w:t>Committed Revenue Contribution proposal</w:t>
      </w:r>
      <w:r w:rsidRPr="000D27AA">
        <w:t xml:space="preserve"> adequately protect</w:t>
      </w:r>
      <w:r>
        <w:t>s</w:t>
      </w:r>
      <w:r w:rsidRPr="000D27AA">
        <w:t xml:space="preserve"> existing customers</w:t>
      </w:r>
      <w:r>
        <w:t xml:space="preserve"> and is thus just and reasonable</w:t>
      </w:r>
      <w:r w:rsidRPr="000D27AA">
        <w:t xml:space="preserve">.  I also write separately </w:t>
      </w:r>
      <w:r>
        <w:t>because</w:t>
      </w:r>
      <w:r w:rsidRPr="000D27AA">
        <w:t xml:space="preserve"> DEC’s filing </w:t>
      </w:r>
      <w:r>
        <w:t>highlights</w:t>
      </w:r>
      <w:r w:rsidRPr="000D27AA">
        <w:t xml:space="preserve"> broader concerns regarding </w:t>
      </w:r>
      <w:r>
        <w:t xml:space="preserve">(1) </w:t>
      </w:r>
      <w:r w:rsidRPr="000D27AA">
        <w:t xml:space="preserve">the cost impact of Network Upgrades built to serve new large loads on other customers and </w:t>
      </w:r>
      <w:r>
        <w:t xml:space="preserve">(2) </w:t>
      </w:r>
      <w:r w:rsidRPr="000D27AA">
        <w:t>transparency around those cost impacts, both of which are critical to protecting existing customers from undue cost shifts.</w:t>
      </w:r>
    </w:p>
    <w:p w14:paraId="1D1EDA3A" w14:textId="77777777" w:rsidR="00972FF0" w:rsidRDefault="00972FF0" w:rsidP="00856E0C">
      <w:pPr>
        <w:pStyle w:val="Heading1"/>
        <w:numPr>
          <w:ilvl w:val="0"/>
          <w:numId w:val="31"/>
        </w:numPr>
      </w:pPr>
      <w:r>
        <w:t>Background</w:t>
      </w:r>
    </w:p>
    <w:p w14:paraId="43A6B6D7" w14:textId="77777777" w:rsidR="00972FF0" w:rsidRDefault="00972FF0" w:rsidP="001D47CB">
      <w:pPr>
        <w:pStyle w:val="FERCparanumber"/>
      </w:pPr>
      <w:r>
        <w:t xml:space="preserve">In response to changes it has observed in requests for network transmission service, DEC proposes a suite of reforms to update the rates, terms, and conditions reflected in its </w:t>
      </w:r>
      <w:r>
        <w:rPr>
          <w:i/>
          <w:iCs/>
        </w:rPr>
        <w:t xml:space="preserve">pro forma </w:t>
      </w:r>
      <w:r>
        <w:t xml:space="preserve">NITSA.  Among these changes, DEC proposes a set of specific reforms targeted at transmission service requests that are 100 MW or greater.  </w:t>
      </w:r>
    </w:p>
    <w:p w14:paraId="6DC132CA" w14:textId="77777777" w:rsidR="00972FF0" w:rsidRDefault="00972FF0" w:rsidP="001D47CB">
      <w:pPr>
        <w:pStyle w:val="FERCparanumber"/>
      </w:pPr>
      <w:r>
        <w:t>As r</w:t>
      </w:r>
      <w:r w:rsidRPr="001C5EAB">
        <w:t xml:space="preserve">elevant here, </w:t>
      </w:r>
      <w:r>
        <w:t>DEC proposes</w:t>
      </w:r>
      <w:r w:rsidRPr="001C5EAB">
        <w:t xml:space="preserve"> a customer protection framework that</w:t>
      </w:r>
      <w:r>
        <w:t>: (1)</w:t>
      </w:r>
      <w:r w:rsidRPr="001C5EAB">
        <w:t xml:space="preserve"> </w:t>
      </w:r>
      <w:r>
        <w:t xml:space="preserve">establishes a 15-year transmission service obligation, based on a specified ramp schedule for the load serving entity (LSE) serving the new large load; and (2) </w:t>
      </w:r>
      <w:r w:rsidRPr="001C5EAB">
        <w:t>requires th</w:t>
      </w:r>
      <w:r>
        <w:t>at</w:t>
      </w:r>
      <w:r w:rsidRPr="001C5EAB">
        <w:t xml:space="preserve"> LSE to </w:t>
      </w:r>
      <w:r>
        <w:t xml:space="preserve"> commit to pay a minimum amount equal to 75% of the MW value in the load schedule for each month and year during that 15 year period, called the “Committed Revenue Contribution,” to be assessed as a shortfall payment</w:t>
      </w:r>
      <w:r w:rsidDel="00DE1198">
        <w:t xml:space="preserve"> </w:t>
      </w:r>
      <w:r>
        <w:t xml:space="preserve">if the LSE fails to meet those ramp schedule and revenue contributions.  Shortfall payments </w:t>
      </w:r>
      <w:r w:rsidRPr="001C5EAB">
        <w:t xml:space="preserve">are credited against the transmission service </w:t>
      </w:r>
      <w:r>
        <w:t xml:space="preserve">revenue requirement </w:t>
      </w:r>
      <w:r w:rsidRPr="001C5EAB">
        <w:t xml:space="preserve">borne by </w:t>
      </w:r>
      <w:proofErr w:type="gramStart"/>
      <w:r w:rsidRPr="001C5EAB">
        <w:t>all of</w:t>
      </w:r>
      <w:proofErr w:type="gramEnd"/>
      <w:r w:rsidRPr="001C5EAB">
        <w:t xml:space="preserve"> DEC’s transmission customers through its transmission formula rates.  </w:t>
      </w:r>
    </w:p>
    <w:p w14:paraId="27C663AC" w14:textId="77777777" w:rsidR="00972FF0" w:rsidRPr="00CE15A2" w:rsidRDefault="00972FF0" w:rsidP="006D2225">
      <w:pPr>
        <w:pStyle w:val="FERCparanumber"/>
      </w:pPr>
      <w:r>
        <w:t xml:space="preserve">DEC also proposes to codify, in its </w:t>
      </w:r>
      <w:r>
        <w:rPr>
          <w:i/>
          <w:iCs/>
        </w:rPr>
        <w:t>pro forma</w:t>
      </w:r>
      <w:r>
        <w:t xml:space="preserve"> NITSA, that costs of network upgrades for all transmission service requests – including those driven by large loads – will be rolled into transmission rates once those upgrades </w:t>
      </w:r>
      <w:proofErr w:type="gramStart"/>
      <w:r>
        <w:t>enter into</w:t>
      </w:r>
      <w:proofErr w:type="gramEnd"/>
      <w:r>
        <w:t xml:space="preserve"> service.  Furthermore, because DEC will rely on </w:t>
      </w:r>
      <w:r>
        <w:rPr>
          <w:i/>
          <w:iCs/>
        </w:rPr>
        <w:t>pro forma</w:t>
      </w:r>
      <w:r>
        <w:t xml:space="preserve"> NITSAs, individual agreements will be reported to the Commission via its Electronic Quarterly Report (EQR) process unless a </w:t>
      </w:r>
      <w:r>
        <w:lastRenderedPageBreak/>
        <w:t xml:space="preserve">specific agreement is contested or does not conform to the </w:t>
      </w:r>
      <w:r w:rsidRPr="00080C31">
        <w:rPr>
          <w:i/>
          <w:iCs/>
        </w:rPr>
        <w:t>pro forma</w:t>
      </w:r>
      <w:r>
        <w:t xml:space="preserve"> NITSA.  As a result, the content of those agreements, including the Network Upgrades and associated costs, will not generally be filed at the Commission for review and public disclosure.</w:t>
      </w:r>
    </w:p>
    <w:p w14:paraId="00EA93BB" w14:textId="77777777" w:rsidR="00972FF0" w:rsidRDefault="00972FF0" w:rsidP="00F172D5">
      <w:pPr>
        <w:pStyle w:val="Heading1"/>
      </w:pPr>
      <w:r w:rsidRPr="000D27AA">
        <w:rPr>
          <w:bCs/>
        </w:rPr>
        <w:t>DEC</w:t>
      </w:r>
      <w:r>
        <w:rPr>
          <w:bCs/>
        </w:rPr>
        <w:t xml:space="preserve"> Has Not Demonstrated that Its Committed Revenue Contribution Proposal Adequately Protects Customers Against the Risk of Cost Shifts</w:t>
      </w:r>
    </w:p>
    <w:p w14:paraId="42322308" w14:textId="77777777" w:rsidR="00972FF0" w:rsidRPr="009B5E31" w:rsidRDefault="00972FF0" w:rsidP="00394950">
      <w:pPr>
        <w:pStyle w:val="FERCparanumber"/>
      </w:pPr>
      <w:r>
        <w:t xml:space="preserve">DEC bears the burden of establishing that its proposal – which (among other revisions) modifies its </w:t>
      </w:r>
      <w:r>
        <w:rPr>
          <w:i/>
          <w:iCs/>
        </w:rPr>
        <w:t xml:space="preserve">pro forma </w:t>
      </w:r>
      <w:r>
        <w:t xml:space="preserve">NITSA to create new rates, terms, and conditions of service for a specific class of transmission customers that take network service on behalf of large loads – is just and reasonable and not unduly discriminatory or preferential.  As discussed below, I do not believe DEC has carried that burden on the record before us, and I would reject DEC’s filing with guidance to improve or better support a refiled proposal.  </w:t>
      </w:r>
    </w:p>
    <w:p w14:paraId="1876C94B" w14:textId="77777777" w:rsidR="00972FF0" w:rsidRDefault="00972FF0" w:rsidP="000D27AA">
      <w:pPr>
        <w:pStyle w:val="Heading2"/>
      </w:pPr>
      <w:r w:rsidRPr="000D27AA">
        <w:rPr>
          <w:bCs/>
        </w:rPr>
        <w:t>DEC</w:t>
      </w:r>
      <w:r>
        <w:rPr>
          <w:bCs/>
        </w:rPr>
        <w:t>’s Committed Revenue Contribution Proposal Does Not Include Sufficient Security Requirements to Protect Customers Against the Risk of Cost Shifts</w:t>
      </w:r>
    </w:p>
    <w:p w14:paraId="201509F4" w14:textId="77777777" w:rsidR="00972FF0" w:rsidRDefault="00972FF0" w:rsidP="000D27AA">
      <w:pPr>
        <w:pStyle w:val="FERCparanumber"/>
      </w:pPr>
      <w:r>
        <w:t xml:space="preserve">As discussed below, DEC proposes to require long-term financial commitments from LSEs that serve large loads.  Directionally, DEC’s proposal is positive.  However, I would reject DEC’s proposal with guidance because it fails to include meaningful security requirements to backstop those long-term financial commitments and thus fails to adequately mitigate cost shifting risks.  </w:t>
      </w:r>
    </w:p>
    <w:p w14:paraId="622BA8F6" w14:textId="77777777" w:rsidR="00972FF0" w:rsidRDefault="00972FF0">
      <w:pPr>
        <w:pStyle w:val="FERCparanumber"/>
      </w:pPr>
      <w:r w:rsidRPr="00080C31">
        <w:t xml:space="preserve">DEC’s proposed Committed Revenue Contribution framework requires LSEs serving new large loads to commit to paying at least 75% of a defined level of transmission service for 15 years, or to pay a shortfall payment if </w:t>
      </w:r>
      <w:r>
        <w:t>their</w:t>
      </w:r>
      <w:r w:rsidRPr="00080C31">
        <w:t xml:space="preserve"> actual NITS contribution falls below that minimum level.</w:t>
      </w:r>
      <w:r>
        <w:rPr>
          <w:rStyle w:val="FootnoteReference"/>
        </w:rPr>
        <w:footnoteReference w:id="162"/>
      </w:r>
      <w:r>
        <w:t xml:space="preserve">  This arrangement essentially establishes a long-term take-or-pay arrangement with LSEs serving loads that exceed 100 MW, paid </w:t>
      </w:r>
      <w:r>
        <w:lastRenderedPageBreak/>
        <w:t>by LSEs through either transmission service or shortfall charges.  I conceptually support this kind of long-term payment obligation construct, which, if properly designed, can protect other transmission customers against the risk of cost shifting, particularly if large loads do not materialize as planned or terminate their service earlier than anticipated.</w:t>
      </w:r>
      <w:r>
        <w:rPr>
          <w:rStyle w:val="FootnoteReference"/>
        </w:rPr>
        <w:footnoteReference w:id="163"/>
      </w:r>
    </w:p>
    <w:p w14:paraId="3FFDBE9B" w14:textId="77777777" w:rsidR="00972FF0" w:rsidRDefault="00972FF0">
      <w:pPr>
        <w:pStyle w:val="FERCparanumber"/>
      </w:pPr>
      <w:r>
        <w:t>However, not all long-term payment commitments are created equal, and the Commission has an obligation to assess, as part of its mandate to ensure just and reasonable rates, whether an FPA section 205 proposal adequately protects other customers.</w:t>
      </w:r>
      <w:r>
        <w:rPr>
          <w:rStyle w:val="FootnoteReference"/>
        </w:rPr>
        <w:footnoteReference w:id="164"/>
      </w:r>
      <w:r>
        <w:t xml:space="preserve">  Here, DEC’s stated purpose for its Committed Revenue Contribution proposal (including the associated shortfall payment obligation) is to protect existing transmission customers against potential impacts from cost shifts for network upgrades needed to accommodate new large load additions.</w:t>
      </w:r>
      <w:r>
        <w:rPr>
          <w:rStyle w:val="FootnoteReference"/>
        </w:rPr>
        <w:footnoteReference w:id="165"/>
      </w:r>
      <w:r>
        <w:t xml:space="preserve">  DEC’s filing acknowledges that large loads present a higher risk of shifting costs to other customers if the load does not materialize; indeed, that risk is the basis for the additional obligations being imposed on </w:t>
      </w:r>
      <w:r>
        <w:lastRenderedPageBreak/>
        <w:t>specific LSEs, including the Committed Revenue Contribution and associated shortfall payment requirements.</w:t>
      </w:r>
      <w:r>
        <w:rPr>
          <w:rStyle w:val="FootnoteReference"/>
        </w:rPr>
        <w:footnoteReference w:id="166"/>
      </w:r>
      <w:r>
        <w:t xml:space="preserve">  </w:t>
      </w:r>
    </w:p>
    <w:p w14:paraId="048626F7" w14:textId="77777777" w:rsidR="00972FF0" w:rsidRDefault="00972FF0" w:rsidP="000D27AA">
      <w:pPr>
        <w:pStyle w:val="FERCparanumber"/>
      </w:pPr>
      <w:r>
        <w:t xml:space="preserve">DEC’s stated goal is laudable, but I am not persuaded on this record that the proposal meets it.  DEC proposes </w:t>
      </w:r>
      <w:proofErr w:type="gramStart"/>
      <w:r>
        <w:t>to impose</w:t>
      </w:r>
      <w:proofErr w:type="gramEnd"/>
      <w:r>
        <w:t xml:space="preserve"> substantial 15-year payment obligations on specific LSEs that serve large </w:t>
      </w:r>
      <w:proofErr w:type="gramStart"/>
      <w:r>
        <w:t>loads, but</w:t>
      </w:r>
      <w:proofErr w:type="gramEnd"/>
      <w:r>
        <w:t xml:space="preserve"> proposes </w:t>
      </w:r>
      <w:r>
        <w:rPr>
          <w:i/>
          <w:iCs/>
        </w:rPr>
        <w:t>no specific security requirements to backstop those obligations</w:t>
      </w:r>
      <w:r>
        <w:t xml:space="preserve">.  Instead, it appears that DEC relies on the generally-applicable security provisions included in its </w:t>
      </w:r>
      <w:r>
        <w:rPr>
          <w:i/>
          <w:iCs/>
        </w:rPr>
        <w:t>pro forma</w:t>
      </w:r>
      <w:r>
        <w:t xml:space="preserve"> NITSA, resulting in potential security obligations underpinning a 15-year revenue commitment on the order of a month of transmission revenues, or perhaps at most five months.</w:t>
      </w:r>
      <w:r>
        <w:rPr>
          <w:rStyle w:val="FootnoteReference"/>
        </w:rPr>
        <w:footnoteReference w:id="167"/>
      </w:r>
      <w:r>
        <w:t xml:space="preserve">  If an LSE defaulted and could no longer pay an amount greater or equal to its Committed Revenue Contribution, then there would be limited, if any, security to backstop its payment obligations, and other transmission customers would be left paying the bill.</w:t>
      </w:r>
      <w:r>
        <w:rPr>
          <w:rStyle w:val="FootnoteReference"/>
        </w:rPr>
        <w:footnoteReference w:id="168"/>
      </w:r>
      <w:r>
        <w:t xml:space="preserve">  DEC thus introduces a significant disconnect between the duration and magnitude of the Committed Revenue Contribution payment obligation and the actual security that underpins it, which in turn exposes other </w:t>
      </w:r>
      <w:r>
        <w:lastRenderedPageBreak/>
        <w:t>transmission customers to the cost shifting risk this proposal is ostensibly designed to mitigate.</w:t>
      </w:r>
      <w:r>
        <w:rPr>
          <w:rStyle w:val="FootnoteReference"/>
        </w:rPr>
        <w:footnoteReference w:id="169"/>
      </w:r>
      <w:r>
        <w:t xml:space="preserve">  </w:t>
      </w:r>
    </w:p>
    <w:p w14:paraId="29917F5D" w14:textId="77777777" w:rsidR="00972FF0" w:rsidRDefault="00972FF0" w:rsidP="000D27AA">
      <w:pPr>
        <w:pStyle w:val="FERCparanumber"/>
      </w:pPr>
      <w:r>
        <w:t xml:space="preserve">Accordingly, while DEC’s Committed Revenue Contribution proposal is a step in the right direction, I do not believe DEC has demonstrated that it is just and reasonable.  DEC need not require security for 100% of the associated obligation, but some greater alignment between the payment obligations and security underpinning them is warranted.  As a result, instead of accepting this proposal, I would have rejected DEC’s filing with guidance to develop supplemental security requirements for transmission customers that are subject to DEC’s Committed Revenue Contribution construct.   </w:t>
      </w:r>
    </w:p>
    <w:p w14:paraId="4DCFDE03" w14:textId="77777777" w:rsidR="00972FF0" w:rsidRPr="0063304D" w:rsidRDefault="00972FF0" w:rsidP="00394950">
      <w:pPr>
        <w:pStyle w:val="Heading2"/>
      </w:pPr>
      <w:r w:rsidRPr="44836901">
        <w:rPr>
          <w:bCs/>
        </w:rPr>
        <w:t xml:space="preserve">DEC </w:t>
      </w:r>
      <w:r>
        <w:rPr>
          <w:bCs/>
        </w:rPr>
        <w:t>D</w:t>
      </w:r>
      <w:r w:rsidRPr="44836901">
        <w:rPr>
          <w:bCs/>
        </w:rPr>
        <w:t xml:space="preserve">oes </w:t>
      </w:r>
      <w:r>
        <w:rPr>
          <w:bCs/>
        </w:rPr>
        <w:t>N</w:t>
      </w:r>
      <w:r w:rsidRPr="44836901">
        <w:rPr>
          <w:bCs/>
        </w:rPr>
        <w:t>ot</w:t>
      </w:r>
      <w:r>
        <w:rPr>
          <w:bCs/>
        </w:rPr>
        <w:t xml:space="preserve"> Adequately</w:t>
      </w:r>
      <w:r w:rsidRPr="44836901">
        <w:rPr>
          <w:bCs/>
        </w:rPr>
        <w:t xml:space="preserve"> Support the </w:t>
      </w:r>
      <w:r w:rsidRPr="0063304D">
        <w:rPr>
          <w:bCs/>
        </w:rPr>
        <w:t>Size of the Committed Revenue Contribution</w:t>
      </w:r>
    </w:p>
    <w:p w14:paraId="3A850104" w14:textId="77777777" w:rsidR="00972FF0" w:rsidRDefault="00972FF0" w:rsidP="000D27AA">
      <w:pPr>
        <w:pStyle w:val="FERCparanumber"/>
      </w:pPr>
      <w:r>
        <w:t xml:space="preserve">As discussed above, DEC’s proposed Committed Revenue Contribution framework requires an LSE serving new large loads to commit to paying at least 75% of a defined level of transmission service for 15 years, or to pay a shortfall payment if its actual NITS contribution drops below that minimum level.  In DEC’s proposed framework, this specific percentage – the requirement to pay for 75% of the projected transmission service obligation – functionally establishes the level of protection for other customers, as it sets the minimum payment obligation for LSEs serving large loads.  </w:t>
      </w:r>
    </w:p>
    <w:p w14:paraId="1B84CDD2" w14:textId="77777777" w:rsidR="00972FF0" w:rsidRDefault="00972FF0" w:rsidP="000D27AA">
      <w:pPr>
        <w:pStyle w:val="FERCparanumber"/>
      </w:pPr>
      <w:r>
        <w:t xml:space="preserve">While the Commission has accepted agreements reflecting similar revenue contribution obligations, those agreements were evaluated under the </w:t>
      </w:r>
      <w:r>
        <w:rPr>
          <w:i/>
          <w:iCs/>
        </w:rPr>
        <w:t xml:space="preserve">Mobile-Sierra </w:t>
      </w:r>
      <w:r>
        <w:t xml:space="preserve">framework, and thus the Commission did not scrutinize whether the specific level </w:t>
      </w:r>
      <w:r>
        <w:lastRenderedPageBreak/>
        <w:t>reflected in those agreements was, in fact, just and reasonable.</w:t>
      </w:r>
      <w:r>
        <w:rPr>
          <w:rStyle w:val="FootnoteReference"/>
        </w:rPr>
        <w:footnoteReference w:id="170"/>
      </w:r>
      <w:r>
        <w:t xml:space="preserve">  As a result, DEC’s filing is the first time that the Commission has had the opportunity to evaluate the justness and reasonableness of such a provision, rather than simply deferring to bilaterally negotiated terms under the </w:t>
      </w:r>
      <w:r>
        <w:rPr>
          <w:i/>
          <w:iCs/>
        </w:rPr>
        <w:t xml:space="preserve">Mobile-Sierra </w:t>
      </w:r>
      <w:r>
        <w:t>framework.</w:t>
      </w:r>
      <w:r w:rsidDel="00F45369">
        <w:t xml:space="preserve"> </w:t>
      </w:r>
      <w:r>
        <w:t xml:space="preserve"> </w:t>
      </w:r>
    </w:p>
    <w:p w14:paraId="50D8C32F" w14:textId="77777777" w:rsidR="00972FF0" w:rsidRDefault="00972FF0" w:rsidP="000D27AA">
      <w:pPr>
        <w:pStyle w:val="FERCparanumber"/>
      </w:pPr>
      <w:r>
        <w:t xml:space="preserve">Although DEC’s proposal might be a just and reasonable level of protection for other customers, DEC has not adequately explained the basis for its proposed 75% threshold.  The Commission should expect more from utilities than proposing, without any explanation or justification, specific thresholds that are foundational to customer protection frameworks. </w:t>
      </w:r>
      <w:r w:rsidDel="003A07E9">
        <w:t xml:space="preserve"> </w:t>
      </w:r>
      <w:r>
        <w:t>I hope that the Commission, through the Large Load Show Cause Order proceedings, will establish a well-defined and workable approach for evaluating customer protection proposals like that before us, which will benefit customers and utilities alike.  Until then,</w:t>
      </w:r>
      <w:r w:rsidDel="00ED0218">
        <w:t xml:space="preserve"> </w:t>
      </w:r>
      <w:r>
        <w:t xml:space="preserve">the Commission should thoughtfully examine the appropriate level of protection based on </w:t>
      </w:r>
      <w:proofErr w:type="gramStart"/>
      <w:r>
        <w:t>the record</w:t>
      </w:r>
      <w:proofErr w:type="gramEnd"/>
      <w:r>
        <w:t xml:space="preserve"> before it.  On the record here, I would reject DEC’s proposal with guidance to provide </w:t>
      </w:r>
      <w:proofErr w:type="gramStart"/>
      <w:r>
        <w:t>DEC</w:t>
      </w:r>
      <w:proofErr w:type="gramEnd"/>
      <w:r>
        <w:t xml:space="preserve"> the opportunity to better support that figure or propose and defend a different threshold.  </w:t>
      </w:r>
    </w:p>
    <w:p w14:paraId="26C4D05F" w14:textId="77777777" w:rsidR="00972FF0" w:rsidRDefault="00972FF0" w:rsidP="00E703C2">
      <w:pPr>
        <w:pStyle w:val="Heading1"/>
      </w:pPr>
      <w:r>
        <w:t>DEC’s Filing Highlights Broader Customer Protection Issues</w:t>
      </w:r>
    </w:p>
    <w:p w14:paraId="677A8E5F" w14:textId="77777777" w:rsidR="00972FF0" w:rsidRPr="00057C39" w:rsidRDefault="00972FF0" w:rsidP="00394950">
      <w:pPr>
        <w:pStyle w:val="FERCparanumber"/>
      </w:pPr>
      <w:r w:rsidRPr="00394950">
        <w:t xml:space="preserve">In addition to the </w:t>
      </w:r>
      <w:r>
        <w:t xml:space="preserve">concerns raised above, DEC’s proposal highlights customer protection challenges around cost assignment and transparency that the Commission has raised as part of its Large Load Show Cause Orders.  While I would not reject DEC’s filing on these grounds, given relevant Commission precedent, I nonetheless take this opportunity to reiterate why additional large load reforms are necessary to adequately protect customers against unjustified cost shifts.   </w:t>
      </w:r>
    </w:p>
    <w:p w14:paraId="63B4C5C0" w14:textId="77777777" w:rsidR="00972FF0" w:rsidRPr="0063304D" w:rsidRDefault="00972FF0" w:rsidP="009A6962">
      <w:pPr>
        <w:pStyle w:val="Heading2"/>
      </w:pPr>
      <w:r>
        <w:rPr>
          <w:bCs/>
        </w:rPr>
        <w:t>Defaulting to Rolled-in Rate Treatment for Large Load Network Upgrades Might Not Adequately Protect Other Customers</w:t>
      </w:r>
    </w:p>
    <w:p w14:paraId="29133E87" w14:textId="77777777" w:rsidR="00972FF0" w:rsidRDefault="00972FF0" w:rsidP="000D27AA">
      <w:pPr>
        <w:pStyle w:val="FERCparanumber"/>
      </w:pPr>
      <w:r>
        <w:t xml:space="preserve">In its Large Load Show Cause Orders, the Commission found that the relevant tariffs may be unjust and unreasonable because they lack adequate mechanisms to mitigate the risk of cost shifting among transmission customers, and proposed to require the RTOs/ISOs to adopt </w:t>
      </w:r>
      <w:r>
        <w:rPr>
          <w:i/>
          <w:iCs/>
        </w:rPr>
        <w:t>pro forma</w:t>
      </w:r>
      <w:r>
        <w:t xml:space="preserve"> cost recovery agreements to protect other customers.</w:t>
      </w:r>
      <w:r>
        <w:rPr>
          <w:rStyle w:val="FootnoteReference"/>
        </w:rPr>
        <w:footnoteReference w:id="171"/>
      </w:r>
      <w:r>
        <w:t xml:space="preserve">  In my concurrence to those orders, I noted that “transmission revenue contributions </w:t>
      </w:r>
      <w:r>
        <w:lastRenderedPageBreak/>
        <w:t>untethered from any assessment of the actual cost of providing transmission service induced by individual large loads may be insufficient to adequately protect other customers against unjustified cost shifts,” and encouraged the continued exploration of various customer protection approaches to help inform the Commission.</w:t>
      </w:r>
      <w:r>
        <w:rPr>
          <w:rStyle w:val="FootnoteReference"/>
        </w:rPr>
        <w:footnoteReference w:id="172"/>
      </w:r>
      <w:r>
        <w:t xml:space="preserve">  DEC’s proposal reinforces both my concern and the need for the Commission to consider additional cost allocation options to protect other customers.</w:t>
      </w:r>
    </w:p>
    <w:p w14:paraId="62528A79" w14:textId="77777777" w:rsidR="00972FF0" w:rsidRDefault="00972FF0" w:rsidP="000D27AA">
      <w:pPr>
        <w:pStyle w:val="FERCparanumber"/>
      </w:pPr>
      <w:r>
        <w:t>Here, DEC proposes to roll the costs of Network Upgrades, including those built to serve LSEs with new large loads, into transmission rates paid by all network customers.  The order accepts that proposal, noting that the Commission’s default practice is to roll into rates the costs of all Network Upgrades.</w:t>
      </w:r>
      <w:r>
        <w:rPr>
          <w:rStyle w:val="FootnoteReference"/>
        </w:rPr>
        <w:footnoteReference w:id="173"/>
      </w:r>
      <w:r>
        <w:t xml:space="preserve">  However, it is unclear from the record before us whether that rolled-in rate treatment will actually protect other customers from cost shifts driven by new service requests to large loads.  In the absence of better information about the relative costs of incremental versus rolled-in rates for a specific service request, other transmission customers will have limited ability to assess the specific Network Upgrade costs associated with any individual transmission service request intended to serve large loads, and thus limited ability to confirm whether the LSE’s Committed Revenue Contribution covers at least the incremental cost of those Network Upgrades.</w:t>
      </w:r>
      <w:r>
        <w:rPr>
          <w:rStyle w:val="FootnoteReference"/>
        </w:rPr>
        <w:footnoteReference w:id="174"/>
      </w:r>
      <w:r>
        <w:t xml:space="preserve">     </w:t>
      </w:r>
    </w:p>
    <w:p w14:paraId="13971E19" w14:textId="77777777" w:rsidR="00972FF0" w:rsidRDefault="00972FF0" w:rsidP="000D27AA">
      <w:pPr>
        <w:pStyle w:val="FERCparanumber"/>
      </w:pPr>
      <w:r>
        <w:t>That outcome is consistent with the existing Commission policy but highlights precisely why that policy is deficient.  As I have previously written, the Commission should be open to alternative transmission pricing approaches to ensure that existing customers do not bear the costs of extraordinary transmission upgrade costs incurred to serve large loads or the risk that such loads do not materialize.</w:t>
      </w:r>
      <w:r w:rsidRPr="0524466A">
        <w:rPr>
          <w:rStyle w:val="FootnoteReference"/>
        </w:rPr>
        <w:footnoteReference w:id="175"/>
      </w:r>
      <w:r>
        <w:t xml:space="preserve">  That could take various forms, such as enforcing “higher of” pricing (i.e., </w:t>
      </w:r>
      <w:r w:rsidRPr="009A6962">
        <w:rPr>
          <w:i/>
        </w:rPr>
        <w:t>requiring</w:t>
      </w:r>
      <w:r>
        <w:t xml:space="preserve"> that service for new loads be </w:t>
      </w:r>
      <w:r>
        <w:lastRenderedPageBreak/>
        <w:t xml:space="preserve">priced at the “higher of” incremental or rolled in rates).  Overall, the Commission should do more than simply </w:t>
      </w:r>
      <w:r>
        <w:rPr>
          <w:i/>
          <w:iCs/>
        </w:rPr>
        <w:t>presume</w:t>
      </w:r>
      <w:r>
        <w:t xml:space="preserve"> rolled-in rate treatment is sufficient customer protection in all instances.  If that requires a change to Commission policy, then we should make it. </w:t>
      </w:r>
    </w:p>
    <w:p w14:paraId="276A6C44" w14:textId="77777777" w:rsidR="00972FF0" w:rsidRPr="0063304D" w:rsidRDefault="00972FF0" w:rsidP="0068242A">
      <w:pPr>
        <w:pStyle w:val="Heading2"/>
      </w:pPr>
      <w:r>
        <w:rPr>
          <w:bCs/>
        </w:rPr>
        <w:t>Costs Driven by Large Loads Necessitate Additional Transparency</w:t>
      </w:r>
    </w:p>
    <w:p w14:paraId="38C8359C" w14:textId="77777777" w:rsidR="00972FF0" w:rsidRDefault="00972FF0" w:rsidP="005F7444">
      <w:pPr>
        <w:pStyle w:val="FERCparanumber"/>
      </w:pPr>
      <w:r>
        <w:t>In the Large Load Show Cause Orders, the Commission identified an emerging need for additional transparency associated with new large loads and associated upgrades.</w:t>
      </w:r>
      <w:r>
        <w:rPr>
          <w:rStyle w:val="FootnoteReference"/>
        </w:rPr>
        <w:footnoteReference w:id="176"/>
      </w:r>
      <w:r>
        <w:t xml:space="preserve">  Although such proceedings are limited to regional transmission organizations and independent system operators, </w:t>
      </w:r>
      <w:r w:rsidDel="003C5A85">
        <w:t xml:space="preserve">the </w:t>
      </w:r>
      <w:r>
        <w:t>need for additional transparency in the face of large load growth and associated transmission upgrades</w:t>
      </w:r>
      <w:r w:rsidDel="004E6E27">
        <w:t xml:space="preserve"> </w:t>
      </w:r>
      <w:r>
        <w:t>is applicable to all transmission owners.</w:t>
      </w:r>
    </w:p>
    <w:p w14:paraId="73BD7165" w14:textId="77777777" w:rsidR="00972FF0" w:rsidRDefault="00972FF0" w:rsidP="005F7444">
      <w:pPr>
        <w:pStyle w:val="FERCparanumber"/>
      </w:pPr>
      <w:r>
        <w:t xml:space="preserve">In the instant filing, DEC’s proposed NITSA language leaves unchanged the level of transparency that parties, including customers, regulators, and consumer advocates, have into the cost and nature of transmission upgrades built to serve large loads.  Network Upgrades driven by large load customers will be reflected in </w:t>
      </w:r>
      <w:r>
        <w:rPr>
          <w:i/>
          <w:iCs/>
        </w:rPr>
        <w:t xml:space="preserve">pro forma </w:t>
      </w:r>
      <w:r>
        <w:t xml:space="preserve">NITSAs, which in turn will be reported to the Commission via EQRs, rather than </w:t>
      </w:r>
      <w:proofErr w:type="gramStart"/>
      <w:r>
        <w:t>actually filed</w:t>
      </w:r>
      <w:proofErr w:type="gramEnd"/>
      <w:r>
        <w:t xml:space="preserve">.  While this level of transparency is consistent with current Commission requirements, it falls far short of the standard proposed by the Commission in the Large Load Show Cause Orders, as it fails to provide the information consumers and other stakeholders need for timely evaluation of the reasonableness of the rate treatment or whether costs are being correctly allocated under that selected rate treatment.  </w:t>
      </w:r>
    </w:p>
    <w:p w14:paraId="45B413B8" w14:textId="77777777" w:rsidR="00972FF0" w:rsidRDefault="00972FF0" w:rsidP="005F7444">
      <w:pPr>
        <w:pStyle w:val="FERCparanumber"/>
      </w:pPr>
      <w:r>
        <w:t>In response to arguments made by protesters that DEC’s proposed NITSA would hinder their ability to meaningfully and timely evaluate the reasonableness of a specific rate treatment, the order points out that parties can challenge the allocation of specific costs by filing complaints related to these costs</w:t>
      </w:r>
      <w:r w:rsidDel="00FB3625">
        <w:t xml:space="preserve"> </w:t>
      </w:r>
      <w:r>
        <w:t>in DEC’s formula rate annual informational filings.</w:t>
      </w:r>
      <w:r>
        <w:rPr>
          <w:rStyle w:val="FootnoteReference"/>
        </w:rPr>
        <w:footnoteReference w:id="177"/>
      </w:r>
      <w:r>
        <w:t xml:space="preserve">  However, challenges to the formula rate annual informational filings would not allow stakeholders to challenge the appropriateness of a rate treatment embedded in an executed NITSA that is reported to the Commission in an EQR.  Instead, this process would only provide information for projects already in service and does not provide information on whether a transmission project was constructed to serve the needs </w:t>
      </w:r>
      <w:r>
        <w:lastRenderedPageBreak/>
        <w:t>of a specific large load.</w:t>
      </w:r>
      <w:r>
        <w:rPr>
          <w:rStyle w:val="FootnoteReference"/>
        </w:rPr>
        <w:footnoteReference w:id="178"/>
      </w:r>
      <w:r>
        <w:t xml:space="preserve">  Similarly, EQR data does not identify such projects that are still only in the planning phase and therefore does not provide transparency into the reasonableness of a specific rate treatment </w:t>
      </w:r>
      <w:r w:rsidRPr="00080C31">
        <w:rPr>
          <w:i/>
        </w:rPr>
        <w:t>before</w:t>
      </w:r>
      <w:r>
        <w:t xml:space="preserve"> an executed NITSA </w:t>
      </w:r>
      <w:r w:rsidDel="00B97916">
        <w:t xml:space="preserve">is </w:t>
      </w:r>
      <w:r>
        <w:t xml:space="preserve">reported to the Commission in an EQR. </w:t>
      </w:r>
    </w:p>
    <w:p w14:paraId="28656691" w14:textId="77777777" w:rsidR="00972FF0" w:rsidRDefault="00972FF0" w:rsidP="005F7444">
      <w:pPr>
        <w:pStyle w:val="FERCparanumber"/>
      </w:pPr>
      <w:r>
        <w:t>Simply put, parties need access to information on new transmission projects before such projects are undertaken so that they can engage during the planning period and assess the reasonableness of the rate treatment and cost impacts of new Network Upgrades, particularly if those will be rolled into rates that all customers must pay.  The information currently available to interested parties from DEC, as described in the order, appears insufficient, even though it complies with relevant precedent.</w:t>
      </w:r>
    </w:p>
    <w:p w14:paraId="551C91A8" w14:textId="77777777" w:rsidR="00972FF0" w:rsidRPr="0063304D" w:rsidRDefault="00972FF0" w:rsidP="00CB405F">
      <w:pPr>
        <w:pStyle w:val="Heading1"/>
      </w:pPr>
      <w:r w:rsidRPr="0063304D">
        <w:rPr>
          <w:bCs/>
        </w:rPr>
        <w:t>Conclusion</w:t>
      </w:r>
    </w:p>
    <w:p w14:paraId="440CB0B9" w14:textId="77777777" w:rsidR="00972FF0" w:rsidRDefault="00972FF0" w:rsidP="000D27AA">
      <w:pPr>
        <w:pStyle w:val="FERCparanumber"/>
      </w:pPr>
      <w:r>
        <w:t>Notwithstanding my concerns, I appreciate that DEC took the initiative to submit customer protection reforms to the Commission.  We should, as the Commission has done,</w:t>
      </w:r>
      <w:r>
        <w:rPr>
          <w:rStyle w:val="FootnoteReference"/>
        </w:rPr>
        <w:footnoteReference w:id="179"/>
      </w:r>
      <w:r>
        <w:t xml:space="preserve"> encourage utilities to voluntarily submit filings that bolster customer protections while rigorously scrutinizing those filings to ensure they </w:t>
      </w:r>
      <w:proofErr w:type="gramStart"/>
      <w:r>
        <w:t>actually protect</w:t>
      </w:r>
      <w:proofErr w:type="gramEnd"/>
      <w:r>
        <w:t xml:space="preserve"> customers against the risk of unjustified cost shifts resulting from the addition of large loads to the system.  </w:t>
      </w:r>
      <w:r w:rsidRPr="00A76B92">
        <w:t xml:space="preserve">The Commission’s actions in the </w:t>
      </w:r>
      <w:r>
        <w:t>L</w:t>
      </w:r>
      <w:r w:rsidRPr="00A76B92">
        <w:t xml:space="preserve">arge </w:t>
      </w:r>
      <w:r>
        <w:t>L</w:t>
      </w:r>
      <w:r w:rsidRPr="00A76B92">
        <w:t>oad</w:t>
      </w:r>
      <w:r>
        <w:t xml:space="preserve"> Show Cause Orders</w:t>
      </w:r>
      <w:r w:rsidRPr="00A76B92">
        <w:t xml:space="preserve"> </w:t>
      </w:r>
      <w:r>
        <w:t>reflect</w:t>
      </w:r>
      <w:r w:rsidRPr="00A76B92">
        <w:t xml:space="preserve"> </w:t>
      </w:r>
      <w:proofErr w:type="gramStart"/>
      <w:r w:rsidRPr="00A76B92">
        <w:t xml:space="preserve">its </w:t>
      </w:r>
      <w:r>
        <w:t>intent</w:t>
      </w:r>
      <w:proofErr w:type="gramEnd"/>
      <w:r w:rsidRPr="00A76B92">
        <w:t xml:space="preserve"> to </w:t>
      </w:r>
      <w:r>
        <w:t xml:space="preserve">lead on this issue and its recognition that the </w:t>
      </w:r>
      <w:r>
        <w:rPr>
          <w:i/>
          <w:iCs/>
        </w:rPr>
        <w:t>status quo</w:t>
      </w:r>
      <w:r>
        <w:t xml:space="preserve"> is insufficient</w:t>
      </w:r>
      <w:r w:rsidRPr="00A76B92">
        <w:t xml:space="preserve">. </w:t>
      </w:r>
      <w:r>
        <w:t xml:space="preserve"> As the Commission considers these types of proposals, w</w:t>
      </w:r>
      <w:r w:rsidRPr="00A76B92">
        <w:t xml:space="preserve">e </w:t>
      </w:r>
      <w:r>
        <w:t xml:space="preserve">therefore </w:t>
      </w:r>
      <w:r w:rsidRPr="00A76B92">
        <w:t xml:space="preserve">can and should expect more than </w:t>
      </w:r>
      <w:r>
        <w:t xml:space="preserve">just </w:t>
      </w:r>
      <w:r w:rsidRPr="00A76B92">
        <w:t>a demonstration that a filing is better than th</w:t>
      </w:r>
      <w:r>
        <w:t>e inadequate</w:t>
      </w:r>
      <w:r w:rsidRPr="00A76B92">
        <w:t xml:space="preserve"> </w:t>
      </w:r>
      <w:r w:rsidRPr="00A76B92">
        <w:rPr>
          <w:i/>
          <w:iCs/>
        </w:rPr>
        <w:t>status quo</w:t>
      </w:r>
      <w:r>
        <w:t xml:space="preserve">. </w:t>
      </w:r>
      <w:r w:rsidRPr="00A76B92">
        <w:t xml:space="preserve"> </w:t>
      </w:r>
    </w:p>
    <w:p w14:paraId="35E4891E" w14:textId="77777777" w:rsidR="00972FF0" w:rsidRDefault="00972FF0" w:rsidP="000D27AA">
      <w:pPr>
        <w:pStyle w:val="FERCparanumber"/>
      </w:pPr>
      <w:r>
        <w:t>Unfortunately, the Commission’s</w:t>
      </w:r>
      <w:r w:rsidRPr="00A76B92">
        <w:t xml:space="preserve"> findings here both set precedent and send signals about what the Commission </w:t>
      </w:r>
      <w:r>
        <w:t>considers</w:t>
      </w:r>
      <w:r w:rsidRPr="00A76B92">
        <w:t xml:space="preserve"> an acceptable level of customer protection</w:t>
      </w:r>
      <w:r>
        <w:t xml:space="preserve"> and evidentiary record to support it</w:t>
      </w:r>
      <w:r w:rsidRPr="00A76B92">
        <w:t>.</w:t>
      </w:r>
      <w:r>
        <w:t xml:space="preserve">  I do not believe that DEC has demonstrated that its filing represents an acceptable level of customer protection, and the precedent the Commission establishes here takes a step backwards from the strong arguments set forth in the Large Load Show Cause Orders.  Accordingly, rather</w:t>
      </w:r>
      <w:r w:rsidDel="00FF39A6">
        <w:t xml:space="preserve"> than accept </w:t>
      </w:r>
      <w:r>
        <w:t>DEC’s</w:t>
      </w:r>
      <w:r w:rsidDel="00FF39A6">
        <w:t xml:space="preserve"> filing, I would reject it with guidance to encourage </w:t>
      </w:r>
      <w:r>
        <w:t>DEC</w:t>
      </w:r>
      <w:r w:rsidDel="00FF39A6">
        <w:t xml:space="preserve"> to strengthen and re-file its proposal. </w:t>
      </w:r>
    </w:p>
    <w:p w14:paraId="1B6D0A8F" w14:textId="77777777" w:rsidR="00972FF0" w:rsidRDefault="00972FF0">
      <w:pPr>
        <w:widowControl/>
        <w:spacing w:after="160" w:line="259" w:lineRule="auto"/>
      </w:pPr>
      <w:r>
        <w:br w:type="page"/>
      </w:r>
    </w:p>
    <w:p w14:paraId="413ACE71" w14:textId="77777777" w:rsidR="00972FF0" w:rsidRDefault="00972FF0" w:rsidP="00C02A04">
      <w:r>
        <w:lastRenderedPageBreak/>
        <w:t>For these reasons, I respectfully dissent.</w:t>
      </w:r>
    </w:p>
    <w:p w14:paraId="080E8B43" w14:textId="77777777" w:rsidR="00972FF0" w:rsidRDefault="00972FF0" w:rsidP="00C02A04"/>
    <w:p w14:paraId="31014462" w14:textId="77777777" w:rsidR="00972FF0" w:rsidRDefault="00972FF0" w:rsidP="000D27AA"/>
    <w:p w14:paraId="18A9428A" w14:textId="77777777" w:rsidR="00972FF0" w:rsidRDefault="00972FF0" w:rsidP="000D27AA">
      <w:r w:rsidRPr="001E7450">
        <w:rPr>
          <w:noProof/>
        </w:rPr>
        <w:drawing>
          <wp:inline distT="0" distB="0" distL="0" distR="0" wp14:anchorId="24FB11F4" wp14:editId="4EEC7BD5">
            <wp:extent cx="2258568" cy="749808"/>
            <wp:effectExtent l="0" t="0" r="0" b="0"/>
            <wp:docPr id="1123048875" name="Picture 112304887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rotWithShape="1">
                    <a:blip r:embed="rId17" cstate="print">
                      <a:extLst>
                        <a:ext uri="{28A0092B-C50C-407E-A947-70E740481C1C}">
                          <a14:useLocalDpi xmlns:a14="http://schemas.microsoft.com/office/drawing/2010/main" val="0"/>
                        </a:ext>
                      </a:extLst>
                    </a:blip>
                    <a:srcRect l="15479" t="34104" r="11548" b="33673"/>
                    <a:stretch/>
                  </pic:blipFill>
                  <pic:spPr bwMode="auto">
                    <a:xfrm>
                      <a:off x="0" y="0"/>
                      <a:ext cx="2258568" cy="749808"/>
                    </a:xfrm>
                    <a:prstGeom prst="rect">
                      <a:avLst/>
                    </a:prstGeom>
                    <a:ln>
                      <a:noFill/>
                    </a:ln>
                    <a:extLst>
                      <a:ext uri="{53640926-AAD7-44D8-BBD7-CCE9431645EC}">
                        <a14:shadowObscured xmlns:a14="http://schemas.microsoft.com/office/drawing/2010/main"/>
                      </a:ext>
                    </a:extLst>
                  </pic:spPr>
                </pic:pic>
              </a:graphicData>
            </a:graphic>
          </wp:inline>
        </w:drawing>
      </w:r>
    </w:p>
    <w:p w14:paraId="306A60EE" w14:textId="77777777" w:rsidR="00972FF0" w:rsidRDefault="00972FF0" w:rsidP="000D27AA">
      <w:r>
        <w:t>________________________</w:t>
      </w:r>
    </w:p>
    <w:p w14:paraId="7C155829" w14:textId="77777777" w:rsidR="00972FF0" w:rsidRDefault="00972FF0" w:rsidP="000D27AA">
      <w:r>
        <w:t>Judy W. Chang</w:t>
      </w:r>
    </w:p>
    <w:p w14:paraId="59E40498" w14:textId="77777777" w:rsidR="00972FF0" w:rsidRPr="00C02A04" w:rsidRDefault="00972FF0" w:rsidP="000D27AA">
      <w:r>
        <w:t>Commissioner</w:t>
      </w:r>
    </w:p>
    <w:p w14:paraId="1B91240C" w14:textId="77777777" w:rsidR="00972FF0" w:rsidRPr="00C02A04" w:rsidRDefault="00972FF0" w:rsidP="00C02A04"/>
    <w:p w14:paraId="2A209842" w14:textId="77777777" w:rsidR="00972FF0" w:rsidRPr="003C5A29" w:rsidRDefault="00972FF0" w:rsidP="003C5A29"/>
    <w:p w14:paraId="3F7DE2C9" w14:textId="77777777" w:rsidR="00972FF0" w:rsidRPr="00CF3B07" w:rsidRDefault="00972FF0" w:rsidP="00CF3B07"/>
    <w:p w14:paraId="5B720572" w14:textId="77777777" w:rsidR="00972FF0" w:rsidRPr="00CF3B07" w:rsidRDefault="00972FF0" w:rsidP="00CF3B07"/>
    <w:p w14:paraId="4047CABE" w14:textId="77777777" w:rsidR="00972FF0" w:rsidRPr="003C5A29" w:rsidRDefault="00972FF0" w:rsidP="003C5A29"/>
    <w:p w14:paraId="1D39BD2F" w14:textId="77777777" w:rsidR="00E76ADA" w:rsidRPr="00704918" w:rsidRDefault="00E76ADA" w:rsidP="00972FF0"/>
    <w:p w14:paraId="4B1B659A" w14:textId="77777777" w:rsidR="00BC5F96" w:rsidRDefault="00BC5F96">
      <w:pPr>
        <w:widowControl/>
        <w:spacing w:after="160" w:line="259" w:lineRule="auto"/>
        <w:rPr>
          <w:rFonts w:asciiTheme="minorHAnsi" w:hAnsiTheme="minorHAnsi" w:cstheme="minorBidi"/>
          <w:sz w:val="22"/>
        </w:rPr>
      </w:pPr>
    </w:p>
    <w:sectPr w:rsidR="00BC5F96" w:rsidSect="00704918">
      <w:footnotePr>
        <w:numRestart w:val="eachSect"/>
      </w:footnotePr>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87C02" w14:textId="77777777" w:rsidR="005C542A" w:rsidRDefault="005C542A" w:rsidP="0048020B">
      <w:r>
        <w:separator/>
      </w:r>
    </w:p>
  </w:endnote>
  <w:endnote w:type="continuationSeparator" w:id="0">
    <w:p w14:paraId="05BAD996" w14:textId="77777777" w:rsidR="005C542A" w:rsidRDefault="005C542A"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C36D3" w14:textId="77777777" w:rsidR="005C542A" w:rsidRDefault="005C542A" w:rsidP="0048020B">
      <w:r>
        <w:separator/>
      </w:r>
    </w:p>
  </w:footnote>
  <w:footnote w:type="continuationSeparator" w:id="0">
    <w:p w14:paraId="2250B47F" w14:textId="77777777" w:rsidR="005C542A" w:rsidRDefault="005C542A" w:rsidP="0048020B">
      <w:r>
        <w:continuationSeparator/>
      </w:r>
    </w:p>
  </w:footnote>
  <w:footnote w:type="continuationNotice" w:id="1">
    <w:p w14:paraId="7E41351C" w14:textId="77777777" w:rsidR="005C542A" w:rsidRPr="00BB69A5" w:rsidRDefault="005C542A" w:rsidP="00BB69A5">
      <w:pPr>
        <w:spacing w:line="20" w:lineRule="exact"/>
        <w:rPr>
          <w:sz w:val="2"/>
        </w:rPr>
      </w:pPr>
    </w:p>
  </w:footnote>
  <w:footnote w:id="2">
    <w:p w14:paraId="59876BE0" w14:textId="77777777" w:rsidR="00BC32E4" w:rsidRDefault="00BC32E4">
      <w:pPr>
        <w:pStyle w:val="FootnoteText"/>
      </w:pPr>
      <w:r>
        <w:rPr>
          <w:rStyle w:val="FootnoteReference"/>
        </w:rPr>
        <w:footnoteRef/>
      </w:r>
      <w:r>
        <w:t xml:space="preserve"> </w:t>
      </w:r>
      <w:r w:rsidR="007A3AB3" w:rsidRPr="007A3AB3">
        <w:t>16 U.S.C. § 824d.</w:t>
      </w:r>
    </w:p>
  </w:footnote>
  <w:footnote w:id="3">
    <w:p w14:paraId="3B42651D" w14:textId="77777777" w:rsidR="00E668A8" w:rsidRDefault="00E668A8">
      <w:pPr>
        <w:pStyle w:val="FootnoteText"/>
      </w:pPr>
      <w:r>
        <w:rPr>
          <w:rStyle w:val="FootnoteReference"/>
        </w:rPr>
        <w:footnoteRef/>
      </w:r>
      <w:r>
        <w:t xml:space="preserve"> </w:t>
      </w:r>
      <w:r w:rsidR="00D10AF6" w:rsidRPr="00D10AF6">
        <w:t>18 C.F.R. pt. 35 (2025).</w:t>
      </w:r>
    </w:p>
  </w:footnote>
  <w:footnote w:id="4">
    <w:p w14:paraId="7D2DE339" w14:textId="77777777" w:rsidR="003970A0" w:rsidRDefault="003970A0">
      <w:pPr>
        <w:pStyle w:val="FootnoteText"/>
      </w:pPr>
      <w:r>
        <w:rPr>
          <w:rStyle w:val="FootnoteReference"/>
        </w:rPr>
        <w:footnoteRef/>
      </w:r>
      <w:r>
        <w:t xml:space="preserve"> </w:t>
      </w:r>
      <w:r w:rsidR="00372754" w:rsidRPr="004947B8">
        <w:t>Duke Energy Carolinas, LLC</w:t>
      </w:r>
      <w:r w:rsidR="00372754">
        <w:t xml:space="preserve">, </w:t>
      </w:r>
      <w:r w:rsidR="00372754" w:rsidRPr="004947B8">
        <w:t>Tariffs, Rate Schedules and Service Agreements</w:t>
      </w:r>
      <w:r w:rsidR="00372754">
        <w:t xml:space="preserve">, Open Access Transmission Tariff (18.0.0).  The Joint OATT is </w:t>
      </w:r>
      <w:r w:rsidR="00264E2D">
        <w:t xml:space="preserve">the unified transmission tariff </w:t>
      </w:r>
      <w:r w:rsidR="00DF1C43">
        <w:t>shared by DEC, Duke Energy Progress, LLC, and Duke Energy Florida, LLC</w:t>
      </w:r>
      <w:r w:rsidR="00477FEF">
        <w:t xml:space="preserve"> that establishes the terms, conditions, and rates for open</w:t>
      </w:r>
      <w:r w:rsidR="007A7AF7">
        <w:t xml:space="preserve"> </w:t>
      </w:r>
      <w:r w:rsidR="00477FEF">
        <w:t xml:space="preserve">access </w:t>
      </w:r>
      <w:r w:rsidR="00037E99">
        <w:t>point-to-point and N</w:t>
      </w:r>
      <w:r w:rsidR="003B101E">
        <w:t xml:space="preserve">etwork </w:t>
      </w:r>
      <w:r w:rsidR="007A7AF7">
        <w:t xml:space="preserve">Integration </w:t>
      </w:r>
      <w:r w:rsidR="00037E99">
        <w:t>T</w:t>
      </w:r>
      <w:r w:rsidR="003B101E">
        <w:t xml:space="preserve">ransmission </w:t>
      </w:r>
      <w:r w:rsidR="00037E99">
        <w:t>S</w:t>
      </w:r>
      <w:r w:rsidR="003B101E">
        <w:t>ervice</w:t>
      </w:r>
      <w:r w:rsidR="00037E99">
        <w:t xml:space="preserve"> across those utilities’ </w:t>
      </w:r>
      <w:r w:rsidR="003B101E">
        <w:t>transmission system</w:t>
      </w:r>
      <w:r w:rsidR="001B22E8">
        <w:t>s</w:t>
      </w:r>
      <w:r w:rsidR="00C73EC8">
        <w:t>, among other things</w:t>
      </w:r>
      <w:r w:rsidR="003B101E">
        <w:t>.</w:t>
      </w:r>
      <w:r w:rsidR="00C73EC8">
        <w:t xml:space="preserve">  </w:t>
      </w:r>
      <w:r w:rsidR="00C73EC8">
        <w:rPr>
          <w:i/>
          <w:iCs/>
        </w:rPr>
        <w:t xml:space="preserve">See </w:t>
      </w:r>
      <w:r w:rsidR="00DC3544">
        <w:rPr>
          <w:i/>
          <w:iCs/>
        </w:rPr>
        <w:t>Duke Energy Corp.</w:t>
      </w:r>
      <w:r w:rsidR="00DC3544">
        <w:t xml:space="preserve">, </w:t>
      </w:r>
      <w:r w:rsidR="00925660">
        <w:t xml:space="preserve">139 FERC ¶ 61,193 (2012). </w:t>
      </w:r>
      <w:r w:rsidR="003B101E">
        <w:t xml:space="preserve"> </w:t>
      </w:r>
    </w:p>
  </w:footnote>
  <w:footnote w:id="5">
    <w:p w14:paraId="6472EBCE" w14:textId="77777777" w:rsidR="002425D0" w:rsidRPr="00253A50" w:rsidRDefault="002425D0" w:rsidP="002425D0">
      <w:pPr>
        <w:pStyle w:val="FootnoteText"/>
      </w:pPr>
      <w:r>
        <w:rPr>
          <w:rStyle w:val="FootnoteReference"/>
        </w:rPr>
        <w:footnoteRef/>
      </w:r>
      <w:r>
        <w:t xml:space="preserve"> </w:t>
      </w:r>
      <w:r w:rsidR="0050552E">
        <w:t xml:space="preserve">Filing, </w:t>
      </w:r>
      <w:r>
        <w:t xml:space="preserve">Transmittal </w:t>
      </w:r>
      <w:r w:rsidR="0050552E">
        <w:t xml:space="preserve">Letter </w:t>
      </w:r>
      <w:r>
        <w:t>at 2.</w:t>
      </w:r>
      <w:r w:rsidR="00181022">
        <w:t xml:space="preserve">  </w:t>
      </w:r>
    </w:p>
  </w:footnote>
  <w:footnote w:id="6">
    <w:p w14:paraId="27CD1F78" w14:textId="77777777" w:rsidR="005F7F07" w:rsidRDefault="005F7F07">
      <w:pPr>
        <w:pStyle w:val="FootnoteText"/>
      </w:pPr>
      <w:r>
        <w:rPr>
          <w:rStyle w:val="FootnoteReference"/>
        </w:rPr>
        <w:footnoteRef/>
      </w:r>
      <w:r>
        <w:t xml:space="preserve"> </w:t>
      </w:r>
      <w:r w:rsidR="00306C74">
        <w:t xml:space="preserve">Filing, </w:t>
      </w:r>
      <w:r w:rsidR="00D13883">
        <w:t xml:space="preserve">Transmittal </w:t>
      </w:r>
      <w:r w:rsidR="00306C74">
        <w:t xml:space="preserve">Letter </w:t>
      </w:r>
      <w:r w:rsidR="00D13883">
        <w:t xml:space="preserve">at 2.  </w:t>
      </w:r>
    </w:p>
  </w:footnote>
  <w:footnote w:id="7">
    <w:p w14:paraId="033D0C13" w14:textId="77777777" w:rsidR="001A5AFC" w:rsidRDefault="001A5AFC" w:rsidP="001A5AFC">
      <w:pPr>
        <w:pStyle w:val="FootnoteText"/>
      </w:pPr>
      <w:r>
        <w:rPr>
          <w:rStyle w:val="FootnoteReference"/>
        </w:rPr>
        <w:footnoteRef/>
      </w:r>
      <w:r>
        <w:t xml:space="preserve"> </w:t>
      </w:r>
      <w:r w:rsidR="00ED1000" w:rsidRPr="00ED1000">
        <w:rPr>
          <w:i/>
          <w:iCs/>
        </w:rPr>
        <w:t xml:space="preserve">Id. </w:t>
      </w:r>
      <w:r>
        <w:t>at 2-3</w:t>
      </w:r>
      <w:r w:rsidR="00F545BA">
        <w:t xml:space="preserve">; </w:t>
      </w:r>
      <w:r w:rsidR="00F545BA">
        <w:rPr>
          <w:i/>
          <w:iCs/>
        </w:rPr>
        <w:t xml:space="preserve">see </w:t>
      </w:r>
      <w:r w:rsidR="005210BE">
        <w:rPr>
          <w:i/>
          <w:iCs/>
        </w:rPr>
        <w:t>Duke Energy Carolinas, LLC</w:t>
      </w:r>
      <w:r w:rsidR="005210BE">
        <w:t xml:space="preserve">, </w:t>
      </w:r>
      <w:r w:rsidR="00F00507">
        <w:t xml:space="preserve">Docket No. ER21-2900-004 </w:t>
      </w:r>
      <w:r w:rsidR="009A00E0">
        <w:t xml:space="preserve">                </w:t>
      </w:r>
      <w:r w:rsidR="00F00507">
        <w:t xml:space="preserve">(Apr. 28, 2022) (delegated order) (accepting substantive updates to DEC’s </w:t>
      </w:r>
      <w:r w:rsidR="00F00507">
        <w:rPr>
          <w:i/>
          <w:iCs/>
        </w:rPr>
        <w:t xml:space="preserve">pro forma </w:t>
      </w:r>
      <w:r w:rsidR="00F00507">
        <w:t>NITSA)</w:t>
      </w:r>
      <w:r>
        <w:t xml:space="preserve">. </w:t>
      </w:r>
    </w:p>
  </w:footnote>
  <w:footnote w:id="8">
    <w:p w14:paraId="5804E155" w14:textId="77777777" w:rsidR="001A5AFC" w:rsidRDefault="001A5AFC" w:rsidP="009A00E0">
      <w:pPr>
        <w:pStyle w:val="FootnoteText"/>
        <w:widowControl/>
      </w:pPr>
      <w:r>
        <w:rPr>
          <w:rStyle w:val="FootnoteReference"/>
        </w:rPr>
        <w:footnoteRef/>
      </w:r>
      <w:r>
        <w:t xml:space="preserve"> As explained below, DEC defines loads of 100 MW or greater as large loads.</w:t>
      </w:r>
    </w:p>
  </w:footnote>
  <w:footnote w:id="9">
    <w:p w14:paraId="4E456F12" w14:textId="77777777" w:rsidR="00E97917" w:rsidRDefault="00E97917">
      <w:pPr>
        <w:pStyle w:val="FootnoteText"/>
      </w:pPr>
      <w:r>
        <w:rPr>
          <w:rStyle w:val="FootnoteReference"/>
        </w:rPr>
        <w:footnoteRef/>
      </w:r>
      <w:r>
        <w:t xml:space="preserve"> </w:t>
      </w:r>
      <w:r w:rsidR="00623F27">
        <w:t xml:space="preserve">Filing, </w:t>
      </w:r>
      <w:r w:rsidR="0004599D">
        <w:t xml:space="preserve">Transmittal </w:t>
      </w:r>
      <w:r w:rsidR="00623F27">
        <w:t xml:space="preserve">Letter </w:t>
      </w:r>
      <w:r w:rsidR="0004599D">
        <w:t>at 4.</w:t>
      </w:r>
    </w:p>
  </w:footnote>
  <w:footnote w:id="10">
    <w:p w14:paraId="58C2D350" w14:textId="77777777" w:rsidR="007178C1" w:rsidRDefault="007178C1" w:rsidP="001F7F7C">
      <w:pPr>
        <w:pStyle w:val="FootnoteText"/>
      </w:pPr>
      <w:r>
        <w:rPr>
          <w:rStyle w:val="FootnoteReference"/>
        </w:rPr>
        <w:footnoteRef/>
      </w:r>
      <w:r>
        <w:t xml:space="preserve"> </w:t>
      </w:r>
      <w:proofErr w:type="spellStart"/>
      <w:r w:rsidR="00FC2D6F">
        <w:t>ElectriCities</w:t>
      </w:r>
      <w:proofErr w:type="spellEnd"/>
      <w:r w:rsidR="005D2529">
        <w:t xml:space="preserve"> filed </w:t>
      </w:r>
      <w:r w:rsidR="007466BC">
        <w:t xml:space="preserve">its protest on behalf of itself, </w:t>
      </w:r>
      <w:r w:rsidR="001F7F7C" w:rsidRPr="001F7F7C">
        <w:t>North Carolina Municipal Power Agency No. 1</w:t>
      </w:r>
      <w:r w:rsidR="005863AC">
        <w:t>,</w:t>
      </w:r>
      <w:r w:rsidR="001F7F7C" w:rsidRPr="001F7F7C">
        <w:t xml:space="preserve"> and North Carolina Eastern Municipal Power Agency</w:t>
      </w:r>
      <w:r w:rsidR="001F7F7C">
        <w:t>.</w:t>
      </w:r>
    </w:p>
  </w:footnote>
  <w:footnote w:id="11">
    <w:p w14:paraId="453192BB" w14:textId="77777777" w:rsidR="00690D0C" w:rsidRDefault="00690D0C">
      <w:pPr>
        <w:pStyle w:val="FootnoteText"/>
      </w:pPr>
      <w:r>
        <w:rPr>
          <w:rStyle w:val="FootnoteReference"/>
        </w:rPr>
        <w:footnoteRef/>
      </w:r>
      <w:r>
        <w:t xml:space="preserve"> </w:t>
      </w:r>
      <w:r w:rsidR="00B9277F">
        <w:t xml:space="preserve">Filing, </w:t>
      </w:r>
      <w:r>
        <w:t xml:space="preserve">Transmittal </w:t>
      </w:r>
      <w:r w:rsidR="00B9277F">
        <w:t xml:space="preserve">Letter </w:t>
      </w:r>
      <w:r>
        <w:t>at 20.</w:t>
      </w:r>
    </w:p>
  </w:footnote>
  <w:footnote w:id="12">
    <w:p w14:paraId="19D6F4A4" w14:textId="77777777" w:rsidR="00A92301" w:rsidRDefault="00A92301" w:rsidP="00A92301">
      <w:pPr>
        <w:pStyle w:val="FootnoteText"/>
      </w:pPr>
      <w:r>
        <w:rPr>
          <w:rStyle w:val="FootnoteReference"/>
        </w:rPr>
        <w:footnoteRef/>
      </w:r>
      <w:r>
        <w:t xml:space="preserve"> </w:t>
      </w:r>
      <w:r w:rsidR="00172B3B">
        <w:rPr>
          <w:i/>
          <w:iCs/>
        </w:rPr>
        <w:t>I</w:t>
      </w:r>
      <w:r>
        <w:rPr>
          <w:i/>
          <w:iCs/>
        </w:rPr>
        <w:t xml:space="preserve">d. </w:t>
      </w:r>
      <w:proofErr w:type="gramStart"/>
      <w:r>
        <w:t>at</w:t>
      </w:r>
      <w:proofErr w:type="gramEnd"/>
      <w:r>
        <w:t xml:space="preserve"> 21-23.</w:t>
      </w:r>
    </w:p>
  </w:footnote>
  <w:footnote w:id="13">
    <w:p w14:paraId="6673EFD9" w14:textId="77777777" w:rsidR="00A92301" w:rsidRPr="00B36E52" w:rsidRDefault="00A92301" w:rsidP="00A92301">
      <w:pPr>
        <w:pStyle w:val="FootnoteText"/>
      </w:pPr>
      <w:r>
        <w:rPr>
          <w:rStyle w:val="FootnoteReference"/>
        </w:rPr>
        <w:footnoteRef/>
      </w:r>
      <w:r>
        <w:t xml:space="preserve"> </w:t>
      </w:r>
      <w:r w:rsidR="00A06D39">
        <w:rPr>
          <w:i/>
          <w:iCs/>
        </w:rPr>
        <w:t>Id.</w:t>
      </w:r>
      <w:r>
        <w:rPr>
          <w:i/>
          <w:iCs/>
        </w:rPr>
        <w:t xml:space="preserve"> </w:t>
      </w:r>
      <w:r>
        <w:t xml:space="preserve">at 11; </w:t>
      </w:r>
      <w:r>
        <w:rPr>
          <w:i/>
          <w:iCs/>
        </w:rPr>
        <w:t xml:space="preserve">see </w:t>
      </w:r>
      <w:r w:rsidR="00EB461F">
        <w:t>a</w:t>
      </w:r>
      <w:r>
        <w:t>tt</w:t>
      </w:r>
      <w:r w:rsidR="00EB461F">
        <w:t>ach</w:t>
      </w:r>
      <w:proofErr w:type="gramStart"/>
      <w:r>
        <w:t xml:space="preserve">. </w:t>
      </w:r>
      <w:proofErr w:type="gramEnd"/>
      <w:r>
        <w:t>A.</w:t>
      </w:r>
    </w:p>
  </w:footnote>
  <w:footnote w:id="14">
    <w:p w14:paraId="08C5417C" w14:textId="77777777" w:rsidR="00816707" w:rsidRPr="004665EB" w:rsidRDefault="00816707" w:rsidP="00816707">
      <w:pPr>
        <w:pStyle w:val="FootnoteText"/>
      </w:pPr>
      <w:r>
        <w:rPr>
          <w:rStyle w:val="FootnoteReference"/>
        </w:rPr>
        <w:footnoteRef/>
      </w:r>
      <w:r>
        <w:t xml:space="preserve"> </w:t>
      </w:r>
      <w:r w:rsidR="00E80555" w:rsidRPr="00E80555">
        <w:rPr>
          <w:i/>
          <w:iCs/>
        </w:rPr>
        <w:t>Id.</w:t>
      </w:r>
      <w:r>
        <w:t xml:space="preserve">; </w:t>
      </w:r>
      <w:r>
        <w:rPr>
          <w:i/>
          <w:iCs/>
        </w:rPr>
        <w:t xml:space="preserve">see </w:t>
      </w:r>
      <w:r w:rsidR="00EB461F">
        <w:t>a</w:t>
      </w:r>
      <w:r>
        <w:t>tt</w:t>
      </w:r>
      <w:r w:rsidR="00EB461F">
        <w:t>ach</w:t>
      </w:r>
      <w:proofErr w:type="gramStart"/>
      <w:r>
        <w:t xml:space="preserve">. </w:t>
      </w:r>
      <w:proofErr w:type="gramEnd"/>
      <w:r>
        <w:t xml:space="preserve">F (explaining, under “New or Transferred Network Load,” the types of service requests to which the terms and conditions of Attachment F applies).  </w:t>
      </w:r>
    </w:p>
  </w:footnote>
  <w:footnote w:id="15">
    <w:p w14:paraId="126DE9DF" w14:textId="77777777" w:rsidR="00816707" w:rsidRDefault="00816707" w:rsidP="00816707">
      <w:pPr>
        <w:pStyle w:val="FootnoteText"/>
      </w:pPr>
      <w:r>
        <w:rPr>
          <w:rStyle w:val="FootnoteReference"/>
        </w:rPr>
        <w:footnoteRef/>
      </w:r>
      <w:r w:rsidR="0041704C">
        <w:t xml:space="preserve"> </w:t>
      </w:r>
      <w:r w:rsidR="00E80555" w:rsidRPr="00E80555">
        <w:rPr>
          <w:i/>
          <w:iCs/>
        </w:rPr>
        <w:t xml:space="preserve">Id. </w:t>
      </w:r>
      <w:r>
        <w:t>at 20-21.</w:t>
      </w:r>
    </w:p>
  </w:footnote>
  <w:footnote w:id="16">
    <w:p w14:paraId="1DB1CFDA" w14:textId="77777777" w:rsidR="00816707" w:rsidRDefault="00816707" w:rsidP="00816707">
      <w:pPr>
        <w:pStyle w:val="FootnoteText"/>
      </w:pPr>
      <w:r>
        <w:rPr>
          <w:rStyle w:val="FootnoteReference"/>
        </w:rPr>
        <w:footnoteRef/>
      </w:r>
      <w:r>
        <w:t xml:space="preserve"> </w:t>
      </w:r>
      <w:r>
        <w:rPr>
          <w:i/>
          <w:iCs/>
        </w:rPr>
        <w:t>Id.</w:t>
      </w:r>
      <w:r>
        <w:t xml:space="preserve"> (citing Joint OATT §§ 29.2, 31.1, 31.2).</w:t>
      </w:r>
    </w:p>
  </w:footnote>
  <w:footnote w:id="17">
    <w:p w14:paraId="497FAEBE" w14:textId="77777777" w:rsidR="00816707" w:rsidRPr="001E6B72" w:rsidRDefault="00816707" w:rsidP="00816707">
      <w:pPr>
        <w:pStyle w:val="FootnoteText"/>
      </w:pPr>
      <w:r>
        <w:rPr>
          <w:rStyle w:val="FootnoteReference"/>
        </w:rPr>
        <w:footnoteRef/>
      </w:r>
      <w:r>
        <w:t xml:space="preserve"> </w:t>
      </w:r>
      <w:r w:rsidR="00580E44">
        <w:rPr>
          <w:i/>
          <w:iCs/>
        </w:rPr>
        <w:t>Id.</w:t>
      </w:r>
      <w:r>
        <w:t xml:space="preserve"> at 22.  </w:t>
      </w:r>
      <w:r w:rsidR="00B2144D">
        <w:t xml:space="preserve">Proposed section </w:t>
      </w:r>
      <w:r>
        <w:t xml:space="preserve">I.1 of Attachment F also stipulates that </w:t>
      </w:r>
      <w:r w:rsidR="00B2144D">
        <w:t xml:space="preserve">the </w:t>
      </w:r>
      <w:r>
        <w:t xml:space="preserve">transmission customer will not connect any new Network Load to the transmission system until the in-service date specified in the NITSA unless all Network Upgrades necessary to accommodate the load have been constructed or the parties agree to an earlier in-service date.  </w:t>
      </w:r>
      <w:r>
        <w:rPr>
          <w:i/>
          <w:iCs/>
        </w:rPr>
        <w:t xml:space="preserve">See </w:t>
      </w:r>
      <w:r w:rsidR="00EB461F">
        <w:t>a</w:t>
      </w:r>
      <w:r>
        <w:t>tt</w:t>
      </w:r>
      <w:r w:rsidR="00EB461F">
        <w:t>ach</w:t>
      </w:r>
      <w:proofErr w:type="gramStart"/>
      <w:r>
        <w:t xml:space="preserve">. </w:t>
      </w:r>
      <w:proofErr w:type="gramEnd"/>
      <w:r>
        <w:t>F § I.1.</w:t>
      </w:r>
    </w:p>
  </w:footnote>
  <w:footnote w:id="18">
    <w:p w14:paraId="425F92FA" w14:textId="77777777" w:rsidR="004656B7" w:rsidRDefault="004656B7">
      <w:pPr>
        <w:pStyle w:val="FootnoteText"/>
      </w:pPr>
      <w:r>
        <w:rPr>
          <w:rStyle w:val="FootnoteReference"/>
        </w:rPr>
        <w:footnoteRef/>
      </w:r>
      <w:r>
        <w:t xml:space="preserve"> </w:t>
      </w:r>
      <w:proofErr w:type="gramStart"/>
      <w:r w:rsidR="00580E44">
        <w:t>Filing,</w:t>
      </w:r>
      <w:proofErr w:type="gramEnd"/>
      <w:r w:rsidR="00580E44">
        <w:t xml:space="preserve"> Transmittal Letter </w:t>
      </w:r>
      <w:r>
        <w:t>at 10.</w:t>
      </w:r>
    </w:p>
  </w:footnote>
  <w:footnote w:id="19">
    <w:p w14:paraId="6796667F" w14:textId="77777777" w:rsidR="00183415" w:rsidRPr="00D27B7E" w:rsidRDefault="00183415" w:rsidP="00EB461F">
      <w:pPr>
        <w:pStyle w:val="FootnoteText"/>
        <w:widowControl/>
        <w:rPr>
          <w:u w:val="single"/>
        </w:rPr>
      </w:pPr>
      <w:r>
        <w:rPr>
          <w:rStyle w:val="FootnoteReference"/>
        </w:rPr>
        <w:footnoteRef/>
      </w:r>
      <w:r>
        <w:t xml:space="preserve"> </w:t>
      </w:r>
      <w:r w:rsidR="003D6D7E">
        <w:rPr>
          <w:i/>
          <w:iCs/>
        </w:rPr>
        <w:t xml:space="preserve">Id. </w:t>
      </w:r>
      <w:r w:rsidR="003D6D7E">
        <w:t>(</w:t>
      </w:r>
      <w:r w:rsidR="00245110">
        <w:t>citing</w:t>
      </w:r>
      <w:r>
        <w:t xml:space="preserve"> </w:t>
      </w:r>
      <w:r w:rsidRPr="0048287F">
        <w:rPr>
          <w:i/>
        </w:rPr>
        <w:t>M</w:t>
      </w:r>
      <w:r w:rsidR="00442292">
        <w:rPr>
          <w:i/>
        </w:rPr>
        <w:t>w</w:t>
      </w:r>
      <w:proofErr w:type="gramStart"/>
      <w:r w:rsidR="00442292">
        <w:rPr>
          <w:i/>
        </w:rPr>
        <w:t xml:space="preserve">. </w:t>
      </w:r>
      <w:proofErr w:type="spellStart"/>
      <w:proofErr w:type="gramEnd"/>
      <w:r w:rsidR="0071455E">
        <w:rPr>
          <w:i/>
        </w:rPr>
        <w:t>Indep</w:t>
      </w:r>
      <w:proofErr w:type="spellEnd"/>
      <w:proofErr w:type="gramStart"/>
      <w:r w:rsidR="0071455E">
        <w:rPr>
          <w:i/>
        </w:rPr>
        <w:t xml:space="preserve">. </w:t>
      </w:r>
      <w:proofErr w:type="gramEnd"/>
      <w:r w:rsidR="0071455E">
        <w:rPr>
          <w:i/>
        </w:rPr>
        <w:t>Transmission Sys</w:t>
      </w:r>
      <w:proofErr w:type="gramStart"/>
      <w:r w:rsidR="0071455E">
        <w:rPr>
          <w:i/>
        </w:rPr>
        <w:t xml:space="preserve">. </w:t>
      </w:r>
      <w:proofErr w:type="gramEnd"/>
      <w:r w:rsidR="0071455E">
        <w:rPr>
          <w:i/>
        </w:rPr>
        <w:t>Op</w:t>
      </w:r>
      <w:r w:rsidR="000D2ECB">
        <w:rPr>
          <w:i/>
        </w:rPr>
        <w:t>erator, Inc</w:t>
      </w:r>
      <w:r w:rsidR="000D2ECB" w:rsidRPr="00006150">
        <w:rPr>
          <w:iCs/>
        </w:rPr>
        <w:t>.</w:t>
      </w:r>
      <w:r w:rsidRPr="000D2ECB">
        <w:rPr>
          <w:iCs/>
        </w:rPr>
        <w:t>,</w:t>
      </w:r>
      <w:r w:rsidRPr="0048287F">
        <w:t xml:space="preserve"> 106 FERC ¶ 61,073</w:t>
      </w:r>
      <w:r w:rsidR="000D2ECB">
        <w:t>,</w:t>
      </w:r>
      <w:r w:rsidRPr="0048287F">
        <w:t xml:space="preserve"> </w:t>
      </w:r>
      <w:r w:rsidR="00EB461F">
        <w:t xml:space="preserve">           </w:t>
      </w:r>
      <w:r w:rsidRPr="0048287F">
        <w:t>at P 26 (2004)</w:t>
      </w:r>
      <w:r w:rsidR="00C868EF">
        <w:t xml:space="preserve">; </w:t>
      </w:r>
      <w:r w:rsidR="00216FB7" w:rsidRPr="00216FB7">
        <w:rPr>
          <w:i/>
        </w:rPr>
        <w:t>Promoting Wholesale Competition Through Open Access Non-Discriminatory Transmission Servs</w:t>
      </w:r>
      <w:proofErr w:type="gramStart"/>
      <w:r w:rsidR="00216FB7" w:rsidRPr="00216FB7">
        <w:rPr>
          <w:i/>
        </w:rPr>
        <w:t xml:space="preserve">. </w:t>
      </w:r>
      <w:proofErr w:type="gramEnd"/>
      <w:r w:rsidR="00216FB7" w:rsidRPr="00216FB7">
        <w:rPr>
          <w:i/>
        </w:rPr>
        <w:t>by Pub. Utils.; Recovery of Stranded Costs by Pub. Utils</w:t>
      </w:r>
      <w:proofErr w:type="gramStart"/>
      <w:r w:rsidR="00216FB7" w:rsidRPr="00216FB7">
        <w:rPr>
          <w:i/>
        </w:rPr>
        <w:t xml:space="preserve">. </w:t>
      </w:r>
      <w:proofErr w:type="gramEnd"/>
      <w:r w:rsidR="00216FB7" w:rsidRPr="00216FB7">
        <w:rPr>
          <w:i/>
        </w:rPr>
        <w:t>&amp; Transmitting Utils.</w:t>
      </w:r>
      <w:r w:rsidR="00216FB7" w:rsidRPr="00216FB7">
        <w:t>, Order No. 888, FERC Stats</w:t>
      </w:r>
      <w:proofErr w:type="gramStart"/>
      <w:r w:rsidR="00216FB7" w:rsidRPr="00216FB7">
        <w:t xml:space="preserve">. </w:t>
      </w:r>
      <w:proofErr w:type="gramEnd"/>
      <w:r w:rsidR="00216FB7" w:rsidRPr="00216FB7">
        <w:t>&amp; Regs</w:t>
      </w:r>
      <w:proofErr w:type="gramStart"/>
      <w:r w:rsidR="00216FB7" w:rsidRPr="00216FB7">
        <w:t xml:space="preserve">. </w:t>
      </w:r>
      <w:proofErr w:type="gramEnd"/>
      <w:r w:rsidR="00216FB7" w:rsidRPr="00216FB7">
        <w:t>¶ 31,036</w:t>
      </w:r>
      <w:r w:rsidR="001026A4">
        <w:t>, at 31,736</w:t>
      </w:r>
      <w:r w:rsidR="00216FB7" w:rsidRPr="00216FB7">
        <w:t xml:space="preserve"> (1996) (cross-referenced at 75 FERC ¶ 61,080)</w:t>
      </w:r>
      <w:r w:rsidRPr="0048287F">
        <w:t xml:space="preserve">; </w:t>
      </w:r>
      <w:r w:rsidRPr="00C04777">
        <w:t>Order No. 888-A</w:t>
      </w:r>
      <w:r w:rsidR="001026A4" w:rsidRPr="00006150">
        <w:t>, FERC Stats</w:t>
      </w:r>
      <w:proofErr w:type="gramStart"/>
      <w:r w:rsidR="001026A4" w:rsidRPr="00006150">
        <w:t xml:space="preserve">. </w:t>
      </w:r>
      <w:proofErr w:type="gramEnd"/>
      <w:r w:rsidR="001026A4" w:rsidRPr="00006150">
        <w:t xml:space="preserve">&amp; Regs </w:t>
      </w:r>
      <w:r w:rsidR="00192E94" w:rsidRPr="00006150">
        <w:t xml:space="preserve"> </w:t>
      </w:r>
      <w:r w:rsidR="001026A4" w:rsidRPr="00006150">
        <w:t xml:space="preserve"> </w:t>
      </w:r>
      <w:r w:rsidR="00C04777" w:rsidRPr="00006150">
        <w:t>¶</w:t>
      </w:r>
      <w:r w:rsidR="001026A4" w:rsidRPr="00006150">
        <w:t xml:space="preserve"> </w:t>
      </w:r>
      <w:r w:rsidR="00192E94" w:rsidRPr="00006150">
        <w:t>31,048</w:t>
      </w:r>
      <w:r w:rsidR="00C04777" w:rsidRPr="00006150">
        <w:t>,</w:t>
      </w:r>
      <w:r w:rsidRPr="00C04777">
        <w:t xml:space="preserve"> at 30,258-261</w:t>
      </w:r>
      <w:r w:rsidRPr="0048287F">
        <w:t xml:space="preserve">; </w:t>
      </w:r>
      <w:r w:rsidRPr="0048287F">
        <w:rPr>
          <w:i/>
          <w:iCs/>
        </w:rPr>
        <w:t>Fl</w:t>
      </w:r>
      <w:r w:rsidR="00C868EF">
        <w:rPr>
          <w:i/>
          <w:iCs/>
        </w:rPr>
        <w:t>a.</w:t>
      </w:r>
      <w:r w:rsidRPr="0048287F">
        <w:rPr>
          <w:i/>
          <w:iCs/>
        </w:rPr>
        <w:t xml:space="preserve"> Power &amp; Light Co.</w:t>
      </w:r>
      <w:r w:rsidRPr="0048287F">
        <w:t>, 105 FERC ¶ 61,287</w:t>
      </w:r>
      <w:r w:rsidR="00C04777">
        <w:t>,</w:t>
      </w:r>
      <w:r w:rsidRPr="0048287F">
        <w:t xml:space="preserve"> at P 19 (2003); </w:t>
      </w:r>
      <w:r w:rsidRPr="0048287F">
        <w:rPr>
          <w:i/>
          <w:iCs/>
        </w:rPr>
        <w:t>Consumers Energy Co.</w:t>
      </w:r>
      <w:r w:rsidRPr="0048287F">
        <w:t>, 98 FERC ¶ 61,333</w:t>
      </w:r>
      <w:r w:rsidR="00C04777">
        <w:t>,</w:t>
      </w:r>
      <w:r w:rsidRPr="0048287F">
        <w:t xml:space="preserve"> at 62,410 (</w:t>
      </w:r>
      <w:proofErr w:type="gramStart"/>
      <w:r w:rsidRPr="0048287F">
        <w:t>2002)</w:t>
      </w:r>
      <w:r w:rsidR="00C868EF">
        <w:t>)</w:t>
      </w:r>
      <w:proofErr w:type="gramEnd"/>
      <w:r w:rsidR="00C868EF">
        <w:t>.</w:t>
      </w:r>
      <w:r w:rsidR="003F136C">
        <w:t xml:space="preserve">  DEC adds that new subsection 4.3 provides</w:t>
      </w:r>
      <w:r w:rsidR="008221F6">
        <w:t xml:space="preserve"> that generation behind the second meter of a transmission customer will not be included in that customer’s calculation of n</w:t>
      </w:r>
      <w:r w:rsidR="008C6B32">
        <w:t>etwork load unless the Commission “</w:t>
      </w:r>
      <w:r w:rsidR="00BC6D14" w:rsidRPr="00BC6D14">
        <w:t>rules otherwise and Transmission Provider includes all such load on its own system as part of its system load in the denominator of the Load Ratio Share calculation</w:t>
      </w:r>
      <w:r w:rsidR="00BC6D14">
        <w:t xml:space="preserve">.”  </w:t>
      </w:r>
      <w:r w:rsidR="00BC6D14" w:rsidRPr="00006150">
        <w:rPr>
          <w:i/>
        </w:rPr>
        <w:t xml:space="preserve">Id. </w:t>
      </w:r>
      <w:r w:rsidR="00BC6D14" w:rsidRPr="00006150">
        <w:t>at 10-11 (citation omitted).</w:t>
      </w:r>
    </w:p>
  </w:footnote>
  <w:footnote w:id="20">
    <w:p w14:paraId="0FE702A3" w14:textId="77777777" w:rsidR="00700D60" w:rsidRDefault="00700D60" w:rsidP="00700D60">
      <w:pPr>
        <w:pStyle w:val="FootnoteText"/>
      </w:pPr>
      <w:r>
        <w:rPr>
          <w:rStyle w:val="FootnoteReference"/>
        </w:rPr>
        <w:footnoteRef/>
      </w:r>
      <w:r>
        <w:t xml:space="preserve"> </w:t>
      </w:r>
      <w:r w:rsidR="0036618F">
        <w:t>Deficiency Letter at 2.</w:t>
      </w:r>
    </w:p>
  </w:footnote>
  <w:footnote w:id="21">
    <w:p w14:paraId="2C5CDB4B" w14:textId="77777777" w:rsidR="0036618F" w:rsidRDefault="0036618F">
      <w:pPr>
        <w:pStyle w:val="FootnoteText"/>
      </w:pPr>
      <w:r>
        <w:rPr>
          <w:rStyle w:val="FootnoteReference"/>
        </w:rPr>
        <w:footnoteRef/>
      </w:r>
      <w:r>
        <w:t xml:space="preserve"> </w:t>
      </w:r>
      <w:r w:rsidR="003A2440">
        <w:t xml:space="preserve">Deficiency Response at </w:t>
      </w:r>
      <w:r w:rsidR="00491759">
        <w:t>6-</w:t>
      </w:r>
      <w:r w:rsidR="00C816A3">
        <w:t>10.</w:t>
      </w:r>
    </w:p>
  </w:footnote>
  <w:footnote w:id="22">
    <w:p w14:paraId="015588F1" w14:textId="77777777" w:rsidR="00DE5793" w:rsidRPr="00DE5793" w:rsidRDefault="00DE5793">
      <w:pPr>
        <w:pStyle w:val="FootnoteText"/>
      </w:pPr>
      <w:r>
        <w:rPr>
          <w:rStyle w:val="FootnoteReference"/>
        </w:rPr>
        <w:footnoteRef/>
      </w:r>
      <w:r>
        <w:t xml:space="preserve"> </w:t>
      </w:r>
      <w:r>
        <w:rPr>
          <w:i/>
          <w:iCs/>
        </w:rPr>
        <w:t xml:space="preserve">Id. </w:t>
      </w:r>
      <w:r>
        <w:t xml:space="preserve">at 11 (citing </w:t>
      </w:r>
      <w:r w:rsidR="00B803ED" w:rsidRPr="00B803ED">
        <w:rPr>
          <w:i/>
          <w:iCs/>
        </w:rPr>
        <w:t>Duke Energy Carolinas, LLC</w:t>
      </w:r>
      <w:r w:rsidR="00B803ED" w:rsidRPr="00B803ED">
        <w:t>, 195 FERC ¶ 61,010</w:t>
      </w:r>
      <w:r w:rsidR="007E5CE2">
        <w:t>,</w:t>
      </w:r>
      <w:r w:rsidR="00B803ED" w:rsidRPr="00B803ED">
        <w:t xml:space="preserve"> at P 8 (2026)</w:t>
      </w:r>
      <w:r w:rsidR="00B803ED">
        <w:t>).</w:t>
      </w:r>
    </w:p>
  </w:footnote>
  <w:footnote w:id="23">
    <w:p w14:paraId="49733DF9" w14:textId="77777777" w:rsidR="00700D60" w:rsidRDefault="00700D60" w:rsidP="00700D60">
      <w:pPr>
        <w:pStyle w:val="FootnoteText"/>
      </w:pPr>
      <w:r>
        <w:rPr>
          <w:rStyle w:val="FootnoteReference"/>
        </w:rPr>
        <w:footnoteRef/>
      </w:r>
      <w:r>
        <w:t xml:space="preserve"> </w:t>
      </w:r>
      <w:r w:rsidR="00505135">
        <w:t>Deficiency Letter at 2.</w:t>
      </w:r>
    </w:p>
  </w:footnote>
  <w:footnote w:id="24">
    <w:p w14:paraId="651D4AAE" w14:textId="77777777" w:rsidR="007E434C" w:rsidRDefault="007E434C">
      <w:pPr>
        <w:pStyle w:val="FootnoteText"/>
      </w:pPr>
      <w:r>
        <w:rPr>
          <w:rStyle w:val="FootnoteReference"/>
        </w:rPr>
        <w:footnoteRef/>
      </w:r>
      <w:r>
        <w:t xml:space="preserve"> Deficiency Response at 11.</w:t>
      </w:r>
    </w:p>
  </w:footnote>
  <w:footnote w:id="25">
    <w:p w14:paraId="2FC6D69E" w14:textId="77777777" w:rsidR="00F408BE" w:rsidRPr="00F408BE" w:rsidRDefault="00F408BE">
      <w:pPr>
        <w:pStyle w:val="FootnoteText"/>
      </w:pPr>
      <w:r>
        <w:rPr>
          <w:rStyle w:val="FootnoteReference"/>
        </w:rPr>
        <w:footnoteRef/>
      </w:r>
      <w:r>
        <w:t xml:space="preserve"> </w:t>
      </w:r>
      <w:r>
        <w:rPr>
          <w:i/>
          <w:iCs/>
        </w:rPr>
        <w:t xml:space="preserve">Id. </w:t>
      </w:r>
      <w:r>
        <w:t>at 12</w:t>
      </w:r>
      <w:r w:rsidR="0069637B">
        <w:t>.</w:t>
      </w:r>
    </w:p>
  </w:footnote>
  <w:footnote w:id="26">
    <w:p w14:paraId="7A244A54" w14:textId="77777777" w:rsidR="0004497C" w:rsidRPr="00115518" w:rsidRDefault="0004497C" w:rsidP="0004497C">
      <w:pPr>
        <w:pStyle w:val="FootnoteText"/>
      </w:pPr>
      <w:r>
        <w:rPr>
          <w:rStyle w:val="FootnoteReference"/>
        </w:rPr>
        <w:footnoteRef/>
      </w:r>
      <w:r>
        <w:t xml:space="preserve"> </w:t>
      </w:r>
      <w:r>
        <w:rPr>
          <w:i/>
          <w:iCs/>
        </w:rPr>
        <w:t>Id.</w:t>
      </w:r>
    </w:p>
  </w:footnote>
  <w:footnote w:id="27">
    <w:p w14:paraId="5D447E09" w14:textId="77777777" w:rsidR="00CF122E" w:rsidRPr="00CF122E" w:rsidRDefault="00CF122E">
      <w:pPr>
        <w:pStyle w:val="FootnoteText"/>
      </w:pPr>
      <w:r>
        <w:rPr>
          <w:rStyle w:val="FootnoteReference"/>
        </w:rPr>
        <w:footnoteRef/>
      </w:r>
      <w:r>
        <w:t xml:space="preserve"> </w:t>
      </w:r>
      <w:r>
        <w:rPr>
          <w:i/>
          <w:iCs/>
        </w:rPr>
        <w:t xml:space="preserve">Id. </w:t>
      </w:r>
      <w:r>
        <w:t>at 12-13.</w:t>
      </w:r>
      <w:r w:rsidR="00AD1131">
        <w:t xml:space="preserve">  </w:t>
      </w:r>
    </w:p>
  </w:footnote>
  <w:footnote w:id="28">
    <w:p w14:paraId="27A4137C" w14:textId="77777777" w:rsidR="00E76A84" w:rsidRPr="00E76A84" w:rsidRDefault="00E76A84">
      <w:pPr>
        <w:pStyle w:val="FootnoteText"/>
      </w:pPr>
      <w:r>
        <w:rPr>
          <w:rStyle w:val="FootnoteReference"/>
        </w:rPr>
        <w:footnoteRef/>
      </w:r>
      <w:r>
        <w:t xml:space="preserve"> </w:t>
      </w:r>
      <w:r>
        <w:rPr>
          <w:i/>
          <w:iCs/>
        </w:rPr>
        <w:t xml:space="preserve">Id. </w:t>
      </w:r>
      <w:r>
        <w:t>at 14-15.</w:t>
      </w:r>
    </w:p>
  </w:footnote>
  <w:footnote w:id="29">
    <w:p w14:paraId="5C8C4B52" w14:textId="77777777" w:rsidR="00144772" w:rsidRPr="00144772" w:rsidRDefault="00144772">
      <w:pPr>
        <w:pStyle w:val="FootnoteText"/>
      </w:pPr>
      <w:r>
        <w:rPr>
          <w:rStyle w:val="FootnoteReference"/>
        </w:rPr>
        <w:footnoteRef/>
      </w:r>
      <w:r>
        <w:t xml:space="preserve"> </w:t>
      </w:r>
      <w:r>
        <w:rPr>
          <w:i/>
          <w:iCs/>
        </w:rPr>
        <w:t xml:space="preserve">Id. </w:t>
      </w:r>
      <w:r>
        <w:t>at 13.</w:t>
      </w:r>
    </w:p>
  </w:footnote>
  <w:footnote w:id="30">
    <w:p w14:paraId="0D326960" w14:textId="77777777" w:rsidR="00DD45EC" w:rsidRPr="00DD45EC" w:rsidRDefault="00DD45EC">
      <w:pPr>
        <w:pStyle w:val="FootnoteText"/>
      </w:pPr>
      <w:r>
        <w:rPr>
          <w:rStyle w:val="FootnoteReference"/>
        </w:rPr>
        <w:footnoteRef/>
      </w:r>
      <w:r>
        <w:t xml:space="preserve"> </w:t>
      </w:r>
      <w:r>
        <w:rPr>
          <w:i/>
          <w:iCs/>
        </w:rPr>
        <w:t xml:space="preserve">Id. </w:t>
      </w:r>
      <w:r>
        <w:t>at 13-14.</w:t>
      </w:r>
    </w:p>
  </w:footnote>
  <w:footnote w:id="31">
    <w:p w14:paraId="62014085" w14:textId="77777777" w:rsidR="00AF1A22" w:rsidRPr="00AF1A22" w:rsidRDefault="00AF1A22" w:rsidP="00EB461F">
      <w:pPr>
        <w:pStyle w:val="FootnoteText"/>
        <w:widowControl/>
      </w:pPr>
      <w:r>
        <w:rPr>
          <w:rStyle w:val="FootnoteReference"/>
        </w:rPr>
        <w:footnoteRef/>
      </w:r>
      <w:r>
        <w:t xml:space="preserve"> </w:t>
      </w:r>
      <w:r>
        <w:rPr>
          <w:i/>
          <w:iCs/>
        </w:rPr>
        <w:t xml:space="preserve">Id. </w:t>
      </w:r>
      <w:r>
        <w:t xml:space="preserve">(citing </w:t>
      </w:r>
      <w:r w:rsidR="00417E89" w:rsidRPr="00417E89">
        <w:rPr>
          <w:i/>
          <w:iCs/>
        </w:rPr>
        <w:t>PECO Energy Co</w:t>
      </w:r>
      <w:r w:rsidR="005C4DAD">
        <w:rPr>
          <w:i/>
          <w:iCs/>
        </w:rPr>
        <w:t>.</w:t>
      </w:r>
      <w:r w:rsidR="00AB4A4F">
        <w:t xml:space="preserve">, </w:t>
      </w:r>
      <w:r w:rsidR="00417E89" w:rsidRPr="00417E89">
        <w:t xml:space="preserve">193 FERC ¶ 61,148 (2025); </w:t>
      </w:r>
      <w:r w:rsidR="00417E89" w:rsidRPr="00417E89">
        <w:rPr>
          <w:i/>
          <w:iCs/>
        </w:rPr>
        <w:t>PECO Energy Co.</w:t>
      </w:r>
      <w:r w:rsidR="00417E89" w:rsidRPr="00417E89">
        <w:t xml:space="preserve">, 195 FERC ¶ 61,074 (2026); </w:t>
      </w:r>
      <w:r w:rsidR="00417E89" w:rsidRPr="00417E89">
        <w:rPr>
          <w:i/>
          <w:iCs/>
        </w:rPr>
        <w:t>Commonwealth Edison Co.</w:t>
      </w:r>
      <w:r w:rsidR="00417E89" w:rsidRPr="00417E89">
        <w:t xml:space="preserve">, 194 FERC ¶ 61,109 (2026); </w:t>
      </w:r>
      <w:r w:rsidR="00417E89" w:rsidRPr="00417E89">
        <w:rPr>
          <w:i/>
          <w:iCs/>
        </w:rPr>
        <w:t>Commonwealth Edison Co.</w:t>
      </w:r>
      <w:r w:rsidR="00417E89" w:rsidRPr="00417E89">
        <w:t xml:space="preserve">, 194 FERC ¶ 61,106 (2026); </w:t>
      </w:r>
      <w:r w:rsidR="00417E89" w:rsidRPr="00417E89">
        <w:rPr>
          <w:i/>
          <w:iCs/>
        </w:rPr>
        <w:t>Commonwealth Edison Co.</w:t>
      </w:r>
      <w:r w:rsidR="00417E89" w:rsidRPr="00417E89">
        <w:t xml:space="preserve">, </w:t>
      </w:r>
      <w:r w:rsidR="00EB461F">
        <w:t xml:space="preserve">     </w:t>
      </w:r>
      <w:r w:rsidR="00417E89" w:rsidRPr="00417E89">
        <w:t xml:space="preserve">194 FERC ¶ 61,110 (2026); </w:t>
      </w:r>
      <w:r w:rsidR="00417E89" w:rsidRPr="00417E89">
        <w:rPr>
          <w:i/>
          <w:iCs/>
        </w:rPr>
        <w:t>Commonwealth Edison Co.</w:t>
      </w:r>
      <w:r w:rsidR="00417E89" w:rsidRPr="00417E89">
        <w:t>, 194 FERC ¶ 61,113 (2026)</w:t>
      </w:r>
      <w:r w:rsidR="00A13C09">
        <w:t xml:space="preserve"> (</w:t>
      </w:r>
      <w:r w:rsidR="00A13C09" w:rsidRPr="006E2196">
        <w:rPr>
          <w:i/>
          <w:iCs/>
        </w:rPr>
        <w:t>ComEd</w:t>
      </w:r>
      <w:r w:rsidR="00417E89" w:rsidRPr="00417E89">
        <w:t xml:space="preserve">); </w:t>
      </w:r>
      <w:r w:rsidR="00417E89" w:rsidRPr="00417E89">
        <w:rPr>
          <w:i/>
          <w:iCs/>
        </w:rPr>
        <w:t>Commonwealth Edison Co.</w:t>
      </w:r>
      <w:r w:rsidR="00417E89" w:rsidRPr="00417E89">
        <w:t xml:space="preserve">, 194 FERC ¶ 61,184 (2026); </w:t>
      </w:r>
      <w:r w:rsidR="00417E89" w:rsidRPr="00417E89">
        <w:rPr>
          <w:i/>
          <w:iCs/>
        </w:rPr>
        <w:t>Commonwealth Edison Co.</w:t>
      </w:r>
      <w:r w:rsidR="00417E89" w:rsidRPr="00417E89">
        <w:t xml:space="preserve">, 194 FERC ¶ 61,185 (2026); </w:t>
      </w:r>
      <w:r w:rsidR="00417E89" w:rsidRPr="00417E89">
        <w:rPr>
          <w:i/>
          <w:iCs/>
        </w:rPr>
        <w:t>Commonwealth Edison Co.</w:t>
      </w:r>
      <w:r w:rsidR="00417E89" w:rsidRPr="00417E89">
        <w:t xml:space="preserve">, 194 FERC ¶ 61,181 (2026); </w:t>
      </w:r>
      <w:r w:rsidR="00417E89" w:rsidRPr="00417E89">
        <w:rPr>
          <w:i/>
          <w:iCs/>
        </w:rPr>
        <w:t>Commonwealth Edison Co.</w:t>
      </w:r>
      <w:r w:rsidR="00417E89" w:rsidRPr="00417E89">
        <w:t xml:space="preserve">, 194 FERC ¶ 61,183 (2026); </w:t>
      </w:r>
      <w:r w:rsidR="00417E89" w:rsidRPr="00417E89">
        <w:rPr>
          <w:i/>
          <w:iCs/>
        </w:rPr>
        <w:t>Dayton Power &amp; Light Co.</w:t>
      </w:r>
      <w:r w:rsidR="00417E89" w:rsidRPr="00417E89">
        <w:t>, 195 FERC ¶ 61,059 (2026)</w:t>
      </w:r>
      <w:r w:rsidR="00A15A0B">
        <w:t>).</w:t>
      </w:r>
    </w:p>
  </w:footnote>
  <w:footnote w:id="32">
    <w:p w14:paraId="65151471" w14:textId="77777777" w:rsidR="000C64D3" w:rsidRPr="001E6B72" w:rsidRDefault="000C64D3" w:rsidP="000C64D3">
      <w:pPr>
        <w:pStyle w:val="FootnoteText"/>
      </w:pPr>
      <w:r>
        <w:rPr>
          <w:rStyle w:val="FootnoteReference"/>
        </w:rPr>
        <w:footnoteRef/>
      </w:r>
      <w:r>
        <w:t xml:space="preserve"> Filing, Transmittal Letter at 22.  </w:t>
      </w:r>
    </w:p>
  </w:footnote>
  <w:footnote w:id="33">
    <w:p w14:paraId="74BE22FE" w14:textId="77777777" w:rsidR="00DD519D" w:rsidRDefault="00DD519D">
      <w:pPr>
        <w:pStyle w:val="FootnoteText"/>
      </w:pPr>
      <w:r>
        <w:rPr>
          <w:rStyle w:val="FootnoteReference"/>
        </w:rPr>
        <w:footnoteRef/>
      </w:r>
      <w:r>
        <w:t xml:space="preserve"> </w:t>
      </w:r>
      <w:r w:rsidR="008C70BE" w:rsidRPr="008C70BE">
        <w:rPr>
          <w:i/>
          <w:iCs/>
        </w:rPr>
        <w:t xml:space="preserve">Id. </w:t>
      </w:r>
      <w:r w:rsidR="00B7409B" w:rsidRPr="00B7409B">
        <w:t xml:space="preserve">at 2-4 (detailing load growth of 800 MW and 224 requests for new or modified points of delivery on DEC’s </w:t>
      </w:r>
      <w:r w:rsidR="00A6043F">
        <w:t xml:space="preserve">transmission </w:t>
      </w:r>
      <w:r w:rsidR="00B7409B" w:rsidRPr="00B7409B">
        <w:t>system since 2012</w:t>
      </w:r>
      <w:r w:rsidR="007B5ACF" w:rsidRPr="00B7409B">
        <w:t>)</w:t>
      </w:r>
      <w:r w:rsidR="007B5ACF">
        <w:t>;</w:t>
      </w:r>
      <w:r w:rsidR="007B5ACF" w:rsidRPr="00B7409B">
        <w:t xml:space="preserve"> </w:t>
      </w:r>
      <w:r w:rsidR="003F18C9">
        <w:t>DEC</w:t>
      </w:r>
      <w:r w:rsidR="009A1731">
        <w:t>, Testimony of Eric</w:t>
      </w:r>
      <w:r w:rsidR="00ED3E2B">
        <w:t xml:space="preserve"> S.</w:t>
      </w:r>
      <w:r w:rsidR="003F18C9">
        <w:t xml:space="preserve"> </w:t>
      </w:r>
      <w:r w:rsidR="00B7409B" w:rsidRPr="00B207BC">
        <w:t>Grant</w:t>
      </w:r>
      <w:r w:rsidR="009A1731">
        <w:t>, Docket No. ER26-2691-000</w:t>
      </w:r>
      <w:r w:rsidR="00ED3E2B">
        <w:t>,</w:t>
      </w:r>
      <w:r w:rsidR="00B7409B" w:rsidRPr="00B207BC">
        <w:t xml:space="preserve"> at 3-5</w:t>
      </w:r>
      <w:r w:rsidR="00A01A33">
        <w:t xml:space="preserve"> (filed May 29, 2026)</w:t>
      </w:r>
      <w:r w:rsidR="00B7409B" w:rsidRPr="00B7409B">
        <w:t xml:space="preserve"> (noting a forecasted energy demand on DEC’s system of about 80 terawatt-hours and strong economic growth in the Carolinas)</w:t>
      </w:r>
      <w:r w:rsidR="00A01A33">
        <w:t xml:space="preserve"> (Grant Test.)</w:t>
      </w:r>
      <w:r w:rsidR="00EE0DA3">
        <w:t>.</w:t>
      </w:r>
    </w:p>
  </w:footnote>
  <w:footnote w:id="34">
    <w:p w14:paraId="3D515259" w14:textId="77777777" w:rsidR="002C1A65" w:rsidRDefault="002C1A65" w:rsidP="002C1A65">
      <w:pPr>
        <w:pStyle w:val="FootnoteText"/>
      </w:pPr>
      <w:r>
        <w:rPr>
          <w:rStyle w:val="FootnoteReference"/>
        </w:rPr>
        <w:footnoteRef/>
      </w:r>
      <w:r w:rsidR="004E6F9A">
        <w:t xml:space="preserve"> </w:t>
      </w:r>
      <w:r w:rsidR="00AE2494">
        <w:rPr>
          <w:i/>
          <w:iCs/>
        </w:rPr>
        <w:t>Id.</w:t>
      </w:r>
      <w:r w:rsidR="004E6F9A">
        <w:t xml:space="preserve"> at 12; </w:t>
      </w:r>
      <w:r w:rsidR="00EB461F">
        <w:t>a</w:t>
      </w:r>
      <w:r w:rsidR="004E6F9A">
        <w:t>tt</w:t>
      </w:r>
      <w:r w:rsidR="00EB461F">
        <w:t>ach</w:t>
      </w:r>
      <w:proofErr w:type="gramStart"/>
      <w:r w:rsidR="004E6F9A">
        <w:t xml:space="preserve">. </w:t>
      </w:r>
      <w:proofErr w:type="gramEnd"/>
      <w:r w:rsidR="004E6F9A">
        <w:t>A § 6.6.1</w:t>
      </w:r>
      <w:r w:rsidR="008F4FFF">
        <w:t>.</w:t>
      </w:r>
    </w:p>
  </w:footnote>
  <w:footnote w:id="35">
    <w:p w14:paraId="73D105B5" w14:textId="50D5B762" w:rsidR="00B44125" w:rsidRDefault="00B44125">
      <w:pPr>
        <w:pStyle w:val="FootnoteText"/>
      </w:pPr>
      <w:r>
        <w:rPr>
          <w:rStyle w:val="FootnoteReference"/>
        </w:rPr>
        <w:footnoteRef/>
      </w:r>
      <w:r>
        <w:t xml:space="preserve"> </w:t>
      </w:r>
      <w:r w:rsidR="00337BD1">
        <w:t>A</w:t>
      </w:r>
      <w:r w:rsidR="009D5401">
        <w:t>tt</w:t>
      </w:r>
      <w:r w:rsidR="00EB461F">
        <w:t>ach</w:t>
      </w:r>
      <w:proofErr w:type="gramStart"/>
      <w:r w:rsidR="009D5401">
        <w:t xml:space="preserve">. </w:t>
      </w:r>
      <w:proofErr w:type="gramEnd"/>
      <w:r w:rsidR="009D5401">
        <w:t>A § 6.6.2.</w:t>
      </w:r>
    </w:p>
  </w:footnote>
  <w:footnote w:id="36">
    <w:p w14:paraId="34D4E7BE" w14:textId="77777777" w:rsidR="00271224" w:rsidRDefault="00271224">
      <w:pPr>
        <w:pStyle w:val="FootnoteText"/>
      </w:pPr>
      <w:r>
        <w:rPr>
          <w:rStyle w:val="FootnoteReference"/>
        </w:rPr>
        <w:footnoteRef/>
      </w:r>
      <w:r>
        <w:t xml:space="preserve"> </w:t>
      </w:r>
      <w:r w:rsidR="00AE2494">
        <w:t>Filing,</w:t>
      </w:r>
      <w:r>
        <w:t xml:space="preserve"> Transmittal </w:t>
      </w:r>
      <w:r w:rsidR="00AE2494">
        <w:t xml:space="preserve">Letter </w:t>
      </w:r>
      <w:r>
        <w:t xml:space="preserve">at 12-13. </w:t>
      </w:r>
    </w:p>
  </w:footnote>
  <w:footnote w:id="37">
    <w:p w14:paraId="66CB2895" w14:textId="77777777" w:rsidR="002C1A65" w:rsidRDefault="002C1A65" w:rsidP="002C1A65">
      <w:pPr>
        <w:pStyle w:val="FootnoteText"/>
      </w:pPr>
      <w:r>
        <w:rPr>
          <w:rStyle w:val="FootnoteReference"/>
        </w:rPr>
        <w:footnoteRef/>
      </w:r>
      <w:r>
        <w:t xml:space="preserve"> </w:t>
      </w:r>
      <w:r w:rsidR="004D35FD">
        <w:t xml:space="preserve">SACE Protest at </w:t>
      </w:r>
      <w:r w:rsidR="00883455">
        <w:t>3-4.</w:t>
      </w:r>
    </w:p>
  </w:footnote>
  <w:footnote w:id="38">
    <w:p w14:paraId="1AE0BDB0" w14:textId="77777777" w:rsidR="00BA015E" w:rsidRPr="00BA015E" w:rsidRDefault="00BA015E">
      <w:pPr>
        <w:pStyle w:val="FootnoteText"/>
      </w:pPr>
      <w:r>
        <w:rPr>
          <w:rStyle w:val="FootnoteReference"/>
        </w:rPr>
        <w:footnoteRef/>
      </w:r>
      <w:r>
        <w:t xml:space="preserve"> </w:t>
      </w:r>
      <w:r>
        <w:rPr>
          <w:i/>
          <w:iCs/>
        </w:rPr>
        <w:t xml:space="preserve">Id. </w:t>
      </w:r>
      <w:r>
        <w:t xml:space="preserve">at 5. </w:t>
      </w:r>
    </w:p>
  </w:footnote>
  <w:footnote w:id="39">
    <w:p w14:paraId="3AD9CF72" w14:textId="77777777" w:rsidR="00BA015E" w:rsidRDefault="00BA015E">
      <w:pPr>
        <w:pStyle w:val="FootnoteText"/>
      </w:pPr>
      <w:r>
        <w:rPr>
          <w:rStyle w:val="FootnoteReference"/>
        </w:rPr>
        <w:footnoteRef/>
      </w:r>
      <w:r>
        <w:t xml:space="preserve"> </w:t>
      </w:r>
      <w:r w:rsidR="003F35F0">
        <w:rPr>
          <w:i/>
          <w:iCs/>
        </w:rPr>
        <w:t xml:space="preserve">Id. </w:t>
      </w:r>
      <w:r w:rsidR="003F35F0">
        <w:t>at 5-6.</w:t>
      </w:r>
    </w:p>
  </w:footnote>
  <w:footnote w:id="40">
    <w:p w14:paraId="50F81F55" w14:textId="77777777" w:rsidR="002F3674" w:rsidRPr="002F3674" w:rsidRDefault="002F3674">
      <w:pPr>
        <w:pStyle w:val="FootnoteText"/>
      </w:pPr>
      <w:r>
        <w:rPr>
          <w:rStyle w:val="FootnoteReference"/>
        </w:rPr>
        <w:footnoteRef/>
      </w:r>
      <w:r>
        <w:t xml:space="preserve"> </w:t>
      </w:r>
      <w:r>
        <w:rPr>
          <w:i/>
          <w:iCs/>
        </w:rPr>
        <w:t xml:space="preserve">Id. </w:t>
      </w:r>
      <w:r>
        <w:t>at 7.</w:t>
      </w:r>
    </w:p>
  </w:footnote>
  <w:footnote w:id="41">
    <w:p w14:paraId="59D6CE54" w14:textId="77777777" w:rsidR="002C1A65" w:rsidRDefault="002C1A65" w:rsidP="002C1A65">
      <w:pPr>
        <w:pStyle w:val="FootnoteText"/>
      </w:pPr>
      <w:r>
        <w:rPr>
          <w:rStyle w:val="FootnoteReference"/>
        </w:rPr>
        <w:footnoteRef/>
      </w:r>
      <w:r>
        <w:t xml:space="preserve"> </w:t>
      </w:r>
      <w:r w:rsidR="00327190">
        <w:rPr>
          <w:i/>
          <w:iCs/>
        </w:rPr>
        <w:t xml:space="preserve">Id. </w:t>
      </w:r>
      <w:r w:rsidR="00327190">
        <w:t>at 7-8.</w:t>
      </w:r>
    </w:p>
  </w:footnote>
  <w:footnote w:id="42">
    <w:p w14:paraId="20B64D2D" w14:textId="77777777" w:rsidR="00714DD9" w:rsidRPr="00714DD9" w:rsidRDefault="00714DD9">
      <w:pPr>
        <w:pStyle w:val="FootnoteText"/>
      </w:pPr>
      <w:r>
        <w:rPr>
          <w:rStyle w:val="FootnoteReference"/>
        </w:rPr>
        <w:footnoteRef/>
      </w:r>
      <w:r>
        <w:t xml:space="preserve"> </w:t>
      </w:r>
      <w:r>
        <w:rPr>
          <w:i/>
          <w:iCs/>
        </w:rPr>
        <w:t xml:space="preserve">Id. </w:t>
      </w:r>
      <w:r>
        <w:t xml:space="preserve">at 8 (citing </w:t>
      </w:r>
      <w:r w:rsidR="00377507" w:rsidRPr="00377507">
        <w:rPr>
          <w:i/>
          <w:iCs/>
        </w:rPr>
        <w:t>Inquiry Concerning the Comm</w:t>
      </w:r>
      <w:r w:rsidR="00EB461F">
        <w:rPr>
          <w:i/>
          <w:iCs/>
        </w:rPr>
        <w:t>’</w:t>
      </w:r>
      <w:r w:rsidR="00377507" w:rsidRPr="00377507">
        <w:rPr>
          <w:i/>
          <w:iCs/>
        </w:rPr>
        <w:t xml:space="preserve">n’s Pricing </w:t>
      </w:r>
      <w:proofErr w:type="spellStart"/>
      <w:r w:rsidR="00377507" w:rsidRPr="00377507">
        <w:rPr>
          <w:i/>
          <w:iCs/>
        </w:rPr>
        <w:t>Pol</w:t>
      </w:r>
      <w:r w:rsidR="00EB461F">
        <w:rPr>
          <w:i/>
          <w:iCs/>
        </w:rPr>
        <w:t>’</w:t>
      </w:r>
      <w:r w:rsidR="00377507" w:rsidRPr="00377507">
        <w:rPr>
          <w:i/>
          <w:iCs/>
        </w:rPr>
        <w:t>y</w:t>
      </w:r>
      <w:proofErr w:type="spellEnd"/>
      <w:r w:rsidR="00377507" w:rsidRPr="00377507">
        <w:rPr>
          <w:i/>
          <w:iCs/>
        </w:rPr>
        <w:t xml:space="preserve"> for Transmission Servs</w:t>
      </w:r>
      <w:proofErr w:type="gramStart"/>
      <w:r w:rsidR="00377507" w:rsidRPr="00377507">
        <w:rPr>
          <w:i/>
          <w:iCs/>
        </w:rPr>
        <w:t xml:space="preserve">. </w:t>
      </w:r>
      <w:proofErr w:type="gramEnd"/>
      <w:r w:rsidR="00377507" w:rsidRPr="00377507">
        <w:rPr>
          <w:i/>
          <w:iCs/>
        </w:rPr>
        <w:t>Provided by Pub. Utils</w:t>
      </w:r>
      <w:proofErr w:type="gramStart"/>
      <w:r w:rsidR="00377507" w:rsidRPr="00377507">
        <w:rPr>
          <w:i/>
          <w:iCs/>
        </w:rPr>
        <w:t xml:space="preserve">. </w:t>
      </w:r>
      <w:proofErr w:type="gramEnd"/>
      <w:r w:rsidR="00377507" w:rsidRPr="00377507">
        <w:rPr>
          <w:i/>
          <w:iCs/>
        </w:rPr>
        <w:t>Under the Fed. Power Act</w:t>
      </w:r>
      <w:r w:rsidR="00377507" w:rsidRPr="00377507">
        <w:t>, FERC Stats</w:t>
      </w:r>
      <w:proofErr w:type="gramStart"/>
      <w:r w:rsidR="00377507" w:rsidRPr="00377507">
        <w:t xml:space="preserve">. </w:t>
      </w:r>
      <w:proofErr w:type="gramEnd"/>
      <w:r w:rsidR="00377507" w:rsidRPr="00377507">
        <w:t>and Regs</w:t>
      </w:r>
      <w:proofErr w:type="gramStart"/>
      <w:r w:rsidR="00377507" w:rsidRPr="00377507">
        <w:t xml:space="preserve">. </w:t>
      </w:r>
      <w:proofErr w:type="gramEnd"/>
      <w:r w:rsidR="00377507" w:rsidRPr="00377507">
        <w:t>¶ 31,005,</w:t>
      </w:r>
      <w:r w:rsidR="00377507">
        <w:t xml:space="preserve"> at</w:t>
      </w:r>
      <w:r w:rsidR="00377507" w:rsidRPr="00377507">
        <w:t xml:space="preserve"> 31,137-38 (1994)</w:t>
      </w:r>
      <w:r w:rsidR="00F66061">
        <w:t xml:space="preserve"> (Transmission Pricing Policy </w:t>
      </w:r>
      <w:proofErr w:type="gramStart"/>
      <w:r w:rsidR="00F66061">
        <w:t>Statement</w:t>
      </w:r>
      <w:r w:rsidR="00377507">
        <w:t>)</w:t>
      </w:r>
      <w:r w:rsidR="009F114C">
        <w:t>)</w:t>
      </w:r>
      <w:proofErr w:type="gramEnd"/>
      <w:r w:rsidR="00377507">
        <w:t>.</w:t>
      </w:r>
    </w:p>
  </w:footnote>
  <w:footnote w:id="43">
    <w:p w14:paraId="0CBB76F7" w14:textId="77777777" w:rsidR="00B65FCC" w:rsidRPr="00B65FCC" w:rsidRDefault="00B65FCC">
      <w:pPr>
        <w:pStyle w:val="FootnoteText"/>
      </w:pPr>
      <w:r>
        <w:rPr>
          <w:rStyle w:val="FootnoteReference"/>
        </w:rPr>
        <w:footnoteRef/>
      </w:r>
      <w:r>
        <w:t xml:space="preserve"> </w:t>
      </w:r>
      <w:r>
        <w:rPr>
          <w:i/>
          <w:iCs/>
        </w:rPr>
        <w:t xml:space="preserve">Id. </w:t>
      </w:r>
      <w:r>
        <w:t>at 7-8</w:t>
      </w:r>
      <w:r w:rsidR="0051004C">
        <w:t>, 11</w:t>
      </w:r>
      <w:r>
        <w:t>.</w:t>
      </w:r>
    </w:p>
  </w:footnote>
  <w:footnote w:id="44">
    <w:p w14:paraId="0ECF9D60" w14:textId="77777777" w:rsidR="00B65FCC" w:rsidRPr="00B65FCC" w:rsidRDefault="00B65FCC">
      <w:pPr>
        <w:pStyle w:val="FootnoteText"/>
      </w:pPr>
      <w:r>
        <w:rPr>
          <w:rStyle w:val="FootnoteReference"/>
        </w:rPr>
        <w:footnoteRef/>
      </w:r>
      <w:r>
        <w:t xml:space="preserve"> </w:t>
      </w:r>
      <w:r>
        <w:rPr>
          <w:i/>
          <w:iCs/>
        </w:rPr>
        <w:t xml:space="preserve">Id. </w:t>
      </w:r>
      <w:r>
        <w:t>at 8</w:t>
      </w:r>
      <w:r w:rsidR="00457541">
        <w:t xml:space="preserve"> (</w:t>
      </w:r>
      <w:r w:rsidR="009F7A62">
        <w:t xml:space="preserve">citing </w:t>
      </w:r>
      <w:r w:rsidR="00EA3D69" w:rsidRPr="00EA3D69">
        <w:rPr>
          <w:i/>
          <w:iCs/>
        </w:rPr>
        <w:t xml:space="preserve">Midwest </w:t>
      </w:r>
      <w:proofErr w:type="spellStart"/>
      <w:r w:rsidR="00EA3D69" w:rsidRPr="00EA3D69">
        <w:rPr>
          <w:i/>
          <w:iCs/>
        </w:rPr>
        <w:t>Indep</w:t>
      </w:r>
      <w:proofErr w:type="spellEnd"/>
      <w:proofErr w:type="gramStart"/>
      <w:r w:rsidR="00EA3D69" w:rsidRPr="00EA3D69">
        <w:rPr>
          <w:i/>
          <w:iCs/>
        </w:rPr>
        <w:t xml:space="preserve">. </w:t>
      </w:r>
      <w:proofErr w:type="gramEnd"/>
      <w:r w:rsidR="00EA3D69" w:rsidRPr="00EA3D69">
        <w:rPr>
          <w:i/>
          <w:iCs/>
        </w:rPr>
        <w:t>Transmission Sys</w:t>
      </w:r>
      <w:proofErr w:type="gramStart"/>
      <w:r w:rsidR="00EA3D69" w:rsidRPr="00EA3D69">
        <w:rPr>
          <w:i/>
          <w:iCs/>
        </w:rPr>
        <w:t xml:space="preserve">. </w:t>
      </w:r>
      <w:proofErr w:type="gramEnd"/>
      <w:r w:rsidR="00EA3D69" w:rsidRPr="00EA3D69">
        <w:rPr>
          <w:i/>
          <w:iCs/>
        </w:rPr>
        <w:t>Operator, Inc</w:t>
      </w:r>
      <w:r w:rsidR="00EA3D69" w:rsidRPr="00EA3D69">
        <w:t xml:space="preserve">., 111 FERC </w:t>
      </w:r>
      <w:r w:rsidR="00EB461F">
        <w:t xml:space="preserve">             </w:t>
      </w:r>
      <w:r w:rsidR="00EA3D69" w:rsidRPr="00EA3D69">
        <w:t>¶ 61,421, at P</w:t>
      </w:r>
      <w:r w:rsidR="00EA3D69">
        <w:t>P</w:t>
      </w:r>
      <w:r w:rsidR="00EA3D69" w:rsidRPr="00EA3D69">
        <w:t xml:space="preserve"> 10</w:t>
      </w:r>
      <w:r w:rsidR="00EA3D69">
        <w:t>-11</w:t>
      </w:r>
      <w:r w:rsidR="00EA3D69" w:rsidRPr="00EA3D69">
        <w:t xml:space="preserve"> (2005)</w:t>
      </w:r>
      <w:r w:rsidR="00EA3D69">
        <w:t>)</w:t>
      </w:r>
      <w:r>
        <w:t>.</w:t>
      </w:r>
    </w:p>
  </w:footnote>
  <w:footnote w:id="45">
    <w:p w14:paraId="4DD535D4" w14:textId="77777777" w:rsidR="004F4646" w:rsidRPr="004F4646" w:rsidRDefault="004F4646" w:rsidP="00EB461F">
      <w:pPr>
        <w:pStyle w:val="FootnoteText"/>
        <w:widowControl/>
      </w:pPr>
      <w:r>
        <w:rPr>
          <w:rStyle w:val="FootnoteReference"/>
        </w:rPr>
        <w:footnoteRef/>
      </w:r>
      <w:r>
        <w:t xml:space="preserve"> </w:t>
      </w:r>
      <w:r>
        <w:rPr>
          <w:i/>
          <w:iCs/>
        </w:rPr>
        <w:t xml:space="preserve">Id. </w:t>
      </w:r>
      <w:r>
        <w:t>at 8-9</w:t>
      </w:r>
      <w:r w:rsidR="00272F9D">
        <w:t xml:space="preserve"> (citing </w:t>
      </w:r>
      <w:r w:rsidR="00272F9D" w:rsidRPr="00272F9D">
        <w:rPr>
          <w:i/>
          <w:iCs/>
        </w:rPr>
        <w:t>Sw. Power Pool, Inc.</w:t>
      </w:r>
      <w:r w:rsidR="00272F9D" w:rsidRPr="00272F9D">
        <w:t>, 169 FERC ¶ 61,058, at P 13 (2019)</w:t>
      </w:r>
      <w:r w:rsidR="00323163">
        <w:t xml:space="preserve">; </w:t>
      </w:r>
      <w:r w:rsidR="00323163" w:rsidRPr="00323163">
        <w:rPr>
          <w:i/>
          <w:iCs/>
        </w:rPr>
        <w:t>Sw. Power Pool, Inc.</w:t>
      </w:r>
      <w:r w:rsidR="00323163" w:rsidRPr="00323163">
        <w:t>, 133 FERC ¶ 61,084, at PP 6, 8 (2010)</w:t>
      </w:r>
      <w:r w:rsidR="00323163">
        <w:t>)</w:t>
      </w:r>
      <w:r>
        <w:t>.</w:t>
      </w:r>
    </w:p>
  </w:footnote>
  <w:footnote w:id="46">
    <w:p w14:paraId="077EEA93" w14:textId="77777777" w:rsidR="00FE5B0C" w:rsidRDefault="00FE5B0C">
      <w:pPr>
        <w:pStyle w:val="FootnoteText"/>
      </w:pPr>
      <w:r>
        <w:rPr>
          <w:rStyle w:val="FootnoteReference"/>
        </w:rPr>
        <w:footnoteRef/>
      </w:r>
      <w:r>
        <w:t xml:space="preserve"> </w:t>
      </w:r>
      <w:r w:rsidR="00342B2F">
        <w:rPr>
          <w:i/>
          <w:iCs/>
        </w:rPr>
        <w:t xml:space="preserve">Id. </w:t>
      </w:r>
      <w:r w:rsidR="00342B2F">
        <w:t>at 9.</w:t>
      </w:r>
    </w:p>
  </w:footnote>
  <w:footnote w:id="47">
    <w:p w14:paraId="2AF9B3BD" w14:textId="77777777" w:rsidR="00045218" w:rsidRPr="00DF6C99" w:rsidRDefault="00045218" w:rsidP="00045218">
      <w:pPr>
        <w:pStyle w:val="FootnoteText"/>
      </w:pPr>
      <w:r>
        <w:rPr>
          <w:rStyle w:val="FootnoteReference"/>
        </w:rPr>
        <w:footnoteRef/>
      </w:r>
      <w:r>
        <w:t xml:space="preserve"> </w:t>
      </w:r>
      <w:r>
        <w:rPr>
          <w:i/>
          <w:iCs/>
        </w:rPr>
        <w:t xml:space="preserve">Id. </w:t>
      </w:r>
      <w:r>
        <w:t>at 10.</w:t>
      </w:r>
    </w:p>
  </w:footnote>
  <w:footnote w:id="48">
    <w:p w14:paraId="48712530" w14:textId="77777777" w:rsidR="00836E04" w:rsidRPr="00836E04" w:rsidRDefault="00836E04">
      <w:pPr>
        <w:pStyle w:val="FootnoteText"/>
      </w:pPr>
      <w:r>
        <w:rPr>
          <w:rStyle w:val="FootnoteReference"/>
        </w:rPr>
        <w:footnoteRef/>
      </w:r>
      <w:r>
        <w:t xml:space="preserve"> </w:t>
      </w:r>
      <w:r>
        <w:rPr>
          <w:i/>
          <w:iCs/>
        </w:rPr>
        <w:t xml:space="preserve">Id. </w:t>
      </w:r>
      <w:r>
        <w:t xml:space="preserve">at 10-11 (citing </w:t>
      </w:r>
      <w:r w:rsidR="00953A57" w:rsidRPr="00953A57">
        <w:rPr>
          <w:i/>
          <w:iCs/>
        </w:rPr>
        <w:t>Commonwealth Edison Co.</w:t>
      </w:r>
      <w:r w:rsidR="00953A57" w:rsidRPr="00953A57">
        <w:t xml:space="preserve">, 194 FERC ¶ 61,109; </w:t>
      </w:r>
      <w:r w:rsidR="00953A57" w:rsidRPr="00953A57">
        <w:rPr>
          <w:i/>
          <w:iCs/>
        </w:rPr>
        <w:t>PECO Energy Co.</w:t>
      </w:r>
      <w:r w:rsidR="00953A57" w:rsidRPr="00953A57">
        <w:t>, 193 FERC ¶ 61,148</w:t>
      </w:r>
      <w:r w:rsidR="00953A57">
        <w:t xml:space="preserve"> at PP </w:t>
      </w:r>
      <w:r w:rsidR="0075391C">
        <w:t>28-29).</w:t>
      </w:r>
    </w:p>
  </w:footnote>
  <w:footnote w:id="49">
    <w:p w14:paraId="37AC7FE0" w14:textId="77777777" w:rsidR="005746F9" w:rsidRPr="005746F9" w:rsidRDefault="005746F9">
      <w:pPr>
        <w:pStyle w:val="FootnoteText"/>
      </w:pPr>
      <w:r>
        <w:rPr>
          <w:rStyle w:val="FootnoteReference"/>
        </w:rPr>
        <w:footnoteRef/>
      </w:r>
      <w:r>
        <w:t xml:space="preserve"> </w:t>
      </w:r>
      <w:r>
        <w:rPr>
          <w:i/>
          <w:iCs/>
        </w:rPr>
        <w:t xml:space="preserve">Id. </w:t>
      </w:r>
      <w:r>
        <w:t>at 11</w:t>
      </w:r>
      <w:r w:rsidR="00D40D59">
        <w:t>.</w:t>
      </w:r>
    </w:p>
  </w:footnote>
  <w:footnote w:id="50">
    <w:p w14:paraId="6FB27B41" w14:textId="77777777" w:rsidR="00650D48" w:rsidRPr="00650D48" w:rsidRDefault="00650D48">
      <w:pPr>
        <w:pStyle w:val="FootnoteText"/>
      </w:pPr>
      <w:r>
        <w:rPr>
          <w:rStyle w:val="FootnoteReference"/>
        </w:rPr>
        <w:footnoteRef/>
      </w:r>
      <w:r>
        <w:t xml:space="preserve"> </w:t>
      </w:r>
      <w:r>
        <w:rPr>
          <w:i/>
          <w:iCs/>
        </w:rPr>
        <w:t xml:space="preserve">Id. </w:t>
      </w:r>
    </w:p>
  </w:footnote>
  <w:footnote w:id="51">
    <w:p w14:paraId="2D2F6660" w14:textId="77777777" w:rsidR="00C3443A" w:rsidRPr="00C3443A" w:rsidRDefault="00C3443A">
      <w:pPr>
        <w:pStyle w:val="FootnoteText"/>
      </w:pPr>
      <w:r>
        <w:rPr>
          <w:rStyle w:val="FootnoteReference"/>
        </w:rPr>
        <w:footnoteRef/>
      </w:r>
      <w:r>
        <w:t xml:space="preserve"> </w:t>
      </w:r>
      <w:r>
        <w:rPr>
          <w:i/>
          <w:iCs/>
        </w:rPr>
        <w:t xml:space="preserve">Id. </w:t>
      </w:r>
      <w:r>
        <w:t>at 11-12 (</w:t>
      </w:r>
      <w:r w:rsidR="00334942">
        <w:t>citing</w:t>
      </w:r>
      <w:r w:rsidR="00880511">
        <w:t xml:space="preserve"> </w:t>
      </w:r>
      <w:r w:rsidR="00880511" w:rsidRPr="00880511">
        <w:rPr>
          <w:i/>
          <w:iCs/>
        </w:rPr>
        <w:t>Duke Energy Carolinas, LLC</w:t>
      </w:r>
      <w:r w:rsidR="00880511" w:rsidRPr="00880511">
        <w:t>, 186 FERC ¶ 61,178 (2024)</w:t>
      </w:r>
      <w:r w:rsidR="00880511">
        <w:t>)</w:t>
      </w:r>
      <w:r w:rsidR="00880511" w:rsidRPr="00880511">
        <w:t>.</w:t>
      </w:r>
    </w:p>
  </w:footnote>
  <w:footnote w:id="52">
    <w:p w14:paraId="0E772ACC" w14:textId="77777777" w:rsidR="00C3443A" w:rsidRDefault="00C3443A">
      <w:pPr>
        <w:pStyle w:val="FootnoteText"/>
      </w:pPr>
      <w:r>
        <w:rPr>
          <w:rStyle w:val="FootnoteReference"/>
        </w:rPr>
        <w:footnoteRef/>
      </w:r>
      <w:r>
        <w:t xml:space="preserve"> </w:t>
      </w:r>
      <w:r w:rsidR="00131ECD">
        <w:rPr>
          <w:i/>
          <w:iCs/>
        </w:rPr>
        <w:t xml:space="preserve">Id. </w:t>
      </w:r>
      <w:r w:rsidR="00131ECD">
        <w:t>at 12.</w:t>
      </w:r>
    </w:p>
  </w:footnote>
  <w:footnote w:id="53">
    <w:p w14:paraId="0CB19740" w14:textId="77777777" w:rsidR="002C1A65" w:rsidRPr="0075391C" w:rsidRDefault="002C1A65" w:rsidP="002C1A65">
      <w:pPr>
        <w:pStyle w:val="FootnoteText"/>
      </w:pPr>
      <w:r>
        <w:rPr>
          <w:rStyle w:val="FootnoteReference"/>
        </w:rPr>
        <w:footnoteRef/>
      </w:r>
      <w:r>
        <w:t xml:space="preserve"> </w:t>
      </w:r>
      <w:r w:rsidR="00524EB4">
        <w:t>DEC Answer at 2</w:t>
      </w:r>
      <w:r w:rsidR="00BC782D">
        <w:t>-3</w:t>
      </w:r>
      <w:r w:rsidR="006D3FDB">
        <w:t xml:space="preserve">.  </w:t>
      </w:r>
      <w:r w:rsidR="0075391C">
        <w:t xml:space="preserve"> </w:t>
      </w:r>
    </w:p>
  </w:footnote>
  <w:footnote w:id="54">
    <w:p w14:paraId="14041C23" w14:textId="77777777" w:rsidR="00F91A80" w:rsidRPr="005818D6" w:rsidRDefault="00F91A80" w:rsidP="00F91A80">
      <w:pPr>
        <w:pStyle w:val="FootnoteText"/>
      </w:pPr>
      <w:r>
        <w:rPr>
          <w:rStyle w:val="FootnoteReference"/>
        </w:rPr>
        <w:footnoteRef/>
      </w:r>
      <w:r>
        <w:t xml:space="preserve"> </w:t>
      </w:r>
      <w:r>
        <w:rPr>
          <w:i/>
          <w:iCs/>
        </w:rPr>
        <w:t xml:space="preserve">Id. </w:t>
      </w:r>
      <w:r>
        <w:t xml:space="preserve">at 3 (citing </w:t>
      </w:r>
      <w:r w:rsidRPr="006F1FF6">
        <w:rPr>
          <w:i/>
          <w:iCs/>
        </w:rPr>
        <w:t>Mun</w:t>
      </w:r>
      <w:proofErr w:type="gramStart"/>
      <w:r w:rsidRPr="006F1FF6">
        <w:rPr>
          <w:i/>
          <w:iCs/>
        </w:rPr>
        <w:t xml:space="preserve">. </w:t>
      </w:r>
      <w:proofErr w:type="gramEnd"/>
      <w:r w:rsidRPr="006F1FF6">
        <w:rPr>
          <w:i/>
          <w:iCs/>
        </w:rPr>
        <w:t>Energy Agency of Neb.</w:t>
      </w:r>
      <w:r w:rsidRPr="006F1FF6">
        <w:t xml:space="preserve">, 189 FERC ¶ 61,099, at </w:t>
      </w:r>
      <w:r>
        <w:t>P 42</w:t>
      </w:r>
      <w:r w:rsidRPr="006F1FF6">
        <w:t xml:space="preserve"> (2024)</w:t>
      </w:r>
      <w:r>
        <w:t xml:space="preserve">; </w:t>
      </w:r>
      <w:r>
        <w:rPr>
          <w:i/>
          <w:iCs/>
        </w:rPr>
        <w:t>City of Anaheim</w:t>
      </w:r>
      <w:r>
        <w:t xml:space="preserve">, </w:t>
      </w:r>
      <w:r w:rsidRPr="00D97078">
        <w:t>113 FERC ¶ 61,091</w:t>
      </w:r>
      <w:r w:rsidR="00412869">
        <w:t>,</w:t>
      </w:r>
      <w:r w:rsidRPr="00D97078">
        <w:t xml:space="preserve"> at P 35</w:t>
      </w:r>
      <w:r w:rsidR="00777DB1">
        <w:t xml:space="preserve"> </w:t>
      </w:r>
      <w:r w:rsidR="00412869" w:rsidRPr="00D97078">
        <w:t>(2005)</w:t>
      </w:r>
      <w:r>
        <w:t>)</w:t>
      </w:r>
      <w:r w:rsidR="00777DB1">
        <w:t>.</w:t>
      </w:r>
      <w:r w:rsidR="005818D6">
        <w:t xml:space="preserve">  DEC points to </w:t>
      </w:r>
      <w:r w:rsidR="00145B07">
        <w:t xml:space="preserve">the </w:t>
      </w:r>
      <w:r w:rsidR="00E05454">
        <w:t xml:space="preserve">definition of </w:t>
      </w:r>
      <w:r w:rsidR="00DD0EBF">
        <w:t>Network Upgrades</w:t>
      </w:r>
      <w:r w:rsidR="00640544">
        <w:t xml:space="preserve"> in the Commission’s </w:t>
      </w:r>
      <w:r w:rsidR="005818D6">
        <w:rPr>
          <w:i/>
          <w:iCs/>
        </w:rPr>
        <w:t>pro forma</w:t>
      </w:r>
      <w:r w:rsidR="00640544">
        <w:rPr>
          <w:i/>
          <w:iCs/>
        </w:rPr>
        <w:t xml:space="preserve"> </w:t>
      </w:r>
      <w:r w:rsidR="00640544">
        <w:t xml:space="preserve">OATT, which is </w:t>
      </w:r>
      <w:r w:rsidR="00EE516F">
        <w:t xml:space="preserve">reflected in the Joint OATT. </w:t>
      </w:r>
      <w:r w:rsidR="00CA1264">
        <w:t xml:space="preserve"> </w:t>
      </w:r>
      <w:r w:rsidR="00CA1264">
        <w:rPr>
          <w:i/>
          <w:iCs/>
        </w:rPr>
        <w:t xml:space="preserve">See </w:t>
      </w:r>
      <w:r w:rsidR="00CA1264" w:rsidRPr="00280269">
        <w:t>Order No. 888, FERC Stats</w:t>
      </w:r>
      <w:proofErr w:type="gramStart"/>
      <w:r w:rsidR="00CA1264" w:rsidRPr="00280269">
        <w:t xml:space="preserve">. </w:t>
      </w:r>
      <w:proofErr w:type="gramEnd"/>
      <w:r w:rsidR="00CA1264" w:rsidRPr="00280269">
        <w:t>&amp; Regs</w:t>
      </w:r>
      <w:proofErr w:type="gramStart"/>
      <w:r w:rsidR="00CA1264" w:rsidRPr="00280269">
        <w:t xml:space="preserve">. </w:t>
      </w:r>
      <w:proofErr w:type="gramEnd"/>
      <w:r w:rsidR="00CA1264" w:rsidRPr="00280269">
        <w:t xml:space="preserve">¶ 31,036 at </w:t>
      </w:r>
      <w:r w:rsidR="00EB461F">
        <w:t xml:space="preserve">              </w:t>
      </w:r>
      <w:r w:rsidR="00CA1264" w:rsidRPr="00280269">
        <w:t>app. D, § 1.26</w:t>
      </w:r>
      <w:r w:rsidR="00CA1264">
        <w:t>; Joint OATT § 1.26.</w:t>
      </w:r>
      <w:r w:rsidR="00EE516F">
        <w:t xml:space="preserve"> </w:t>
      </w:r>
      <w:r w:rsidR="005818D6">
        <w:rPr>
          <w:i/>
          <w:iCs/>
        </w:rPr>
        <w:t xml:space="preserve"> </w:t>
      </w:r>
    </w:p>
  </w:footnote>
  <w:footnote w:id="55">
    <w:p w14:paraId="7CB832CB" w14:textId="77777777" w:rsidR="0011194B" w:rsidRDefault="0011194B">
      <w:pPr>
        <w:pStyle w:val="FootnoteText"/>
      </w:pPr>
      <w:r>
        <w:rPr>
          <w:rStyle w:val="FootnoteReference"/>
        </w:rPr>
        <w:footnoteRef/>
      </w:r>
      <w:r>
        <w:t xml:space="preserve"> DEC Answer at 4-5 (</w:t>
      </w:r>
      <w:r w:rsidR="005E7B09">
        <w:t>citations omitted).</w:t>
      </w:r>
    </w:p>
  </w:footnote>
  <w:footnote w:id="56">
    <w:p w14:paraId="41818BE9" w14:textId="77777777" w:rsidR="0038562C" w:rsidRPr="0079204A" w:rsidRDefault="0038562C" w:rsidP="0038562C">
      <w:pPr>
        <w:pStyle w:val="FootnoteText"/>
      </w:pPr>
      <w:r>
        <w:rPr>
          <w:rStyle w:val="FootnoteReference"/>
        </w:rPr>
        <w:footnoteRef/>
      </w:r>
      <w:r>
        <w:t xml:space="preserve"> </w:t>
      </w:r>
      <w:r>
        <w:rPr>
          <w:i/>
          <w:iCs/>
        </w:rPr>
        <w:t xml:space="preserve">Id. </w:t>
      </w:r>
      <w:r>
        <w:t>at 6.</w:t>
      </w:r>
    </w:p>
  </w:footnote>
  <w:footnote w:id="57">
    <w:p w14:paraId="21E12E5B" w14:textId="77777777" w:rsidR="00DE582B" w:rsidRPr="00DE582B" w:rsidRDefault="00DE582B">
      <w:pPr>
        <w:pStyle w:val="FootnoteText"/>
      </w:pPr>
      <w:r>
        <w:rPr>
          <w:rStyle w:val="FootnoteReference"/>
        </w:rPr>
        <w:footnoteRef/>
      </w:r>
      <w:r>
        <w:t xml:space="preserve"> </w:t>
      </w:r>
      <w:r>
        <w:rPr>
          <w:i/>
          <w:iCs/>
        </w:rPr>
        <w:t xml:space="preserve">Id. </w:t>
      </w:r>
      <w:r>
        <w:t>at 7.</w:t>
      </w:r>
    </w:p>
  </w:footnote>
  <w:footnote w:id="58">
    <w:p w14:paraId="56BC2230" w14:textId="77777777" w:rsidR="00DE582B" w:rsidRPr="00DE582B" w:rsidRDefault="00DE582B">
      <w:pPr>
        <w:pStyle w:val="FootnoteText"/>
      </w:pPr>
      <w:r>
        <w:rPr>
          <w:rStyle w:val="FootnoteReference"/>
        </w:rPr>
        <w:footnoteRef/>
      </w:r>
      <w:r>
        <w:t xml:space="preserve"> </w:t>
      </w:r>
      <w:r>
        <w:rPr>
          <w:i/>
          <w:iCs/>
        </w:rPr>
        <w:t xml:space="preserve">Id. </w:t>
      </w:r>
      <w:r>
        <w:t>at 7-8 (</w:t>
      </w:r>
      <w:r w:rsidR="00852B46">
        <w:t xml:space="preserve">citing </w:t>
      </w:r>
      <w:r w:rsidR="00852B46" w:rsidRPr="00852B46">
        <w:rPr>
          <w:i/>
          <w:iCs/>
        </w:rPr>
        <w:t>Duke Energy Carolinas, LLC</w:t>
      </w:r>
      <w:r w:rsidR="00852B46" w:rsidRPr="00852B46">
        <w:t>, 193 FERC ¶ 61,237</w:t>
      </w:r>
      <w:r w:rsidR="003C6D92">
        <w:t>,</w:t>
      </w:r>
      <w:r w:rsidR="00852B46" w:rsidRPr="00852B46">
        <w:t xml:space="preserve"> at P</w:t>
      </w:r>
      <w:r w:rsidR="00852B46">
        <w:t>P</w:t>
      </w:r>
      <w:r w:rsidR="00852B46" w:rsidRPr="00852B46">
        <w:t xml:space="preserve"> 15</w:t>
      </w:r>
      <w:r w:rsidR="00852B46">
        <w:t>, 18</w:t>
      </w:r>
      <w:r w:rsidR="00852B46" w:rsidRPr="00852B46">
        <w:t xml:space="preserve"> (2025)</w:t>
      </w:r>
      <w:r w:rsidR="00852B46">
        <w:t xml:space="preserve"> (</w:t>
      </w:r>
      <w:r w:rsidR="00852B46" w:rsidRPr="000146EA">
        <w:rPr>
          <w:i/>
        </w:rPr>
        <w:t>Lockhart</w:t>
      </w:r>
      <w:r w:rsidR="00852B46">
        <w:t>)</w:t>
      </w:r>
      <w:r w:rsidR="003C6D92">
        <w:t xml:space="preserve"> (</w:t>
      </w:r>
      <w:r w:rsidR="009A751B">
        <w:t xml:space="preserve">rejecting </w:t>
      </w:r>
      <w:r w:rsidR="00DD01CA">
        <w:t xml:space="preserve">an amended NITSA </w:t>
      </w:r>
      <w:r w:rsidR="00BE1460">
        <w:t xml:space="preserve">because </w:t>
      </w:r>
      <w:r w:rsidR="00055021">
        <w:t xml:space="preserve">DEC did not demonstrate that </w:t>
      </w:r>
      <w:r w:rsidR="00240E48" w:rsidRPr="00240E48">
        <w:t xml:space="preserve">the proposed incremental rate </w:t>
      </w:r>
      <w:r w:rsidR="00240E48">
        <w:t>was</w:t>
      </w:r>
      <w:r w:rsidR="00240E48" w:rsidRPr="00240E48">
        <w:t xml:space="preserve"> just and reasonable</w:t>
      </w:r>
      <w:r w:rsidR="00852B46">
        <w:t>).</w:t>
      </w:r>
    </w:p>
  </w:footnote>
  <w:footnote w:id="59">
    <w:p w14:paraId="0A787012" w14:textId="77777777" w:rsidR="002C1A65" w:rsidRDefault="002C1A65" w:rsidP="002C1A65">
      <w:pPr>
        <w:pStyle w:val="FootnoteText"/>
      </w:pPr>
      <w:r>
        <w:rPr>
          <w:rStyle w:val="FootnoteReference"/>
        </w:rPr>
        <w:footnoteRef/>
      </w:r>
      <w:r>
        <w:t xml:space="preserve"> </w:t>
      </w:r>
      <w:r w:rsidR="00744973" w:rsidRPr="000146EA">
        <w:rPr>
          <w:i/>
        </w:rPr>
        <w:t>See</w:t>
      </w:r>
      <w:r w:rsidR="00744973">
        <w:t xml:space="preserve">, </w:t>
      </w:r>
      <w:r w:rsidR="00744973">
        <w:rPr>
          <w:i/>
          <w:iCs/>
        </w:rPr>
        <w:t>e</w:t>
      </w:r>
      <w:r>
        <w:rPr>
          <w:i/>
          <w:iCs/>
        </w:rPr>
        <w:t>.g.</w:t>
      </w:r>
      <w:r>
        <w:t xml:space="preserve">, </w:t>
      </w:r>
      <w:r w:rsidRPr="00B1162F">
        <w:rPr>
          <w:i/>
          <w:iCs/>
        </w:rPr>
        <w:t>Pub. Serv. Co. of Colo.</w:t>
      </w:r>
      <w:r w:rsidRPr="00B1162F">
        <w:t xml:space="preserve">, 62 FERC ¶ 61,013, at 61,061-62 (1993); </w:t>
      </w:r>
      <w:proofErr w:type="spellStart"/>
      <w:r w:rsidRPr="00B1162F">
        <w:rPr>
          <w:i/>
          <w:iCs/>
        </w:rPr>
        <w:t>Nat’l</w:t>
      </w:r>
      <w:proofErr w:type="spellEnd"/>
      <w:r w:rsidRPr="00B1162F">
        <w:rPr>
          <w:i/>
          <w:iCs/>
        </w:rPr>
        <w:t xml:space="preserve"> </w:t>
      </w:r>
      <w:proofErr w:type="spellStart"/>
      <w:r w:rsidRPr="00B1162F">
        <w:rPr>
          <w:i/>
          <w:iCs/>
        </w:rPr>
        <w:t>Ass’n</w:t>
      </w:r>
      <w:proofErr w:type="spellEnd"/>
      <w:r w:rsidRPr="00B1162F">
        <w:rPr>
          <w:i/>
          <w:iCs/>
        </w:rPr>
        <w:t xml:space="preserve"> of </w:t>
      </w:r>
      <w:proofErr w:type="spellStart"/>
      <w:r w:rsidRPr="00B1162F">
        <w:rPr>
          <w:i/>
          <w:iCs/>
        </w:rPr>
        <w:t>Regul</w:t>
      </w:r>
      <w:proofErr w:type="spellEnd"/>
      <w:proofErr w:type="gramStart"/>
      <w:r w:rsidRPr="00B1162F">
        <w:rPr>
          <w:i/>
          <w:iCs/>
        </w:rPr>
        <w:t xml:space="preserve">. </w:t>
      </w:r>
      <w:proofErr w:type="gramEnd"/>
      <w:r w:rsidRPr="00B1162F">
        <w:rPr>
          <w:i/>
          <w:iCs/>
        </w:rPr>
        <w:t>Util. Comm’rs v. FERC</w:t>
      </w:r>
      <w:r w:rsidRPr="00B1162F">
        <w:t xml:space="preserve">, 475 F.3d 1277, 1285 (D.C. Cir. 2007) (endorsing the Commission’s “long-held understanding that Network Upgrades provide system-wide benefits”). </w:t>
      </w:r>
      <w:r w:rsidRPr="00B1162F">
        <w:rPr>
          <w:i/>
          <w:iCs/>
        </w:rPr>
        <w:t xml:space="preserve"> </w:t>
      </w:r>
      <w:r w:rsidRPr="00B1162F">
        <w:rPr>
          <w:b/>
          <w:bCs/>
          <w:i/>
          <w:iCs/>
        </w:rPr>
        <w:t xml:space="preserve"> </w:t>
      </w:r>
    </w:p>
  </w:footnote>
  <w:footnote w:id="60">
    <w:p w14:paraId="497013D7" w14:textId="77777777" w:rsidR="002C1A65" w:rsidRDefault="002C1A65" w:rsidP="002C1A65">
      <w:pPr>
        <w:pStyle w:val="FootnoteText"/>
      </w:pPr>
      <w:r>
        <w:rPr>
          <w:rStyle w:val="FootnoteReference"/>
        </w:rPr>
        <w:footnoteRef/>
      </w:r>
      <w:r>
        <w:t xml:space="preserve"> </w:t>
      </w:r>
      <w:r w:rsidR="00074B4D">
        <w:t xml:space="preserve">Joint OATT </w:t>
      </w:r>
      <w:r w:rsidR="00A51FCA">
        <w:t xml:space="preserve">§ </w:t>
      </w:r>
      <w:r w:rsidR="00074B4D">
        <w:t>1</w:t>
      </w:r>
      <w:r w:rsidR="00074B4D" w:rsidRPr="00D43C01">
        <w:t xml:space="preserve">.26 (defining Network Upgrades as </w:t>
      </w:r>
      <w:r w:rsidR="00074B4D" w:rsidRPr="00922371">
        <w:t>“[m]</w:t>
      </w:r>
      <w:proofErr w:type="spellStart"/>
      <w:r w:rsidR="00074B4D" w:rsidRPr="00922371">
        <w:t>odifications</w:t>
      </w:r>
      <w:proofErr w:type="spellEnd"/>
      <w:r w:rsidR="00074B4D" w:rsidRPr="00922371">
        <w:t xml:space="preserve"> or additions to transmission-related facilities that are integrated with and support the Transmission Provider</w:t>
      </w:r>
      <w:r w:rsidR="00CD3C11">
        <w:t>’</w:t>
      </w:r>
      <w:r w:rsidR="00074B4D" w:rsidRPr="00922371">
        <w:t>s overall Transmission System for the general benefit of all users of such Transmission System”)</w:t>
      </w:r>
      <w:r w:rsidR="00EB1DC1" w:rsidRPr="00D43C01">
        <w:t xml:space="preserve">; </w:t>
      </w:r>
      <w:r w:rsidRPr="00D43C01">
        <w:t>Order No.</w:t>
      </w:r>
      <w:r w:rsidRPr="00280269">
        <w:t xml:space="preserve"> 888, FERC Stats</w:t>
      </w:r>
      <w:proofErr w:type="gramStart"/>
      <w:r w:rsidRPr="00280269">
        <w:t xml:space="preserve">. </w:t>
      </w:r>
      <w:proofErr w:type="gramEnd"/>
      <w:r w:rsidRPr="00280269">
        <w:t>&amp; Regs</w:t>
      </w:r>
      <w:proofErr w:type="gramStart"/>
      <w:r w:rsidRPr="00280269">
        <w:t xml:space="preserve">. </w:t>
      </w:r>
      <w:proofErr w:type="gramEnd"/>
      <w:r w:rsidRPr="00280269">
        <w:t xml:space="preserve">¶ 31,036, at app. D, § 1.26; </w:t>
      </w:r>
      <w:r w:rsidRPr="00280269">
        <w:rPr>
          <w:i/>
          <w:iCs/>
        </w:rPr>
        <w:t>see Mun</w:t>
      </w:r>
      <w:proofErr w:type="gramStart"/>
      <w:r w:rsidRPr="00280269">
        <w:rPr>
          <w:i/>
          <w:iCs/>
        </w:rPr>
        <w:t xml:space="preserve">. </w:t>
      </w:r>
      <w:proofErr w:type="gramEnd"/>
      <w:r w:rsidRPr="00280269">
        <w:rPr>
          <w:i/>
          <w:iCs/>
        </w:rPr>
        <w:t>Energy Agency of Neb.</w:t>
      </w:r>
      <w:r w:rsidRPr="00280269">
        <w:t>, 189 FERC ¶ 61,099 at n.105</w:t>
      </w:r>
      <w:r w:rsidR="00EB461F">
        <w:t xml:space="preserve"> </w:t>
      </w:r>
      <w:r w:rsidRPr="00280269">
        <w:t>(“The Commission has also recognized the general benefits of network transmission facilities in its definition of Network Upgrades in the </w:t>
      </w:r>
      <w:r w:rsidRPr="00280269">
        <w:rPr>
          <w:i/>
          <w:iCs/>
        </w:rPr>
        <w:t>pro forma</w:t>
      </w:r>
      <w:r w:rsidRPr="00280269">
        <w:t> [OATT].”)</w:t>
      </w:r>
      <w:r>
        <w:t>.</w:t>
      </w:r>
    </w:p>
  </w:footnote>
  <w:footnote w:id="61">
    <w:p w14:paraId="6BB60CE0" w14:textId="77777777" w:rsidR="002C1A65" w:rsidRDefault="002C1A65" w:rsidP="002C1A65">
      <w:pPr>
        <w:pStyle w:val="FootnoteText"/>
      </w:pPr>
      <w:r>
        <w:rPr>
          <w:rStyle w:val="FootnoteReference"/>
        </w:rPr>
        <w:footnoteRef/>
      </w:r>
      <w:r>
        <w:t xml:space="preserve"> </w:t>
      </w:r>
      <w:r w:rsidRPr="00212CC6">
        <w:rPr>
          <w:i/>
          <w:iCs/>
        </w:rPr>
        <w:t>See, e.g.</w:t>
      </w:r>
      <w:r w:rsidRPr="00F61222">
        <w:t xml:space="preserve">, </w:t>
      </w:r>
      <w:r w:rsidRPr="00212CC6">
        <w:rPr>
          <w:i/>
        </w:rPr>
        <w:t>Buckeye Power, Inc. v. Am</w:t>
      </w:r>
      <w:r w:rsidRPr="00212CC6">
        <w:rPr>
          <w:i/>
          <w:iCs/>
        </w:rPr>
        <w:t>.</w:t>
      </w:r>
      <w:r w:rsidRPr="00212CC6">
        <w:rPr>
          <w:i/>
        </w:rPr>
        <w:t xml:space="preserve"> Transmission Sys</w:t>
      </w:r>
      <w:proofErr w:type="gramStart"/>
      <w:r w:rsidRPr="00212CC6">
        <w:rPr>
          <w:i/>
        </w:rPr>
        <w:t xml:space="preserve">. </w:t>
      </w:r>
      <w:proofErr w:type="gramEnd"/>
      <w:r w:rsidRPr="00212CC6">
        <w:rPr>
          <w:i/>
        </w:rPr>
        <w:t>Inc.</w:t>
      </w:r>
      <w:r w:rsidRPr="00212CC6">
        <w:t xml:space="preserve">, 148 FERC </w:t>
      </w:r>
      <w:r w:rsidR="00EB461F">
        <w:t xml:space="preserve">                    </w:t>
      </w:r>
      <w:r w:rsidRPr="00212CC6">
        <w:t>¶ 61,174, at P 12 (2014) (“Commission policy favors a roll-in of rates on integrated transmission systems, absent special circumstances</w:t>
      </w:r>
      <w:proofErr w:type="gramStart"/>
      <w:r w:rsidRPr="00FB7A11">
        <w:t xml:space="preserve">.”) </w:t>
      </w:r>
      <w:proofErr w:type="gramEnd"/>
      <w:r w:rsidRPr="00AF461E">
        <w:t>(</w:t>
      </w:r>
      <w:r w:rsidRPr="00FB7A11">
        <w:rPr>
          <w:i/>
          <w:iCs/>
        </w:rPr>
        <w:t>Buckeye</w:t>
      </w:r>
      <w:r w:rsidRPr="00212CC6">
        <w:t>)</w:t>
      </w:r>
      <w:r>
        <w:t>.</w:t>
      </w:r>
    </w:p>
  </w:footnote>
  <w:footnote w:id="62">
    <w:p w14:paraId="4218CB2F" w14:textId="77777777" w:rsidR="002C1A65" w:rsidRDefault="002C1A65" w:rsidP="00EB461F">
      <w:pPr>
        <w:pStyle w:val="FootnoteText"/>
        <w:widowControl/>
      </w:pPr>
      <w:r>
        <w:rPr>
          <w:rStyle w:val="FootnoteReference"/>
        </w:rPr>
        <w:footnoteRef/>
      </w:r>
      <w:r>
        <w:t xml:space="preserve"> </w:t>
      </w:r>
      <w:r w:rsidRPr="00C17F5B">
        <w:rPr>
          <w:i/>
          <w:iCs/>
        </w:rPr>
        <w:t>See, e.g.</w:t>
      </w:r>
      <w:r w:rsidRPr="00C17F5B">
        <w:t xml:space="preserve">, </w:t>
      </w:r>
      <w:r w:rsidRPr="00C17F5B">
        <w:rPr>
          <w:i/>
        </w:rPr>
        <w:t>Duke Energy Carolinas, LLC</w:t>
      </w:r>
      <w:r w:rsidRPr="00C17F5B">
        <w:t xml:space="preserve">, 168 FERC ¶ 61,190, at P 4 (2019) (detailing the “any degree of integration” and </w:t>
      </w:r>
      <w:r w:rsidRPr="00C17F5B">
        <w:rPr>
          <w:i/>
          <w:iCs/>
        </w:rPr>
        <w:t xml:space="preserve">Mansfield </w:t>
      </w:r>
      <w:r w:rsidRPr="00C17F5B">
        <w:t>tests, which are used to determine whether certain transmission facilities are integrated into a transmission provider’s transmission system and, therefore, whether the costs of such facilities should be rolled into transmission rates).</w:t>
      </w:r>
    </w:p>
  </w:footnote>
  <w:footnote w:id="63">
    <w:p w14:paraId="4C37B3CC" w14:textId="77777777" w:rsidR="002C1A65" w:rsidRDefault="002C1A65" w:rsidP="002C1A65">
      <w:pPr>
        <w:pStyle w:val="FootnoteText"/>
      </w:pPr>
      <w:r>
        <w:rPr>
          <w:rStyle w:val="FootnoteReference"/>
        </w:rPr>
        <w:footnoteRef/>
      </w:r>
      <w:r>
        <w:t xml:space="preserve"> </w:t>
      </w:r>
      <w:r w:rsidR="009D05C8">
        <w:t xml:space="preserve">Transmission </w:t>
      </w:r>
      <w:r w:rsidR="00E06CF8">
        <w:t xml:space="preserve">Pricing Policy Statement, </w:t>
      </w:r>
      <w:r w:rsidR="009D05C8" w:rsidRPr="00377507">
        <w:t>FERC Stats</w:t>
      </w:r>
      <w:proofErr w:type="gramStart"/>
      <w:r w:rsidR="009D05C8" w:rsidRPr="00377507">
        <w:t xml:space="preserve">. </w:t>
      </w:r>
      <w:proofErr w:type="gramEnd"/>
      <w:r w:rsidR="009D05C8" w:rsidRPr="00377507">
        <w:t>and Regs</w:t>
      </w:r>
      <w:proofErr w:type="gramStart"/>
      <w:r w:rsidR="009D05C8" w:rsidRPr="00377507">
        <w:t xml:space="preserve">. </w:t>
      </w:r>
      <w:proofErr w:type="gramEnd"/>
      <w:r w:rsidR="009D05C8" w:rsidRPr="00377507">
        <w:t>¶ 31,00</w:t>
      </w:r>
      <w:r w:rsidR="001B2D0E">
        <w:t>5</w:t>
      </w:r>
      <w:r w:rsidR="009D05C8">
        <w:t xml:space="preserve"> </w:t>
      </w:r>
      <w:r w:rsidR="00EB461F">
        <w:t xml:space="preserve">                 </w:t>
      </w:r>
      <w:r w:rsidR="009D05C8">
        <w:t>at</w:t>
      </w:r>
      <w:r w:rsidR="001B2D0E">
        <w:t xml:space="preserve"> 31,137 (</w:t>
      </w:r>
      <w:r w:rsidR="0053552C">
        <w:t>“[T]</w:t>
      </w:r>
      <w:r w:rsidR="0053552C" w:rsidRPr="0053552C">
        <w:t xml:space="preserve">he Commission has allowed a </w:t>
      </w:r>
      <w:r w:rsidR="0053552C" w:rsidRPr="00AB091B">
        <w:rPr>
          <w:i/>
        </w:rPr>
        <w:t>utility</w:t>
      </w:r>
      <w:r w:rsidR="0053552C" w:rsidRPr="0053552C">
        <w:t xml:space="preserve"> to charge transmission-only customers the higher of embedded costs (for the system as expanded) or incremental expansion costs, but not the sum of the two</w:t>
      </w:r>
      <w:proofErr w:type="gramStart"/>
      <w:r w:rsidR="00ED7D5F">
        <w:t xml:space="preserve">.”) </w:t>
      </w:r>
      <w:proofErr w:type="gramEnd"/>
      <w:r w:rsidR="00ED7D5F">
        <w:t xml:space="preserve">(emphasis added); </w:t>
      </w:r>
      <w:r w:rsidR="00ED7D5F">
        <w:rPr>
          <w:i/>
          <w:iCs/>
        </w:rPr>
        <w:t>see,</w:t>
      </w:r>
      <w:r w:rsidR="009D05C8">
        <w:rPr>
          <w:i/>
          <w:iCs/>
        </w:rPr>
        <w:t xml:space="preserve"> </w:t>
      </w:r>
      <w:r w:rsidR="00ED7D5F">
        <w:rPr>
          <w:i/>
          <w:iCs/>
        </w:rPr>
        <w:t>e</w:t>
      </w:r>
      <w:r>
        <w:rPr>
          <w:i/>
          <w:iCs/>
        </w:rPr>
        <w:t>.g.</w:t>
      </w:r>
      <w:r w:rsidRPr="00F61222">
        <w:t>,</w:t>
      </w:r>
      <w:r w:rsidR="00113E46" w:rsidRPr="00BF039E">
        <w:t xml:space="preserve"> </w:t>
      </w:r>
      <w:r w:rsidR="00113E46">
        <w:rPr>
          <w:i/>
          <w:iCs/>
        </w:rPr>
        <w:t>Ne. Tex. Elec. Coop., Inc.</w:t>
      </w:r>
      <w:r w:rsidR="00113E46">
        <w:t>, 111 FERC ¶ 61,189, at P 48</w:t>
      </w:r>
      <w:r w:rsidR="00BB49BA">
        <w:t xml:space="preserve"> </w:t>
      </w:r>
      <w:r w:rsidR="005F6474">
        <w:t>(</w:t>
      </w:r>
      <w:r w:rsidR="00E32479">
        <w:t xml:space="preserve">2005) </w:t>
      </w:r>
      <w:r w:rsidR="00BB49BA">
        <w:t>(stating that</w:t>
      </w:r>
      <w:r w:rsidR="00A12A01">
        <w:t xml:space="preserve"> “the </w:t>
      </w:r>
      <w:r w:rsidR="00A12A01">
        <w:rPr>
          <w:i/>
          <w:iCs/>
        </w:rPr>
        <w:t>transmission provider</w:t>
      </w:r>
      <w:r w:rsidR="00506974">
        <w:t xml:space="preserve"> can charge the higher of the incremental cost of network facilities or the rolled in rate”)</w:t>
      </w:r>
      <w:r w:rsidR="008E6B50">
        <w:t xml:space="preserve"> (emphasis added);</w:t>
      </w:r>
      <w:r w:rsidR="006873ED" w:rsidRPr="007553E1">
        <w:t xml:space="preserve"> </w:t>
      </w:r>
      <w:r w:rsidR="0049026F" w:rsidRPr="00983F1B">
        <w:rPr>
          <w:i/>
          <w:iCs/>
        </w:rPr>
        <w:t>Ne. Utils</w:t>
      </w:r>
      <w:proofErr w:type="gramStart"/>
      <w:r w:rsidR="0049026F" w:rsidRPr="00983F1B">
        <w:rPr>
          <w:i/>
          <w:iCs/>
        </w:rPr>
        <w:t xml:space="preserve">. </w:t>
      </w:r>
      <w:proofErr w:type="gramEnd"/>
      <w:r w:rsidR="0049026F" w:rsidRPr="00983F1B">
        <w:rPr>
          <w:i/>
          <w:iCs/>
        </w:rPr>
        <w:t>Serv. Co.</w:t>
      </w:r>
      <w:r w:rsidR="0049026F" w:rsidRPr="00F102C3">
        <w:t xml:space="preserve">, 58 FERC ¶ 61,070, </w:t>
      </w:r>
      <w:r w:rsidR="0049026F" w:rsidRPr="00101814">
        <w:t>at 61,205-06 (1992)</w:t>
      </w:r>
      <w:r w:rsidRPr="007553E1">
        <w:t>.</w:t>
      </w:r>
    </w:p>
  </w:footnote>
  <w:footnote w:id="64">
    <w:p w14:paraId="0FF97E44" w14:textId="77777777" w:rsidR="002C1A65" w:rsidRPr="001F4AC9" w:rsidRDefault="002C1A65" w:rsidP="002C1A65">
      <w:pPr>
        <w:pStyle w:val="FootnoteText"/>
      </w:pPr>
      <w:r>
        <w:rPr>
          <w:rStyle w:val="FootnoteReference"/>
        </w:rPr>
        <w:footnoteRef/>
      </w:r>
      <w:r>
        <w:t xml:space="preserve"> </w:t>
      </w:r>
      <w:r w:rsidRPr="00777536">
        <w:rPr>
          <w:i/>
        </w:rPr>
        <w:t>See</w:t>
      </w:r>
      <w:r w:rsidR="00116AEF" w:rsidRPr="00777536">
        <w:rPr>
          <w:i/>
        </w:rPr>
        <w:t xml:space="preserve"> </w:t>
      </w:r>
      <w:r w:rsidR="00116AEF" w:rsidRPr="000146EA">
        <w:rPr>
          <w:i/>
        </w:rPr>
        <w:t>Lockhart</w:t>
      </w:r>
      <w:r w:rsidR="00116AEF" w:rsidRPr="00777536">
        <w:t>,</w:t>
      </w:r>
      <w:r w:rsidR="00116AEF" w:rsidRPr="003C32CE">
        <w:t xml:space="preserve"> 193 FERC ¶ 61,237 at P 19 (citations omitted);</w:t>
      </w:r>
      <w:r w:rsidR="00EF7EAD" w:rsidRPr="00E60536">
        <w:rPr>
          <w:i/>
          <w:iCs/>
        </w:rPr>
        <w:t xml:space="preserve"> </w:t>
      </w:r>
      <w:r w:rsidR="00EF7EAD" w:rsidRPr="00E60536">
        <w:t>Order No. 890, 118 FERC ¶ 61,119 at P</w:t>
      </w:r>
      <w:r w:rsidR="009F0377" w:rsidRPr="00E60536">
        <w:t>P</w:t>
      </w:r>
      <w:r w:rsidR="00DA350F" w:rsidRPr="00E60536">
        <w:t xml:space="preserve"> </w:t>
      </w:r>
      <w:r w:rsidR="009F0377" w:rsidRPr="00E60536">
        <w:t xml:space="preserve">870, </w:t>
      </w:r>
      <w:r w:rsidR="00124D07" w:rsidRPr="00E60536">
        <w:t>884;</w:t>
      </w:r>
      <w:r w:rsidR="005A1B0B" w:rsidRPr="00E60536">
        <w:t xml:space="preserve"> </w:t>
      </w:r>
      <w:r w:rsidR="005A1B0B" w:rsidRPr="00E60536">
        <w:rPr>
          <w:i/>
          <w:iCs/>
        </w:rPr>
        <w:t>Entergy Servs., Inc.</w:t>
      </w:r>
      <w:r w:rsidR="005A1B0B" w:rsidRPr="00E60536">
        <w:t>, 58 FERC ¶ 61,234, at 61,769 (1992)</w:t>
      </w:r>
      <w:r w:rsidR="006351D2">
        <w:t>.</w:t>
      </w:r>
      <w:r w:rsidRPr="00E60536">
        <w:rPr>
          <w:i/>
          <w:iCs/>
        </w:rPr>
        <w:t xml:space="preserve"> </w:t>
      </w:r>
    </w:p>
  </w:footnote>
  <w:footnote w:id="65">
    <w:p w14:paraId="716DB26B" w14:textId="77777777" w:rsidR="002C1A65" w:rsidRPr="00BE14EF" w:rsidRDefault="002C1A65" w:rsidP="002C1A65">
      <w:pPr>
        <w:pStyle w:val="FootnoteText"/>
      </w:pPr>
      <w:r>
        <w:rPr>
          <w:rStyle w:val="FootnoteReference"/>
        </w:rPr>
        <w:footnoteRef/>
      </w:r>
      <w:r>
        <w:t xml:space="preserve"> </w:t>
      </w:r>
      <w:r>
        <w:rPr>
          <w:i/>
          <w:iCs/>
        </w:rPr>
        <w:t xml:space="preserve">See </w:t>
      </w:r>
      <w:r w:rsidR="00EA6B11" w:rsidRPr="005240E4">
        <w:rPr>
          <w:i/>
          <w:iCs/>
        </w:rPr>
        <w:t>Lockhart</w:t>
      </w:r>
      <w:r w:rsidR="00EA6B11" w:rsidRPr="00777536">
        <w:t>,</w:t>
      </w:r>
      <w:r w:rsidR="00EA6B11" w:rsidRPr="003C32CE">
        <w:t xml:space="preserve"> 193 FERC ¶ 61,237 </w:t>
      </w:r>
      <w:r w:rsidR="00EA6B11">
        <w:t xml:space="preserve">at </w:t>
      </w:r>
      <w:r>
        <w:t xml:space="preserve">P 16 (explaining that the Commission </w:t>
      </w:r>
      <w:r w:rsidR="0052145D">
        <w:t>will consider</w:t>
      </w:r>
      <w:r>
        <w:t xml:space="preserve"> an incremental rate so long as the filing includes “</w:t>
      </w:r>
      <w:r w:rsidRPr="003D18DE">
        <w:t>sufficient cost support for the Commission to find that the proposed incremental rate . . . is just and reasonable</w:t>
      </w:r>
      <w:r>
        <w:t xml:space="preserve">”). </w:t>
      </w:r>
    </w:p>
  </w:footnote>
  <w:footnote w:id="66">
    <w:p w14:paraId="1862AA29" w14:textId="77777777" w:rsidR="002C1A65" w:rsidRDefault="002C1A65" w:rsidP="00EB461F">
      <w:pPr>
        <w:pStyle w:val="FootnoteText"/>
        <w:widowControl/>
      </w:pPr>
      <w:r>
        <w:rPr>
          <w:rStyle w:val="FootnoteReference"/>
        </w:rPr>
        <w:footnoteRef/>
      </w:r>
      <w:r>
        <w:t xml:space="preserve"> </w:t>
      </w:r>
      <w:r>
        <w:rPr>
          <w:i/>
          <w:iCs/>
        </w:rPr>
        <w:t>S</w:t>
      </w:r>
      <w:r w:rsidRPr="00B360CE">
        <w:rPr>
          <w:i/>
          <w:iCs/>
        </w:rPr>
        <w:t>ee, e.g</w:t>
      </w:r>
      <w:r w:rsidRPr="00FB7A11">
        <w:rPr>
          <w:i/>
          <w:iCs/>
        </w:rPr>
        <w:t>.</w:t>
      </w:r>
      <w:r w:rsidRPr="00FB7A11">
        <w:t>,</w:t>
      </w:r>
      <w:r w:rsidRPr="00FB7A11">
        <w:rPr>
          <w:i/>
          <w:iCs/>
        </w:rPr>
        <w:t xml:space="preserve"> </w:t>
      </w:r>
      <w:r w:rsidR="003B696F" w:rsidRPr="00FB7A11">
        <w:rPr>
          <w:i/>
        </w:rPr>
        <w:t>ComEd</w:t>
      </w:r>
      <w:r w:rsidR="003B696F" w:rsidRPr="00FB7A11">
        <w:t>, 194 FERC ¶ 61,113</w:t>
      </w:r>
      <w:r w:rsidRPr="00FB7A11">
        <w:t xml:space="preserve"> at n</w:t>
      </w:r>
      <w:r w:rsidRPr="00B360CE">
        <w:t xml:space="preserve">.60 (“As with any input to the formula rate, the formula rate protocols provide interested parties notice of and an opportunity to review and challenge the rates that will be charged.”); </w:t>
      </w:r>
      <w:r w:rsidRPr="00B360CE">
        <w:rPr>
          <w:i/>
          <w:iCs/>
        </w:rPr>
        <w:t xml:space="preserve">see </w:t>
      </w:r>
      <w:r w:rsidRPr="00B360CE">
        <w:t xml:space="preserve">Joint OATT </w:t>
      </w:r>
      <w:r w:rsidR="00EB461F">
        <w:t xml:space="preserve">       </w:t>
      </w:r>
      <w:r w:rsidR="00906A69">
        <w:t>a</w:t>
      </w:r>
      <w:r w:rsidRPr="00B360CE">
        <w:t>tt</w:t>
      </w:r>
      <w:r w:rsidR="00906A69">
        <w:t>ach</w:t>
      </w:r>
      <w:proofErr w:type="gramStart"/>
      <w:r w:rsidRPr="00B360CE">
        <w:t xml:space="preserve">. </w:t>
      </w:r>
      <w:proofErr w:type="gramEnd"/>
      <w:r w:rsidRPr="00B360CE">
        <w:t>H.2 §§ 1f (“[A]</w:t>
      </w:r>
      <w:proofErr w:type="spellStart"/>
      <w:r w:rsidRPr="00B360CE">
        <w:t>ll</w:t>
      </w:r>
      <w:proofErr w:type="spellEnd"/>
      <w:r w:rsidRPr="00B360CE">
        <w:t xml:space="preserve"> charges billed under formula rates are subject to prudence challenges and after-the-fact refund”), 2 (detailing the annual review process, including the ability for interested parties to request information from DEC and to challenge any aspect of the formula rate)</w:t>
      </w:r>
      <w:r w:rsidR="004B34C3">
        <w:t>,</w:t>
      </w:r>
      <w:r w:rsidRPr="00B360CE">
        <w:t xml:space="preserve"> 3 (explaining resolution of challenges).</w:t>
      </w:r>
    </w:p>
  </w:footnote>
  <w:footnote w:id="67">
    <w:p w14:paraId="1C26A0F7" w14:textId="74D84715" w:rsidR="002C1A65" w:rsidRPr="00500D2D" w:rsidRDefault="002C1A65" w:rsidP="002C1A65">
      <w:pPr>
        <w:pStyle w:val="FootnoteText"/>
      </w:pPr>
      <w:r>
        <w:rPr>
          <w:rStyle w:val="FootnoteReference"/>
        </w:rPr>
        <w:footnoteRef/>
      </w:r>
      <w:r w:rsidR="008A4065">
        <w:t xml:space="preserve"> </w:t>
      </w:r>
      <w:r w:rsidR="003019F0">
        <w:t>A</w:t>
      </w:r>
      <w:r>
        <w:t>tt</w:t>
      </w:r>
      <w:r w:rsidR="00EB461F">
        <w:t>ach</w:t>
      </w:r>
      <w:proofErr w:type="gramStart"/>
      <w:r>
        <w:t xml:space="preserve">. </w:t>
      </w:r>
      <w:proofErr w:type="gramEnd"/>
      <w:r>
        <w:t xml:space="preserve">A § 14 (“Transmission Customer shall have the right to make a unilateral filing with the Commission to modify this Service Agreement pursuant to section 206 or any other applicable provision of the Federal Power Act.”); </w:t>
      </w:r>
      <w:r>
        <w:rPr>
          <w:i/>
          <w:iCs/>
        </w:rPr>
        <w:t>see, e.g.</w:t>
      </w:r>
      <w:r>
        <w:t>,</w:t>
      </w:r>
      <w:r>
        <w:rPr>
          <w:i/>
          <w:iCs/>
        </w:rPr>
        <w:t xml:space="preserve"> Buckeye</w:t>
      </w:r>
      <w:r>
        <w:t>, 148 FERC ¶ 61,174 at PP 1-2 (affirming initial decision on complaint requiring a transmission provider to implement a rolled-in rate design for transmission facilities of all voltages).</w:t>
      </w:r>
    </w:p>
  </w:footnote>
  <w:footnote w:id="68">
    <w:p w14:paraId="10F9F4CE" w14:textId="77777777" w:rsidR="002C1A65" w:rsidRPr="005549CE" w:rsidRDefault="002C1A65" w:rsidP="002C1A65">
      <w:pPr>
        <w:pStyle w:val="FootnoteText"/>
      </w:pPr>
      <w:r>
        <w:rPr>
          <w:rStyle w:val="FootnoteReference"/>
        </w:rPr>
        <w:footnoteRef/>
      </w:r>
      <w:r>
        <w:t xml:space="preserve"> SACE Protest</w:t>
      </w:r>
      <w:r w:rsidR="00EF38DD">
        <w:t xml:space="preserve"> at 10.</w:t>
      </w:r>
    </w:p>
  </w:footnote>
  <w:footnote w:id="69">
    <w:p w14:paraId="60314AD7" w14:textId="77777777" w:rsidR="00B9105C" w:rsidRDefault="00B9105C">
      <w:pPr>
        <w:pStyle w:val="FootnoteText"/>
      </w:pPr>
      <w:r>
        <w:rPr>
          <w:rStyle w:val="FootnoteReference"/>
        </w:rPr>
        <w:footnoteRef/>
      </w:r>
      <w:r>
        <w:t xml:space="preserve"> </w:t>
      </w:r>
      <w:r w:rsidR="001E155B">
        <w:rPr>
          <w:i/>
          <w:iCs/>
        </w:rPr>
        <w:t xml:space="preserve">See </w:t>
      </w:r>
      <w:r w:rsidR="001E155B" w:rsidRPr="001E155B">
        <w:rPr>
          <w:i/>
          <w:iCs/>
        </w:rPr>
        <w:t>Sw. Power Pool, Inc.</w:t>
      </w:r>
      <w:r w:rsidR="001E155B" w:rsidRPr="001E155B">
        <w:t xml:space="preserve">, 177 FERC ¶ 61,056, at P 22 (2021) (“The use of                </w:t>
      </w:r>
      <w:r w:rsidR="001E155B" w:rsidRPr="001E155B">
        <w:rPr>
          <w:i/>
        </w:rPr>
        <w:t>pro forma</w:t>
      </w:r>
      <w:r w:rsidR="001E155B" w:rsidRPr="001E155B">
        <w:t xml:space="preserve"> service agreements ensures that customers receive non-discriminatory service and that all customers are treated on a consistent and fair basis.”).</w:t>
      </w:r>
    </w:p>
  </w:footnote>
  <w:footnote w:id="70">
    <w:p w14:paraId="5E11094C" w14:textId="77777777" w:rsidR="00E87766" w:rsidRPr="00E87766" w:rsidRDefault="00E87766">
      <w:pPr>
        <w:pStyle w:val="FootnoteText"/>
      </w:pPr>
      <w:r>
        <w:rPr>
          <w:rStyle w:val="FootnoteReference"/>
        </w:rPr>
        <w:footnoteRef/>
      </w:r>
      <w:r>
        <w:t xml:space="preserve"> </w:t>
      </w:r>
      <w:r>
        <w:rPr>
          <w:i/>
          <w:iCs/>
        </w:rPr>
        <w:t>See, e.g.</w:t>
      </w:r>
      <w:r>
        <w:t xml:space="preserve">, </w:t>
      </w:r>
      <w:r>
        <w:rPr>
          <w:i/>
          <w:iCs/>
        </w:rPr>
        <w:t>M</w:t>
      </w:r>
      <w:r w:rsidR="0017019D">
        <w:rPr>
          <w:i/>
          <w:iCs/>
        </w:rPr>
        <w:t xml:space="preserve">idcontinent </w:t>
      </w:r>
      <w:proofErr w:type="spellStart"/>
      <w:r>
        <w:rPr>
          <w:i/>
          <w:iCs/>
        </w:rPr>
        <w:t>I</w:t>
      </w:r>
      <w:r w:rsidR="0017019D">
        <w:rPr>
          <w:i/>
          <w:iCs/>
        </w:rPr>
        <w:t>nde</w:t>
      </w:r>
      <w:r w:rsidR="006D1A5B">
        <w:rPr>
          <w:i/>
          <w:iCs/>
        </w:rPr>
        <w:t>p</w:t>
      </w:r>
      <w:proofErr w:type="spellEnd"/>
      <w:proofErr w:type="gramStart"/>
      <w:r w:rsidR="0017019D">
        <w:rPr>
          <w:i/>
          <w:iCs/>
        </w:rPr>
        <w:t xml:space="preserve">. </w:t>
      </w:r>
      <w:proofErr w:type="gramEnd"/>
      <w:r>
        <w:rPr>
          <w:i/>
          <w:iCs/>
        </w:rPr>
        <w:t>S</w:t>
      </w:r>
      <w:r w:rsidR="0017019D">
        <w:rPr>
          <w:i/>
          <w:iCs/>
        </w:rPr>
        <w:t>ys</w:t>
      </w:r>
      <w:proofErr w:type="gramStart"/>
      <w:r w:rsidR="0017019D">
        <w:rPr>
          <w:i/>
          <w:iCs/>
        </w:rPr>
        <w:t xml:space="preserve">. </w:t>
      </w:r>
      <w:proofErr w:type="gramEnd"/>
      <w:r>
        <w:rPr>
          <w:i/>
          <w:iCs/>
        </w:rPr>
        <w:t>O</w:t>
      </w:r>
      <w:r w:rsidR="0017019D">
        <w:rPr>
          <w:i/>
          <w:iCs/>
        </w:rPr>
        <w:t>perator</w:t>
      </w:r>
      <w:r w:rsidR="00790544">
        <w:rPr>
          <w:i/>
          <w:iCs/>
        </w:rPr>
        <w:t>,</w:t>
      </w:r>
      <w:r w:rsidR="006D1A5B">
        <w:rPr>
          <w:i/>
          <w:iCs/>
        </w:rPr>
        <w:t xml:space="preserve"> Inc.</w:t>
      </w:r>
      <w:r w:rsidR="006D1A5B">
        <w:t>,</w:t>
      </w:r>
      <w:r w:rsidR="00790544">
        <w:rPr>
          <w:i/>
          <w:iCs/>
        </w:rPr>
        <w:t xml:space="preserve"> </w:t>
      </w:r>
      <w:r w:rsidR="002D3D49">
        <w:t>195 FERC ¶ 61,212</w:t>
      </w:r>
      <w:r w:rsidR="006D1A5B">
        <w:t>,</w:t>
      </w:r>
      <w:r w:rsidR="00790544">
        <w:rPr>
          <w:b/>
          <w:bCs/>
        </w:rPr>
        <w:t xml:space="preserve"> </w:t>
      </w:r>
      <w:r w:rsidR="00457302">
        <w:t>at P 46 (</w:t>
      </w:r>
      <w:r w:rsidR="001A05F7">
        <w:t xml:space="preserve">2026) </w:t>
      </w:r>
      <w:r w:rsidR="00457302">
        <w:t xml:space="preserve">(citing </w:t>
      </w:r>
      <w:r w:rsidR="000F2B33" w:rsidRPr="000F2B33">
        <w:t>16 U.S.C. § 824(b)(1)</w:t>
      </w:r>
      <w:r w:rsidR="00E76134">
        <w:t>)</w:t>
      </w:r>
      <w:r w:rsidR="004C1431">
        <w:t xml:space="preserve">; </w:t>
      </w:r>
      <w:r w:rsidR="00272200" w:rsidRPr="00272200">
        <w:rPr>
          <w:i/>
        </w:rPr>
        <w:t xml:space="preserve">FERC v. Elec. Power Supply </w:t>
      </w:r>
      <w:proofErr w:type="spellStart"/>
      <w:r w:rsidR="00272200" w:rsidRPr="00272200">
        <w:rPr>
          <w:i/>
        </w:rPr>
        <w:t>Ass’n</w:t>
      </w:r>
      <w:proofErr w:type="spellEnd"/>
      <w:r w:rsidR="00272200" w:rsidRPr="00272200">
        <w:t>, 577 U.S. 260</w:t>
      </w:r>
      <w:r w:rsidR="00272200">
        <w:t xml:space="preserve">, </w:t>
      </w:r>
      <w:r w:rsidR="004C1431" w:rsidRPr="004C1431">
        <w:t>279-80</w:t>
      </w:r>
      <w:r w:rsidR="00272200">
        <w:t xml:space="preserve"> (2016)</w:t>
      </w:r>
      <w:r w:rsidR="004C1431" w:rsidRPr="004C1431">
        <w:t xml:space="preserve">; </w:t>
      </w:r>
      <w:r w:rsidR="004C1431" w:rsidRPr="004C1431">
        <w:rPr>
          <w:i/>
        </w:rPr>
        <w:t>N</w:t>
      </w:r>
      <w:r w:rsidR="001413FA">
        <w:rPr>
          <w:i/>
        </w:rPr>
        <w:t>.Y.</w:t>
      </w:r>
      <w:r w:rsidR="004C1431" w:rsidRPr="004C1431">
        <w:rPr>
          <w:i/>
        </w:rPr>
        <w:t xml:space="preserve"> v. FERC</w:t>
      </w:r>
      <w:r w:rsidR="004C1431" w:rsidRPr="004C1431">
        <w:t xml:space="preserve">, 535 U.S. </w:t>
      </w:r>
      <w:r w:rsidR="008759DF">
        <w:t xml:space="preserve">1, </w:t>
      </w:r>
      <w:r w:rsidR="004C1431" w:rsidRPr="004C1431">
        <w:t>28</w:t>
      </w:r>
      <w:r w:rsidR="008178AD">
        <w:t xml:space="preserve"> (2002); </w:t>
      </w:r>
      <w:r w:rsidR="00CA3FF5">
        <w:rPr>
          <w:i/>
          <w:iCs/>
        </w:rPr>
        <w:t>PJM Interconnection, L.L.C.</w:t>
      </w:r>
      <w:r w:rsidR="008178AD" w:rsidRPr="008178AD">
        <w:t xml:space="preserve">, </w:t>
      </w:r>
      <w:r w:rsidR="00EB461F">
        <w:t xml:space="preserve">                        </w:t>
      </w:r>
      <w:r w:rsidR="008178AD" w:rsidRPr="008178AD">
        <w:t>190 FERC ¶ 61,115</w:t>
      </w:r>
      <w:r w:rsidR="00CA3FF5">
        <w:t>,</w:t>
      </w:r>
      <w:r w:rsidR="008178AD" w:rsidRPr="008178AD">
        <w:t xml:space="preserve"> at PP 68-69</w:t>
      </w:r>
      <w:r w:rsidR="00CA3FF5">
        <w:t xml:space="preserve"> (2026)</w:t>
      </w:r>
      <w:r w:rsidR="004C1431">
        <w:t>).</w:t>
      </w:r>
    </w:p>
  </w:footnote>
  <w:footnote w:id="71">
    <w:p w14:paraId="4E9E97BA" w14:textId="77777777" w:rsidR="00187BE4" w:rsidRDefault="00187BE4" w:rsidP="00187BE4">
      <w:pPr>
        <w:pStyle w:val="FootnoteText"/>
      </w:pPr>
      <w:r>
        <w:rPr>
          <w:rStyle w:val="FootnoteReference"/>
        </w:rPr>
        <w:footnoteRef/>
      </w:r>
      <w:r>
        <w:t xml:space="preserve"> </w:t>
      </w:r>
      <w:r w:rsidR="004744FA">
        <w:t xml:space="preserve">Filing, </w:t>
      </w:r>
      <w:r w:rsidRPr="006871AA">
        <w:t xml:space="preserve">Transmittal </w:t>
      </w:r>
      <w:r w:rsidR="001413FA">
        <w:t xml:space="preserve">Letter </w:t>
      </w:r>
      <w:r w:rsidRPr="006871AA">
        <w:t>at 23-24, 31.</w:t>
      </w:r>
    </w:p>
  </w:footnote>
  <w:footnote w:id="72">
    <w:p w14:paraId="352FA2B9" w14:textId="77777777" w:rsidR="00EA40EE" w:rsidRDefault="00EA40EE">
      <w:pPr>
        <w:pStyle w:val="FootnoteText"/>
      </w:pPr>
      <w:r>
        <w:rPr>
          <w:rStyle w:val="FootnoteReference"/>
        </w:rPr>
        <w:footnoteRef/>
      </w:r>
      <w:r>
        <w:t xml:space="preserve"> </w:t>
      </w:r>
      <w:r w:rsidR="00FD10DD">
        <w:rPr>
          <w:i/>
          <w:iCs/>
        </w:rPr>
        <w:t>Id.</w:t>
      </w:r>
      <w:r>
        <w:rPr>
          <w:i/>
        </w:rPr>
        <w:t xml:space="preserve"> </w:t>
      </w:r>
      <w:r w:rsidR="000F65F8">
        <w:t xml:space="preserve">at 24; </w:t>
      </w:r>
      <w:r w:rsidR="00906A69">
        <w:t>a</w:t>
      </w:r>
      <w:r w:rsidR="00CC1791" w:rsidRPr="00CC1791">
        <w:t>ttach</w:t>
      </w:r>
      <w:proofErr w:type="gramStart"/>
      <w:r w:rsidR="00CC1791" w:rsidRPr="00CC1791">
        <w:t xml:space="preserve">. </w:t>
      </w:r>
      <w:proofErr w:type="gramEnd"/>
      <w:r w:rsidR="00CC1791" w:rsidRPr="00CC1791">
        <w:t>F §§ II.5.3</w:t>
      </w:r>
      <w:r w:rsidR="00292919">
        <w:t>.</w:t>
      </w:r>
    </w:p>
  </w:footnote>
  <w:footnote w:id="73">
    <w:p w14:paraId="7F82591D" w14:textId="77777777" w:rsidR="00187BE4" w:rsidRDefault="00187BE4" w:rsidP="00187BE4">
      <w:pPr>
        <w:pStyle w:val="FootnoteText"/>
      </w:pPr>
      <w:r>
        <w:rPr>
          <w:rStyle w:val="FootnoteReference"/>
        </w:rPr>
        <w:footnoteRef/>
      </w:r>
      <w:r>
        <w:t xml:space="preserve"> </w:t>
      </w:r>
      <w:r w:rsidRPr="007A01DF">
        <w:rPr>
          <w:i/>
          <w:iCs/>
        </w:rPr>
        <w:t xml:space="preserve">See </w:t>
      </w:r>
      <w:r w:rsidR="00906A69">
        <w:t>a</w:t>
      </w:r>
      <w:r w:rsidRPr="007A01DF">
        <w:t>ttach</w:t>
      </w:r>
      <w:proofErr w:type="gramStart"/>
      <w:r w:rsidRPr="007A01DF">
        <w:t xml:space="preserve">. </w:t>
      </w:r>
      <w:proofErr w:type="gramEnd"/>
      <w:r w:rsidRPr="007A01DF">
        <w:t>F §§ II.5.3 (Transmission Customer Shortfall Event and Payment Obligation), 5.4 (illustrative example of how and when a transmission customer would be subject to a Shortfall Payment).</w:t>
      </w:r>
    </w:p>
  </w:footnote>
  <w:footnote w:id="74">
    <w:p w14:paraId="46A1996F" w14:textId="77777777" w:rsidR="002B2F17" w:rsidRDefault="002B2F17" w:rsidP="002B2F17">
      <w:pPr>
        <w:pStyle w:val="FootnoteText"/>
      </w:pPr>
      <w:r>
        <w:rPr>
          <w:rStyle w:val="FootnoteReference"/>
        </w:rPr>
        <w:footnoteRef/>
      </w:r>
      <w:r>
        <w:t xml:space="preserve"> </w:t>
      </w:r>
      <w:r w:rsidR="002F6173">
        <w:t xml:space="preserve">Filing, </w:t>
      </w:r>
      <w:r w:rsidR="002F6173" w:rsidRPr="006871AA">
        <w:t xml:space="preserve">Transmittal </w:t>
      </w:r>
      <w:r w:rsidR="002F6173">
        <w:t xml:space="preserve">Letter </w:t>
      </w:r>
      <w:r w:rsidR="002F6173" w:rsidRPr="006871AA">
        <w:t xml:space="preserve">at </w:t>
      </w:r>
      <w:r w:rsidR="00C44904">
        <w:t xml:space="preserve">24 </w:t>
      </w:r>
      <w:r w:rsidR="002F6173">
        <w:t>(citing Joint OATT</w:t>
      </w:r>
      <w:r w:rsidR="009A7A1D">
        <w:t xml:space="preserve">, </w:t>
      </w:r>
      <w:r w:rsidR="009A7A1D" w:rsidRPr="007A01DF">
        <w:t>§</w:t>
      </w:r>
      <w:r>
        <w:t xml:space="preserve"> 7.1 (Billing Procedure) </w:t>
      </w:r>
      <w:r w:rsidR="005848E9">
        <w:t>(</w:t>
      </w:r>
      <w:r>
        <w:t>stating that</w:t>
      </w:r>
      <w:r w:rsidR="005848E9">
        <w:t>,</w:t>
      </w:r>
      <w:r>
        <w:t xml:space="preserve"> with respect to bills for services under the Joint OATT, “[t]</w:t>
      </w:r>
      <w:r w:rsidRPr="00445090">
        <w:t>he invoice</w:t>
      </w:r>
      <w:r>
        <w:t xml:space="preserve"> </w:t>
      </w:r>
      <w:r w:rsidRPr="00445090">
        <w:t>shall be paid by the Transmission Customer within twenty (20) days of receipt.</w:t>
      </w:r>
      <w:r>
        <w:t>”</w:t>
      </w:r>
      <w:r w:rsidR="005848E9">
        <w:t>)</w:t>
      </w:r>
      <w:r w:rsidR="00CB6813">
        <w:t>.</w:t>
      </w:r>
    </w:p>
  </w:footnote>
  <w:footnote w:id="75">
    <w:p w14:paraId="40880061" w14:textId="77777777" w:rsidR="0079160F" w:rsidRDefault="0079160F">
      <w:pPr>
        <w:pStyle w:val="FootnoteText"/>
      </w:pPr>
      <w:r>
        <w:rPr>
          <w:rStyle w:val="FootnoteReference"/>
        </w:rPr>
        <w:footnoteRef/>
      </w:r>
      <w:r>
        <w:t xml:space="preserve"> </w:t>
      </w:r>
      <w:r w:rsidR="00B34A27">
        <w:rPr>
          <w:i/>
          <w:iCs/>
        </w:rPr>
        <w:t>Id.</w:t>
      </w:r>
      <w:r>
        <w:rPr>
          <w:i/>
        </w:rPr>
        <w:t xml:space="preserve"> </w:t>
      </w:r>
      <w:r w:rsidR="00FB0272" w:rsidRPr="00FB0272">
        <w:t>at 23.</w:t>
      </w:r>
      <w:r w:rsidR="007D6E50">
        <w:t xml:space="preserve"> </w:t>
      </w:r>
    </w:p>
  </w:footnote>
  <w:footnote w:id="76">
    <w:p w14:paraId="3C8366E6" w14:textId="77777777" w:rsidR="00407A1E" w:rsidRDefault="00407A1E" w:rsidP="00407A1E">
      <w:pPr>
        <w:pStyle w:val="FootnoteText"/>
      </w:pPr>
      <w:r>
        <w:rPr>
          <w:rStyle w:val="FootnoteReference"/>
        </w:rPr>
        <w:footnoteRef/>
      </w:r>
      <w:r>
        <w:t xml:space="preserve"> </w:t>
      </w:r>
      <w:r w:rsidR="00B44B2C">
        <w:rPr>
          <w:i/>
          <w:iCs/>
        </w:rPr>
        <w:t>Id.</w:t>
      </w:r>
      <w:r>
        <w:rPr>
          <w:i/>
        </w:rPr>
        <w:t xml:space="preserve"> </w:t>
      </w:r>
    </w:p>
  </w:footnote>
  <w:footnote w:id="77">
    <w:p w14:paraId="180F6158" w14:textId="77777777" w:rsidR="003273B8" w:rsidRDefault="003273B8">
      <w:pPr>
        <w:pStyle w:val="FootnoteText"/>
      </w:pPr>
      <w:r>
        <w:rPr>
          <w:rStyle w:val="FootnoteReference"/>
        </w:rPr>
        <w:footnoteRef/>
      </w:r>
      <w:r>
        <w:t xml:space="preserve"> </w:t>
      </w:r>
      <w:r>
        <w:rPr>
          <w:i/>
          <w:iCs/>
        </w:rPr>
        <w:t xml:space="preserve">Id. </w:t>
      </w:r>
      <w:r w:rsidRPr="00FB0272">
        <w:t>at 2</w:t>
      </w:r>
      <w:r>
        <w:t>5.</w:t>
      </w:r>
    </w:p>
  </w:footnote>
  <w:footnote w:id="78">
    <w:p w14:paraId="21163401" w14:textId="77777777" w:rsidR="00A146F7" w:rsidRDefault="00A146F7" w:rsidP="00A146F7">
      <w:pPr>
        <w:pStyle w:val="FootnoteText"/>
      </w:pPr>
      <w:r>
        <w:rPr>
          <w:rStyle w:val="FootnoteReference"/>
        </w:rPr>
        <w:footnoteRef/>
      </w:r>
      <w:r>
        <w:t xml:space="preserve"> </w:t>
      </w:r>
      <w:proofErr w:type="spellStart"/>
      <w:r>
        <w:t>ElectriCities</w:t>
      </w:r>
      <w:proofErr w:type="spellEnd"/>
      <w:r>
        <w:t xml:space="preserve"> Protest at 6</w:t>
      </w:r>
      <w:r w:rsidR="008D727F">
        <w:t>-7</w:t>
      </w:r>
      <w:r>
        <w:t>.</w:t>
      </w:r>
    </w:p>
  </w:footnote>
  <w:footnote w:id="79">
    <w:p w14:paraId="6BD5C554" w14:textId="77777777" w:rsidR="00846001" w:rsidRDefault="00846001">
      <w:pPr>
        <w:pStyle w:val="FootnoteText"/>
      </w:pPr>
      <w:r>
        <w:rPr>
          <w:rStyle w:val="FootnoteReference"/>
        </w:rPr>
        <w:footnoteRef/>
      </w:r>
      <w:r>
        <w:t xml:space="preserve"> DEC </w:t>
      </w:r>
      <w:r w:rsidR="004744FA">
        <w:t xml:space="preserve">Answer </w:t>
      </w:r>
      <w:r>
        <w:t xml:space="preserve">at 17. </w:t>
      </w:r>
    </w:p>
  </w:footnote>
  <w:footnote w:id="80">
    <w:p w14:paraId="030025D9" w14:textId="77777777" w:rsidR="00A92C55" w:rsidRDefault="00A92C55">
      <w:pPr>
        <w:pStyle w:val="FootnoteText"/>
      </w:pPr>
      <w:r>
        <w:rPr>
          <w:rStyle w:val="FootnoteReference"/>
        </w:rPr>
        <w:footnoteRef/>
      </w:r>
      <w:r>
        <w:t xml:space="preserve"> </w:t>
      </w:r>
      <w:r w:rsidR="00D6660D">
        <w:rPr>
          <w:i/>
          <w:iCs/>
        </w:rPr>
        <w:t xml:space="preserve">Id. </w:t>
      </w:r>
      <w:r w:rsidR="00D6660D" w:rsidRPr="000146EA">
        <w:t xml:space="preserve">at 19. </w:t>
      </w:r>
      <w:r w:rsidRPr="002D7386">
        <w:t xml:space="preserve"> </w:t>
      </w:r>
    </w:p>
  </w:footnote>
  <w:footnote w:id="81">
    <w:p w14:paraId="37B8B2E6" w14:textId="77777777" w:rsidR="00646E21" w:rsidRDefault="00646E21">
      <w:pPr>
        <w:pStyle w:val="FootnoteText"/>
      </w:pPr>
      <w:r>
        <w:rPr>
          <w:rStyle w:val="FootnoteReference"/>
        </w:rPr>
        <w:footnoteRef/>
      </w:r>
      <w:r>
        <w:t xml:space="preserve"> </w:t>
      </w:r>
      <w:r>
        <w:rPr>
          <w:i/>
          <w:iCs/>
        </w:rPr>
        <w:t xml:space="preserve">Id. </w:t>
      </w:r>
      <w:r w:rsidRPr="005240E4">
        <w:t xml:space="preserve">at </w:t>
      </w:r>
      <w:r>
        <w:t>20</w:t>
      </w:r>
      <w:r w:rsidR="00367F97">
        <w:t>-21</w:t>
      </w:r>
      <w:r>
        <w:t>.</w:t>
      </w:r>
    </w:p>
  </w:footnote>
  <w:footnote w:id="82">
    <w:p w14:paraId="43B3FCD2" w14:textId="77777777" w:rsidR="00E8787A" w:rsidRDefault="00E8787A">
      <w:pPr>
        <w:pStyle w:val="FootnoteText"/>
      </w:pPr>
      <w:r>
        <w:rPr>
          <w:rStyle w:val="FootnoteReference"/>
        </w:rPr>
        <w:footnoteRef/>
      </w:r>
      <w:r>
        <w:t xml:space="preserve"> </w:t>
      </w:r>
      <w:r>
        <w:rPr>
          <w:i/>
          <w:iCs/>
        </w:rPr>
        <w:t xml:space="preserve">Id. </w:t>
      </w:r>
      <w:r w:rsidRPr="005240E4">
        <w:t xml:space="preserve">at </w:t>
      </w:r>
      <w:r>
        <w:t>2</w:t>
      </w:r>
      <w:r w:rsidR="006837C4">
        <w:t>2</w:t>
      </w:r>
      <w:r>
        <w:t>.</w:t>
      </w:r>
    </w:p>
  </w:footnote>
  <w:footnote w:id="83">
    <w:p w14:paraId="6AF6D7E8" w14:textId="77777777" w:rsidR="003A7C76" w:rsidRDefault="003A7C76">
      <w:pPr>
        <w:pStyle w:val="FootnoteText"/>
      </w:pPr>
      <w:r>
        <w:rPr>
          <w:rStyle w:val="FootnoteReference"/>
        </w:rPr>
        <w:footnoteRef/>
      </w:r>
      <w:r>
        <w:t xml:space="preserve"> </w:t>
      </w:r>
      <w:r w:rsidR="00D26D87">
        <w:rPr>
          <w:i/>
          <w:iCs/>
        </w:rPr>
        <w:t>Id.</w:t>
      </w:r>
      <w:r>
        <w:rPr>
          <w:i/>
        </w:rPr>
        <w:t xml:space="preserve"> </w:t>
      </w:r>
      <w:r>
        <w:t xml:space="preserve">at 24-25. </w:t>
      </w:r>
    </w:p>
  </w:footnote>
  <w:footnote w:id="84">
    <w:p w14:paraId="1AC5D466" w14:textId="77777777" w:rsidR="00BA5CF5" w:rsidRDefault="00BA5CF5">
      <w:pPr>
        <w:pStyle w:val="FootnoteText"/>
      </w:pPr>
      <w:r>
        <w:rPr>
          <w:rStyle w:val="FootnoteReference"/>
        </w:rPr>
        <w:footnoteRef/>
      </w:r>
      <w:r>
        <w:t xml:space="preserve"> </w:t>
      </w:r>
      <w:r w:rsidR="00B90B23">
        <w:t>Deficiency Letter at 2</w:t>
      </w:r>
      <w:r w:rsidR="00EE013E">
        <w:t>.</w:t>
      </w:r>
    </w:p>
  </w:footnote>
  <w:footnote w:id="85">
    <w:p w14:paraId="3271FCEF" w14:textId="77777777" w:rsidR="00D67FCA" w:rsidRDefault="00D67FCA">
      <w:pPr>
        <w:pStyle w:val="FootnoteText"/>
      </w:pPr>
      <w:r>
        <w:rPr>
          <w:rStyle w:val="FootnoteReference"/>
        </w:rPr>
        <w:footnoteRef/>
      </w:r>
      <w:r>
        <w:t xml:space="preserve"> Deficiency </w:t>
      </w:r>
      <w:r w:rsidR="00FC3C15">
        <w:t xml:space="preserve">Response </w:t>
      </w:r>
      <w:r>
        <w:t xml:space="preserve">at </w:t>
      </w:r>
      <w:r w:rsidR="00221F00">
        <w:t>2.</w:t>
      </w:r>
    </w:p>
  </w:footnote>
  <w:footnote w:id="86">
    <w:p w14:paraId="5A013949" w14:textId="77777777" w:rsidR="00B3487B" w:rsidRDefault="00B3487B" w:rsidP="00B3487B">
      <w:pPr>
        <w:pStyle w:val="FootnoteText"/>
      </w:pPr>
      <w:r>
        <w:rPr>
          <w:rStyle w:val="FootnoteReference"/>
        </w:rPr>
        <w:footnoteRef/>
      </w:r>
      <w:r>
        <w:t xml:space="preserve"> Deficiency Letter at 2.</w:t>
      </w:r>
    </w:p>
  </w:footnote>
  <w:footnote w:id="87">
    <w:p w14:paraId="7BFF84E6" w14:textId="77777777" w:rsidR="0003202F" w:rsidRDefault="0003202F" w:rsidP="0003202F">
      <w:pPr>
        <w:pStyle w:val="FootnoteText"/>
      </w:pPr>
      <w:r>
        <w:rPr>
          <w:rStyle w:val="FootnoteReference"/>
        </w:rPr>
        <w:footnoteRef/>
      </w:r>
      <w:r>
        <w:t xml:space="preserve"> Deficiency Response at 3.</w:t>
      </w:r>
    </w:p>
  </w:footnote>
  <w:footnote w:id="88">
    <w:p w14:paraId="149A7487" w14:textId="77777777" w:rsidR="00483A0B" w:rsidRDefault="00483A0B">
      <w:pPr>
        <w:pStyle w:val="FootnoteText"/>
      </w:pPr>
      <w:r>
        <w:rPr>
          <w:rStyle w:val="FootnoteReference"/>
        </w:rPr>
        <w:footnoteRef/>
      </w:r>
      <w:r>
        <w:t xml:space="preserve"> </w:t>
      </w:r>
      <w:r w:rsidR="0050750B" w:rsidRPr="00A8656A">
        <w:rPr>
          <w:i/>
        </w:rPr>
        <w:t>Id.</w:t>
      </w:r>
      <w:r w:rsidR="003737E8" w:rsidRPr="00A8656A">
        <w:rPr>
          <w:i/>
        </w:rPr>
        <w:t xml:space="preserve"> </w:t>
      </w:r>
      <w:r>
        <w:t xml:space="preserve">at 5. </w:t>
      </w:r>
    </w:p>
  </w:footnote>
  <w:footnote w:id="89">
    <w:p w14:paraId="04751405" w14:textId="77777777" w:rsidR="00D37C05" w:rsidRDefault="00D37C05">
      <w:pPr>
        <w:pStyle w:val="FootnoteText"/>
      </w:pPr>
      <w:r>
        <w:rPr>
          <w:rStyle w:val="FootnoteReference"/>
        </w:rPr>
        <w:footnoteRef/>
      </w:r>
      <w:r>
        <w:t xml:space="preserve"> </w:t>
      </w:r>
      <w:r w:rsidR="001241DD">
        <w:t xml:space="preserve">Deficiency Response at 2-3. </w:t>
      </w:r>
    </w:p>
  </w:footnote>
  <w:footnote w:id="90">
    <w:p w14:paraId="1A8DC768" w14:textId="77777777" w:rsidR="00D37C05" w:rsidRDefault="00D37C05">
      <w:pPr>
        <w:pStyle w:val="FootnoteText"/>
      </w:pPr>
      <w:r>
        <w:rPr>
          <w:rStyle w:val="FootnoteReference"/>
        </w:rPr>
        <w:footnoteRef/>
      </w:r>
      <w:r>
        <w:t xml:space="preserve"> </w:t>
      </w:r>
      <w:r w:rsidR="00CD11D4">
        <w:rPr>
          <w:i/>
          <w:iCs/>
        </w:rPr>
        <w:t>Id.</w:t>
      </w:r>
      <w:r w:rsidR="00936932">
        <w:t xml:space="preserve"> at 3. </w:t>
      </w:r>
    </w:p>
  </w:footnote>
  <w:footnote w:id="91">
    <w:p w14:paraId="4C278E1D" w14:textId="77777777" w:rsidR="00307329" w:rsidRDefault="00307329">
      <w:pPr>
        <w:pStyle w:val="FootnoteText"/>
      </w:pPr>
      <w:r>
        <w:rPr>
          <w:rStyle w:val="FootnoteReference"/>
        </w:rPr>
        <w:footnoteRef/>
      </w:r>
      <w:r>
        <w:t xml:space="preserve"> </w:t>
      </w:r>
      <w:r w:rsidR="003B5398" w:rsidRPr="00613692">
        <w:rPr>
          <w:i/>
          <w:iCs/>
        </w:rPr>
        <w:t>Ala</w:t>
      </w:r>
      <w:r w:rsidR="00B10EEB">
        <w:rPr>
          <w:i/>
          <w:iCs/>
        </w:rPr>
        <w:t>.</w:t>
      </w:r>
      <w:r w:rsidR="003B5398" w:rsidRPr="00F61222">
        <w:rPr>
          <w:i/>
          <w:iCs/>
        </w:rPr>
        <w:t xml:space="preserve"> Power Co</w:t>
      </w:r>
      <w:r w:rsidR="003B5398" w:rsidRPr="003B5398">
        <w:t xml:space="preserve">., 190 FERC ¶ 61,151, at P 95 (2025) (“Order No. 888 and the </w:t>
      </w:r>
      <w:r w:rsidR="003B5398" w:rsidRPr="00F61222">
        <w:rPr>
          <w:i/>
          <w:iCs/>
        </w:rPr>
        <w:t>pro forma</w:t>
      </w:r>
      <w:r w:rsidR="003B5398" w:rsidRPr="003B5398">
        <w:t xml:space="preserve"> OATT require non-discriminatory service, but under the comparability standard, this only requires that comparable service be provided to comparable customers</w:t>
      </w:r>
      <w:r w:rsidR="00CB2094">
        <w:t xml:space="preserve"> . . . </w:t>
      </w:r>
      <w:r w:rsidR="00FC11C3" w:rsidRPr="00FC11C3">
        <w:t>where entities are not similarly situated, it is not unduly discriminatory or preferential to treat them differently.</w:t>
      </w:r>
      <w:r w:rsidR="003B5398" w:rsidRPr="003B5398">
        <w:t>”)</w:t>
      </w:r>
      <w:r w:rsidR="00B31860">
        <w:t xml:space="preserve">; </w:t>
      </w:r>
      <w:r w:rsidR="00B31860">
        <w:rPr>
          <w:i/>
          <w:iCs/>
        </w:rPr>
        <w:t xml:space="preserve">see </w:t>
      </w:r>
      <w:r w:rsidR="00B31860">
        <w:t xml:space="preserve">Order No. 888, </w:t>
      </w:r>
      <w:r w:rsidR="00C97C79">
        <w:t>FERC Stats</w:t>
      </w:r>
      <w:proofErr w:type="gramStart"/>
      <w:r w:rsidR="00C97C79">
        <w:t xml:space="preserve">. </w:t>
      </w:r>
      <w:proofErr w:type="gramEnd"/>
      <w:r w:rsidR="00C97C79">
        <w:t>&amp; Regs</w:t>
      </w:r>
      <w:proofErr w:type="gramStart"/>
      <w:r w:rsidR="00C97C79">
        <w:t xml:space="preserve">. </w:t>
      </w:r>
      <w:proofErr w:type="gramEnd"/>
      <w:r w:rsidR="00B05147">
        <w:t>¶ 31,036 at 31</w:t>
      </w:r>
      <w:r w:rsidR="00706F8A">
        <w:t>,</w:t>
      </w:r>
      <w:r w:rsidR="00B05147">
        <w:t>647</w:t>
      </w:r>
      <w:r w:rsidR="003A2531">
        <w:t>.</w:t>
      </w:r>
    </w:p>
  </w:footnote>
  <w:footnote w:id="92">
    <w:p w14:paraId="2483C441" w14:textId="77777777" w:rsidR="00FA532E" w:rsidRPr="008670AB" w:rsidRDefault="00FA532E">
      <w:pPr>
        <w:pStyle w:val="FootnoteText"/>
      </w:pPr>
      <w:r>
        <w:rPr>
          <w:rStyle w:val="FootnoteReference"/>
        </w:rPr>
        <w:footnoteRef/>
      </w:r>
      <w:r>
        <w:t xml:space="preserve"> </w:t>
      </w:r>
      <w:r w:rsidR="00A846EA">
        <w:rPr>
          <w:i/>
          <w:iCs/>
        </w:rPr>
        <w:t>Pac. Gas &amp; Elec. Co.</w:t>
      </w:r>
      <w:r w:rsidR="00A846EA">
        <w:t xml:space="preserve">, 195 FERC ¶ 61,035, at P </w:t>
      </w:r>
      <w:r w:rsidR="008F417E">
        <w:t>19</w:t>
      </w:r>
      <w:r w:rsidR="008E1693">
        <w:t xml:space="preserve"> (2026) (citing</w:t>
      </w:r>
      <w:r w:rsidR="00122B81">
        <w:t xml:space="preserve"> </w:t>
      </w:r>
      <w:r w:rsidR="00122B81">
        <w:rPr>
          <w:i/>
          <w:iCs/>
        </w:rPr>
        <w:t>Ala</w:t>
      </w:r>
      <w:r w:rsidR="00D93C95">
        <w:rPr>
          <w:i/>
          <w:iCs/>
        </w:rPr>
        <w:t>. Mun</w:t>
      </w:r>
      <w:proofErr w:type="gramStart"/>
      <w:r w:rsidR="00D93C95">
        <w:rPr>
          <w:i/>
          <w:iCs/>
        </w:rPr>
        <w:t xml:space="preserve">. </w:t>
      </w:r>
      <w:proofErr w:type="gramEnd"/>
      <w:r w:rsidR="00D93C95">
        <w:rPr>
          <w:i/>
          <w:iCs/>
        </w:rPr>
        <w:t>Elec. Auth</w:t>
      </w:r>
      <w:r w:rsidR="00906A69">
        <w:rPr>
          <w:i/>
          <w:iCs/>
        </w:rPr>
        <w:t>.</w:t>
      </w:r>
      <w:r w:rsidR="00D93C95">
        <w:rPr>
          <w:i/>
          <w:iCs/>
        </w:rPr>
        <w:t xml:space="preserve"> v. </w:t>
      </w:r>
      <w:r w:rsidR="00836A3F">
        <w:rPr>
          <w:i/>
          <w:iCs/>
        </w:rPr>
        <w:t>Ala. Power</w:t>
      </w:r>
      <w:r w:rsidR="0084568E">
        <w:t xml:space="preserve"> </w:t>
      </w:r>
      <w:r w:rsidR="0084568E" w:rsidRPr="004F454C">
        <w:rPr>
          <w:i/>
          <w:iCs/>
        </w:rPr>
        <w:t>Co.</w:t>
      </w:r>
      <w:r w:rsidR="0084568E">
        <w:t xml:space="preserve">, </w:t>
      </w:r>
      <w:r w:rsidR="00380DBC">
        <w:t xml:space="preserve">119 FERC ¶ 61,286, at </w:t>
      </w:r>
      <w:r w:rsidR="006D5E14">
        <w:t>P 36 (</w:t>
      </w:r>
      <w:r w:rsidR="0086470E">
        <w:t xml:space="preserve">2007); </w:t>
      </w:r>
      <w:r w:rsidR="008670AB">
        <w:rPr>
          <w:i/>
          <w:iCs/>
        </w:rPr>
        <w:t xml:space="preserve">Ala. </w:t>
      </w:r>
      <w:r w:rsidR="00F2132F" w:rsidRPr="00F2132F">
        <w:rPr>
          <w:bCs/>
          <w:i/>
          <w:iCs/>
        </w:rPr>
        <w:t>Mun</w:t>
      </w:r>
      <w:proofErr w:type="gramStart"/>
      <w:r w:rsidR="00F2132F" w:rsidRPr="00F2132F">
        <w:rPr>
          <w:bCs/>
          <w:i/>
          <w:iCs/>
        </w:rPr>
        <w:t xml:space="preserve">. </w:t>
      </w:r>
      <w:proofErr w:type="gramEnd"/>
      <w:r w:rsidR="00F2132F" w:rsidRPr="00F2132F">
        <w:rPr>
          <w:bCs/>
          <w:i/>
          <w:iCs/>
        </w:rPr>
        <w:t>Elec. Auth. v. FERC</w:t>
      </w:r>
      <w:r w:rsidR="00F2132F" w:rsidRPr="004F454C">
        <w:rPr>
          <w:bCs/>
        </w:rPr>
        <w:t>, 662 F.3d 571, 57</w:t>
      </w:r>
      <w:r w:rsidR="002B01E5">
        <w:rPr>
          <w:bCs/>
        </w:rPr>
        <w:t>2-73</w:t>
      </w:r>
      <w:r w:rsidR="00F2132F" w:rsidRPr="004F454C">
        <w:rPr>
          <w:bCs/>
        </w:rPr>
        <w:t xml:space="preserve"> (D.C. Cir. 2014)</w:t>
      </w:r>
      <w:r w:rsidR="002B01E5">
        <w:rPr>
          <w:bCs/>
        </w:rPr>
        <w:t>).</w:t>
      </w:r>
    </w:p>
  </w:footnote>
  <w:footnote w:id="93">
    <w:p w14:paraId="6E0CC3A8" w14:textId="77777777" w:rsidR="00B63E3D" w:rsidRPr="00DB51F4" w:rsidRDefault="00B63E3D">
      <w:pPr>
        <w:pStyle w:val="FootnoteText"/>
      </w:pPr>
      <w:r>
        <w:rPr>
          <w:rStyle w:val="FootnoteReference"/>
        </w:rPr>
        <w:footnoteRef/>
      </w:r>
      <w:r>
        <w:t xml:space="preserve"> </w:t>
      </w:r>
      <w:r>
        <w:rPr>
          <w:i/>
          <w:iCs/>
        </w:rPr>
        <w:t>S</w:t>
      </w:r>
      <w:r w:rsidR="00DB51F4">
        <w:rPr>
          <w:i/>
          <w:iCs/>
        </w:rPr>
        <w:t xml:space="preserve">upra </w:t>
      </w:r>
      <w:r w:rsidR="00DB51F4">
        <w:t xml:space="preserve">P </w:t>
      </w:r>
      <w:r w:rsidR="00906A69">
        <w:t>34</w:t>
      </w:r>
      <w:r w:rsidR="00DB51F4">
        <w:t xml:space="preserve">. </w:t>
      </w:r>
    </w:p>
  </w:footnote>
  <w:footnote w:id="94">
    <w:p w14:paraId="7ABB0042" w14:textId="462C290A" w:rsidR="002C1A65" w:rsidRPr="004B13CF" w:rsidRDefault="002C1A65" w:rsidP="002C1A65">
      <w:pPr>
        <w:pStyle w:val="FootnoteText"/>
      </w:pPr>
      <w:r>
        <w:rPr>
          <w:rStyle w:val="FootnoteReference"/>
        </w:rPr>
        <w:footnoteRef/>
      </w:r>
      <w:r>
        <w:t xml:space="preserve"> </w:t>
      </w:r>
      <w:r w:rsidR="00766CEA">
        <w:t>A</w:t>
      </w:r>
      <w:r>
        <w:t>tt</w:t>
      </w:r>
      <w:r w:rsidR="00906A69">
        <w:t>ach</w:t>
      </w:r>
      <w:proofErr w:type="gramStart"/>
      <w:r>
        <w:t xml:space="preserve">. </w:t>
      </w:r>
      <w:proofErr w:type="gramEnd"/>
      <w:r>
        <w:t>A § 6.4 (quoting Joint OATT § 32.4</w:t>
      </w:r>
      <w:r w:rsidRPr="00B64DAE">
        <w:t xml:space="preserve">); </w:t>
      </w:r>
      <w:r w:rsidRPr="00B64DAE">
        <w:rPr>
          <w:i/>
        </w:rPr>
        <w:t>see</w:t>
      </w:r>
      <w:r>
        <w:rPr>
          <w:i/>
        </w:rPr>
        <w:t xml:space="preserve"> </w:t>
      </w:r>
      <w:r>
        <w:t xml:space="preserve">Duke Energy LLC, </w:t>
      </w:r>
      <w:r w:rsidRPr="009D0125">
        <w:t xml:space="preserve">Duke Energy Credit Risk Management Policy </w:t>
      </w:r>
      <w:r>
        <w:t>t</w:t>
      </w:r>
      <w:r w:rsidRPr="009D0125">
        <w:t xml:space="preserve">o Implement Security Required Pursuant </w:t>
      </w:r>
      <w:r>
        <w:t>t</w:t>
      </w:r>
      <w:r w:rsidRPr="009D0125">
        <w:t xml:space="preserve">o Section 32.4 </w:t>
      </w:r>
      <w:r>
        <w:t>o</w:t>
      </w:r>
      <w:r w:rsidRPr="009D0125">
        <w:t xml:space="preserve">f </w:t>
      </w:r>
      <w:r>
        <w:t>t</w:t>
      </w:r>
      <w:r w:rsidRPr="009D0125">
        <w:t xml:space="preserve">he Joint </w:t>
      </w:r>
      <w:r>
        <w:t xml:space="preserve">OATT (June 2026), </w:t>
      </w:r>
      <w:r w:rsidRPr="00516C21">
        <w:t>https://www.oasis.oati.com/woa/docs/DUK/DUKdocs/Duke</w:t>
      </w:r>
      <w:r w:rsidR="00906A69">
        <w:t>_</w:t>
      </w:r>
      <w:r w:rsidRPr="00516C21">
        <w:t>Energy_Credit_Procedures_for_Joint_OATT_Section</w:t>
      </w:r>
      <w:r w:rsidRPr="008021FF">
        <w:t>_</w:t>
      </w:r>
      <w:r w:rsidRPr="00516C21">
        <w:t>32.4</w:t>
      </w:r>
      <w:r w:rsidRPr="008021FF">
        <w:t xml:space="preserve">  </w:t>
      </w:r>
      <w:r w:rsidRPr="00516C21">
        <w:t>(Duke_6-17-26).pdf</w:t>
      </w:r>
      <w:r w:rsidRPr="009D0125">
        <w:t xml:space="preserve"> </w:t>
      </w:r>
      <w:r w:rsidRPr="00516C21">
        <w:t>(Credit Policy)</w:t>
      </w:r>
      <w:r w:rsidRPr="00B64DAE">
        <w:t>.</w:t>
      </w:r>
      <w:r>
        <w:t xml:space="preserve">  Section 32.4 of the Joint OATT states, in relevant part:</w:t>
      </w:r>
      <w:r w:rsidR="00906A69">
        <w:t xml:space="preserve">  </w:t>
      </w:r>
      <w:r>
        <w:t>“</w:t>
      </w:r>
      <w:r w:rsidRPr="00A107FC">
        <w:t>The Eligible Customer shall provide the Transmission Provider with a letter of credit or other reasonable form of security acceptable to the Transmission Provider equivalent to the costs of new facilities or upgrades consistent with commercial practices as established by the Uniform Commercial Code.</w:t>
      </w:r>
      <w:r>
        <w:t>”  Joint OATT § 32.4.</w:t>
      </w:r>
    </w:p>
  </w:footnote>
  <w:footnote w:id="95">
    <w:p w14:paraId="7305EA78" w14:textId="77777777" w:rsidR="002C1A65" w:rsidRDefault="002C1A65" w:rsidP="002C1A65">
      <w:pPr>
        <w:pStyle w:val="FootnoteText"/>
      </w:pPr>
      <w:r>
        <w:rPr>
          <w:rStyle w:val="FootnoteReference"/>
        </w:rPr>
        <w:footnoteRef/>
      </w:r>
      <w:r>
        <w:t xml:space="preserve"> </w:t>
      </w:r>
      <w:r w:rsidR="001F7D79">
        <w:t>Filing,</w:t>
      </w:r>
      <w:r>
        <w:t xml:space="preserve"> Transmittal </w:t>
      </w:r>
      <w:r w:rsidR="001F7D79">
        <w:t xml:space="preserve">Letter </w:t>
      </w:r>
      <w:r>
        <w:t xml:space="preserve">at 11-12. </w:t>
      </w:r>
    </w:p>
  </w:footnote>
  <w:footnote w:id="96">
    <w:p w14:paraId="4500FF98" w14:textId="77777777" w:rsidR="002C1A65" w:rsidRPr="00A3313B" w:rsidRDefault="002C1A65" w:rsidP="002C1A65">
      <w:pPr>
        <w:pStyle w:val="FootnoteText"/>
      </w:pPr>
      <w:r>
        <w:rPr>
          <w:rStyle w:val="FootnoteReference"/>
        </w:rPr>
        <w:footnoteRef/>
      </w:r>
      <w:r>
        <w:t xml:space="preserve"> </w:t>
      </w:r>
      <w:r>
        <w:rPr>
          <w:i/>
          <w:iCs/>
        </w:rPr>
        <w:t xml:space="preserve">Id. </w:t>
      </w:r>
      <w:r>
        <w:t xml:space="preserve">at 12; </w:t>
      </w:r>
      <w:r>
        <w:rPr>
          <w:i/>
          <w:iCs/>
        </w:rPr>
        <w:t xml:space="preserve">see </w:t>
      </w:r>
      <w:r w:rsidRPr="007F7185">
        <w:t>G</w:t>
      </w:r>
      <w:r w:rsidR="00107F1E" w:rsidRPr="007F7185">
        <w:t>r</w:t>
      </w:r>
      <w:r w:rsidRPr="007F7185">
        <w:t>ant Test.</w:t>
      </w:r>
      <w:r>
        <w:t xml:space="preserve"> at 11-12 (asserting that the security language is necessary to “set clear expectations [regarding the] monetary obligations of the network customer representing the change in service”). </w:t>
      </w:r>
    </w:p>
  </w:footnote>
  <w:footnote w:id="97">
    <w:p w14:paraId="525A49C0" w14:textId="77777777" w:rsidR="002C1A65" w:rsidRPr="00340EC2" w:rsidRDefault="002C1A65" w:rsidP="002C1A65">
      <w:pPr>
        <w:pStyle w:val="FootnoteText"/>
      </w:pPr>
      <w:r>
        <w:rPr>
          <w:rStyle w:val="FootnoteReference"/>
        </w:rPr>
        <w:footnoteRef/>
      </w:r>
      <w:r>
        <w:t xml:space="preserve"> </w:t>
      </w:r>
      <w:r w:rsidR="003947E6">
        <w:t xml:space="preserve"> </w:t>
      </w:r>
      <w:r w:rsidR="003947E6" w:rsidRPr="003947E6">
        <w:rPr>
          <w:i/>
          <w:iCs/>
        </w:rPr>
        <w:t>Id.</w:t>
      </w:r>
      <w:r>
        <w:t xml:space="preserve"> at 11</w:t>
      </w:r>
      <w:r w:rsidR="0092473E">
        <w:t>-2</w:t>
      </w:r>
      <w:r>
        <w:t xml:space="preserve">. </w:t>
      </w:r>
    </w:p>
  </w:footnote>
  <w:footnote w:id="98">
    <w:p w14:paraId="6CCC3B4A" w14:textId="2D41B407" w:rsidR="002C1A65" w:rsidRDefault="002C1A65" w:rsidP="002C1A65">
      <w:pPr>
        <w:pStyle w:val="FootnoteText"/>
      </w:pPr>
      <w:r>
        <w:rPr>
          <w:rStyle w:val="FootnoteReference"/>
        </w:rPr>
        <w:footnoteRef/>
      </w:r>
      <w:r>
        <w:t xml:space="preserve"> </w:t>
      </w:r>
      <w:r w:rsidR="00253095">
        <w:t>A</w:t>
      </w:r>
      <w:r>
        <w:t>tt</w:t>
      </w:r>
      <w:r w:rsidR="00906A69">
        <w:t>ach</w:t>
      </w:r>
      <w:proofErr w:type="gramStart"/>
      <w:r>
        <w:t xml:space="preserve">. </w:t>
      </w:r>
      <w:proofErr w:type="gramEnd"/>
      <w:r>
        <w:t>A § 6.6.</w:t>
      </w:r>
      <w:r w:rsidRPr="00EC266B">
        <w:t xml:space="preserve">3 (Cost Recovery of Network Upgrades Once Placed </w:t>
      </w:r>
      <w:proofErr w:type="gramStart"/>
      <w:r w:rsidRPr="00EC266B">
        <w:t>In</w:t>
      </w:r>
      <w:proofErr w:type="gramEnd"/>
      <w:r w:rsidRPr="00EC266B">
        <w:t xml:space="preserve"> Service).</w:t>
      </w:r>
    </w:p>
  </w:footnote>
  <w:footnote w:id="99">
    <w:p w14:paraId="720B7F57" w14:textId="77777777" w:rsidR="002C1A65" w:rsidRPr="006C1A03" w:rsidRDefault="002C1A65" w:rsidP="002C1A65">
      <w:pPr>
        <w:pStyle w:val="FootnoteText"/>
      </w:pPr>
      <w:r>
        <w:rPr>
          <w:rStyle w:val="FootnoteReference"/>
        </w:rPr>
        <w:footnoteRef/>
      </w:r>
      <w:r>
        <w:t xml:space="preserve"> </w:t>
      </w:r>
      <w:r>
        <w:rPr>
          <w:i/>
          <w:iCs/>
        </w:rPr>
        <w:t xml:space="preserve">Id. </w:t>
      </w:r>
      <w:r>
        <w:t xml:space="preserve">§ 6.7 </w:t>
      </w:r>
      <w:r w:rsidRPr="00EC266B">
        <w:t>(Charge for Cancelled or Delayed Request for Change in Service).</w:t>
      </w:r>
    </w:p>
  </w:footnote>
  <w:footnote w:id="100">
    <w:p w14:paraId="3E211761" w14:textId="77777777" w:rsidR="00F05AF7" w:rsidRDefault="00F05AF7">
      <w:pPr>
        <w:pStyle w:val="FootnoteText"/>
      </w:pPr>
      <w:r>
        <w:rPr>
          <w:rStyle w:val="FootnoteReference"/>
        </w:rPr>
        <w:footnoteRef/>
      </w:r>
      <w:r>
        <w:t xml:space="preserve"> </w:t>
      </w:r>
      <w:r w:rsidR="008B4F1B">
        <w:t>Filing,</w:t>
      </w:r>
      <w:r>
        <w:t xml:space="preserve"> </w:t>
      </w:r>
      <w:r w:rsidR="004D0338">
        <w:t xml:space="preserve">Transmittal </w:t>
      </w:r>
      <w:r w:rsidR="008B4F1B">
        <w:t xml:space="preserve">Letter </w:t>
      </w:r>
      <w:r w:rsidR="004D0338">
        <w:t>at 13.</w:t>
      </w:r>
    </w:p>
  </w:footnote>
  <w:footnote w:id="101">
    <w:p w14:paraId="168AB7F0" w14:textId="77777777" w:rsidR="002C1A65" w:rsidRDefault="002C1A65" w:rsidP="002C1A65">
      <w:pPr>
        <w:pStyle w:val="FootnoteText"/>
      </w:pPr>
      <w:r>
        <w:rPr>
          <w:rStyle w:val="FootnoteReference"/>
        </w:rPr>
        <w:footnoteRef/>
      </w:r>
      <w:r>
        <w:t xml:space="preserve"> </w:t>
      </w:r>
      <w:proofErr w:type="spellStart"/>
      <w:r>
        <w:t>ElectriCities</w:t>
      </w:r>
      <w:proofErr w:type="spellEnd"/>
      <w:r>
        <w:t xml:space="preserve"> Protest at 4.  </w:t>
      </w:r>
    </w:p>
  </w:footnote>
  <w:footnote w:id="102">
    <w:p w14:paraId="62BF218A" w14:textId="77777777" w:rsidR="002C1A65" w:rsidRDefault="002C1A65" w:rsidP="002C1A65">
      <w:pPr>
        <w:pStyle w:val="FootnoteText"/>
      </w:pPr>
      <w:r>
        <w:rPr>
          <w:rStyle w:val="FootnoteReference"/>
        </w:rPr>
        <w:footnoteRef/>
      </w:r>
      <w:r>
        <w:t xml:space="preserve"> </w:t>
      </w:r>
      <w:r>
        <w:rPr>
          <w:i/>
          <w:iCs/>
        </w:rPr>
        <w:t>Id.</w:t>
      </w:r>
      <w:r>
        <w:rPr>
          <w:i/>
        </w:rPr>
        <w:t xml:space="preserve"> </w:t>
      </w:r>
      <w:r>
        <w:t xml:space="preserve">(citing </w:t>
      </w:r>
      <w:r w:rsidR="00906A69">
        <w:t>a</w:t>
      </w:r>
      <w:r>
        <w:t>tt</w:t>
      </w:r>
      <w:r w:rsidR="00906A69">
        <w:t>ach</w:t>
      </w:r>
      <w:proofErr w:type="gramStart"/>
      <w:r>
        <w:t xml:space="preserve">. </w:t>
      </w:r>
      <w:proofErr w:type="gramEnd"/>
      <w:r>
        <w:t xml:space="preserve">A § 6.4). </w:t>
      </w:r>
    </w:p>
  </w:footnote>
  <w:footnote w:id="103">
    <w:p w14:paraId="5976A38B" w14:textId="77777777" w:rsidR="002C1A65" w:rsidRPr="00FC3E21" w:rsidRDefault="002C1A65" w:rsidP="002C1A65">
      <w:pPr>
        <w:pStyle w:val="FootnoteText"/>
      </w:pPr>
      <w:r>
        <w:rPr>
          <w:rStyle w:val="FootnoteReference"/>
        </w:rPr>
        <w:footnoteRef/>
      </w:r>
      <w:r>
        <w:t xml:space="preserve"> </w:t>
      </w:r>
      <w:r>
        <w:rPr>
          <w:i/>
          <w:iCs/>
        </w:rPr>
        <w:t xml:space="preserve">Id. </w:t>
      </w:r>
      <w:r>
        <w:t>at 5.</w:t>
      </w:r>
    </w:p>
  </w:footnote>
  <w:footnote w:id="104">
    <w:p w14:paraId="376CE15D" w14:textId="77777777" w:rsidR="002C1A65" w:rsidRPr="00591A7C" w:rsidRDefault="002C1A65" w:rsidP="002C1A65">
      <w:pPr>
        <w:pStyle w:val="FootnoteText"/>
      </w:pPr>
      <w:r>
        <w:rPr>
          <w:rStyle w:val="FootnoteReference"/>
        </w:rPr>
        <w:footnoteRef/>
      </w:r>
      <w:r>
        <w:t xml:space="preserve"> </w:t>
      </w:r>
      <w:r>
        <w:rPr>
          <w:i/>
          <w:iCs/>
        </w:rPr>
        <w:t xml:space="preserve">Id. </w:t>
      </w:r>
    </w:p>
  </w:footnote>
  <w:footnote w:id="105">
    <w:p w14:paraId="670E8CC4" w14:textId="77777777" w:rsidR="002C1A65" w:rsidRPr="008F4D15" w:rsidRDefault="002C1A65" w:rsidP="002C1A65">
      <w:pPr>
        <w:pStyle w:val="FootnoteText"/>
      </w:pPr>
      <w:r>
        <w:rPr>
          <w:rStyle w:val="FootnoteReference"/>
        </w:rPr>
        <w:footnoteRef/>
      </w:r>
      <w:r>
        <w:t xml:space="preserve"> </w:t>
      </w:r>
      <w:r>
        <w:rPr>
          <w:i/>
          <w:iCs/>
        </w:rPr>
        <w:t xml:space="preserve">Id. </w:t>
      </w:r>
    </w:p>
  </w:footnote>
  <w:footnote w:id="106">
    <w:p w14:paraId="343B2F31" w14:textId="77777777" w:rsidR="002C1A65" w:rsidRDefault="002C1A65" w:rsidP="002C1A65">
      <w:pPr>
        <w:pStyle w:val="FootnoteText"/>
      </w:pPr>
      <w:r>
        <w:rPr>
          <w:rStyle w:val="FootnoteReference"/>
        </w:rPr>
        <w:footnoteRef/>
      </w:r>
      <w:r>
        <w:t xml:space="preserve"> DEC Answer at 10-11. </w:t>
      </w:r>
    </w:p>
  </w:footnote>
  <w:footnote w:id="107">
    <w:p w14:paraId="5D8E4B88" w14:textId="77777777" w:rsidR="002C1A65" w:rsidRPr="00387F61" w:rsidRDefault="002C1A65" w:rsidP="002C1A65">
      <w:pPr>
        <w:pStyle w:val="FootnoteText"/>
      </w:pPr>
      <w:r>
        <w:rPr>
          <w:rStyle w:val="FootnoteReference"/>
        </w:rPr>
        <w:footnoteRef/>
      </w:r>
      <w:r>
        <w:t xml:space="preserve"> </w:t>
      </w:r>
      <w:r>
        <w:rPr>
          <w:i/>
          <w:iCs/>
        </w:rPr>
        <w:t xml:space="preserve">Id. </w:t>
      </w:r>
      <w:r>
        <w:t xml:space="preserve">at 11-12 (quoting </w:t>
      </w:r>
      <w:r w:rsidRPr="006C6203">
        <w:rPr>
          <w:i/>
          <w:iCs/>
        </w:rPr>
        <w:t xml:space="preserve">Preventing Undue Discrimination </w:t>
      </w:r>
      <w:r>
        <w:rPr>
          <w:i/>
          <w:iCs/>
        </w:rPr>
        <w:t xml:space="preserve">&amp; </w:t>
      </w:r>
      <w:r w:rsidRPr="006C6203">
        <w:rPr>
          <w:i/>
          <w:iCs/>
        </w:rPr>
        <w:t>Preference in Transmission Serv</w:t>
      </w:r>
      <w:r>
        <w:rPr>
          <w:i/>
          <w:iCs/>
        </w:rPr>
        <w:t>.</w:t>
      </w:r>
      <w:r>
        <w:t xml:space="preserve">, Order No. 890, 118 FERC ¶ 61,119, at P 1652 (2007)). </w:t>
      </w:r>
    </w:p>
  </w:footnote>
  <w:footnote w:id="108">
    <w:p w14:paraId="36F48D5A" w14:textId="77777777" w:rsidR="002C1A65" w:rsidRPr="008075FC" w:rsidRDefault="002C1A65" w:rsidP="002C1A65">
      <w:pPr>
        <w:pStyle w:val="FootnoteText"/>
      </w:pPr>
      <w:r>
        <w:rPr>
          <w:rStyle w:val="FootnoteReference"/>
        </w:rPr>
        <w:footnoteRef/>
      </w:r>
      <w:r>
        <w:t xml:space="preserve"> </w:t>
      </w:r>
      <w:r>
        <w:rPr>
          <w:i/>
          <w:iCs/>
        </w:rPr>
        <w:t xml:space="preserve">Id. </w:t>
      </w:r>
      <w:r>
        <w:t xml:space="preserve">at 12 (citing Order No. 890, 118 FERC ¶ 61,119 at P 1661).  DEC also notes that peer transmission providers have also posted their credit security policies on OASIS.  </w:t>
      </w:r>
      <w:r>
        <w:rPr>
          <w:i/>
          <w:iCs/>
        </w:rPr>
        <w:t xml:space="preserve">Id. </w:t>
      </w:r>
      <w:r>
        <w:t xml:space="preserve">at 12-13 (citations omitted). </w:t>
      </w:r>
    </w:p>
  </w:footnote>
  <w:footnote w:id="109">
    <w:p w14:paraId="5EDF9394" w14:textId="77777777" w:rsidR="002C1A65" w:rsidRPr="000539F5" w:rsidRDefault="002C1A65" w:rsidP="002C1A65">
      <w:pPr>
        <w:pStyle w:val="FootnoteText"/>
      </w:pPr>
      <w:r>
        <w:rPr>
          <w:rStyle w:val="FootnoteReference"/>
        </w:rPr>
        <w:footnoteRef/>
      </w:r>
      <w:r>
        <w:t xml:space="preserve"> </w:t>
      </w:r>
      <w:r>
        <w:rPr>
          <w:i/>
          <w:iCs/>
        </w:rPr>
        <w:t xml:space="preserve">Id. </w:t>
      </w:r>
      <w:r>
        <w:t xml:space="preserve">at 13-14. </w:t>
      </w:r>
    </w:p>
  </w:footnote>
  <w:footnote w:id="110">
    <w:p w14:paraId="422D8575" w14:textId="77777777" w:rsidR="002C1A65" w:rsidRPr="0081042B" w:rsidRDefault="002C1A65" w:rsidP="002C1A65">
      <w:pPr>
        <w:pStyle w:val="FootnoteText"/>
      </w:pPr>
      <w:r>
        <w:rPr>
          <w:rStyle w:val="FootnoteReference"/>
        </w:rPr>
        <w:footnoteRef/>
      </w:r>
      <w:r>
        <w:t xml:space="preserve"> </w:t>
      </w:r>
      <w:r>
        <w:rPr>
          <w:i/>
          <w:iCs/>
        </w:rPr>
        <w:t xml:space="preserve">Id. </w:t>
      </w:r>
      <w:r>
        <w:t xml:space="preserve">at 14 (citing Joint OATT § 32.4). </w:t>
      </w:r>
    </w:p>
  </w:footnote>
  <w:footnote w:id="111">
    <w:p w14:paraId="6765BA89" w14:textId="77777777" w:rsidR="002C1A65" w:rsidRPr="00903DB5" w:rsidRDefault="002C1A65" w:rsidP="002C1A65">
      <w:pPr>
        <w:pStyle w:val="FootnoteText"/>
      </w:pPr>
      <w:r>
        <w:rPr>
          <w:rStyle w:val="FootnoteReference"/>
        </w:rPr>
        <w:footnoteRef/>
      </w:r>
      <w:r>
        <w:t xml:space="preserve"> </w:t>
      </w:r>
      <w:r>
        <w:rPr>
          <w:i/>
          <w:iCs/>
        </w:rPr>
        <w:t xml:space="preserve">Id. </w:t>
      </w:r>
      <w:r>
        <w:t>at 13-14 (</w:t>
      </w:r>
      <w:r w:rsidRPr="00FB5B4F">
        <w:t>citing Order No. 890, 118 FERC ¶ 61,119 at P 453</w:t>
      </w:r>
      <w:r>
        <w:t xml:space="preserve">). </w:t>
      </w:r>
    </w:p>
  </w:footnote>
  <w:footnote w:id="112">
    <w:p w14:paraId="44B1FC3A" w14:textId="77777777" w:rsidR="002C1A65" w:rsidRPr="008B6451" w:rsidRDefault="002C1A65" w:rsidP="002C1A65">
      <w:pPr>
        <w:pStyle w:val="FootnoteText"/>
      </w:pPr>
      <w:r>
        <w:rPr>
          <w:rStyle w:val="FootnoteReference"/>
        </w:rPr>
        <w:footnoteRef/>
      </w:r>
      <w:r>
        <w:t xml:space="preserve"> </w:t>
      </w:r>
      <w:r>
        <w:rPr>
          <w:i/>
          <w:iCs/>
        </w:rPr>
        <w:t xml:space="preserve">Id. </w:t>
      </w:r>
      <w:r>
        <w:t xml:space="preserve">at 14 (citing </w:t>
      </w:r>
      <w:r>
        <w:rPr>
          <w:i/>
          <w:iCs/>
        </w:rPr>
        <w:t>PJM Interconnection, L.L.C.</w:t>
      </w:r>
      <w:r>
        <w:t xml:space="preserve">, 195 FERC ¶ 62,211, at P 83 (2026); </w:t>
      </w:r>
      <w:r>
        <w:rPr>
          <w:i/>
          <w:iCs/>
        </w:rPr>
        <w:t xml:space="preserve">Midcontinent </w:t>
      </w:r>
      <w:proofErr w:type="spellStart"/>
      <w:r>
        <w:rPr>
          <w:i/>
          <w:iCs/>
        </w:rPr>
        <w:t>Indep</w:t>
      </w:r>
      <w:proofErr w:type="spellEnd"/>
      <w:proofErr w:type="gramStart"/>
      <w:r>
        <w:rPr>
          <w:i/>
          <w:iCs/>
        </w:rPr>
        <w:t xml:space="preserve">. </w:t>
      </w:r>
      <w:proofErr w:type="gramEnd"/>
      <w:r>
        <w:rPr>
          <w:i/>
          <w:iCs/>
        </w:rPr>
        <w:t>System Operator, Inc.</w:t>
      </w:r>
      <w:r>
        <w:t>, 195 FERC ¶ 61,212, at P 84 (2026)).</w:t>
      </w:r>
    </w:p>
  </w:footnote>
  <w:footnote w:id="113">
    <w:p w14:paraId="7B260A78" w14:textId="77777777" w:rsidR="002C1A65" w:rsidRPr="00A142A5" w:rsidRDefault="002C1A65" w:rsidP="002C1A65">
      <w:pPr>
        <w:pStyle w:val="FootnoteText"/>
      </w:pPr>
      <w:r>
        <w:rPr>
          <w:rStyle w:val="FootnoteReference"/>
        </w:rPr>
        <w:footnoteRef/>
      </w:r>
      <w:r>
        <w:t xml:space="preserve"> </w:t>
      </w:r>
      <w:r>
        <w:rPr>
          <w:i/>
          <w:iCs/>
        </w:rPr>
        <w:t xml:space="preserve">Id. </w:t>
      </w:r>
      <w:r>
        <w:t>at 15</w:t>
      </w:r>
      <w:r>
        <w:rPr>
          <w:i/>
          <w:iCs/>
        </w:rPr>
        <w:t xml:space="preserve"> </w:t>
      </w:r>
      <w:r>
        <w:t xml:space="preserve">(citing Order No. 890, 118 FERC ¶ 61,119 at P 1655). </w:t>
      </w:r>
    </w:p>
  </w:footnote>
  <w:footnote w:id="114">
    <w:p w14:paraId="7D6C8FC8" w14:textId="77777777" w:rsidR="002C1A65" w:rsidRPr="00E20903" w:rsidRDefault="002C1A65" w:rsidP="002C1A65">
      <w:pPr>
        <w:pStyle w:val="FootnoteText"/>
      </w:pPr>
      <w:r>
        <w:rPr>
          <w:rStyle w:val="FootnoteReference"/>
        </w:rPr>
        <w:footnoteRef/>
      </w:r>
      <w:r>
        <w:t xml:space="preserve"> </w:t>
      </w:r>
      <w:r>
        <w:rPr>
          <w:i/>
          <w:iCs/>
        </w:rPr>
        <w:t xml:space="preserve">Id. </w:t>
      </w:r>
      <w:r>
        <w:t xml:space="preserve">(quoting </w:t>
      </w:r>
      <w:r w:rsidRPr="00521EDD">
        <w:t>Duke Energy Carolinas, LLC</w:t>
      </w:r>
      <w:r>
        <w:t>,</w:t>
      </w:r>
      <w:r w:rsidRPr="00977B1E">
        <w:rPr>
          <w:i/>
        </w:rPr>
        <w:t xml:space="preserve"> </w:t>
      </w:r>
      <w:r w:rsidRPr="00521EDD">
        <w:rPr>
          <w:i/>
        </w:rPr>
        <w:t>OASIS Business Practices</w:t>
      </w:r>
      <w:r>
        <w:t xml:space="preserve"> 1 (Feb. 2026), </w:t>
      </w:r>
      <w:r w:rsidRPr="002D5F07">
        <w:t>https://www.oasis.oati.com/woa/docs/DUK/DUKdocs/Practices_posted_2.27.26_-_CLEAN.pdf</w:t>
      </w:r>
      <w:r>
        <w:t xml:space="preserve">). </w:t>
      </w:r>
    </w:p>
  </w:footnote>
  <w:footnote w:id="115">
    <w:p w14:paraId="48D4E4F7" w14:textId="77777777" w:rsidR="002C1A65" w:rsidRPr="00CD36FA" w:rsidRDefault="002C1A65" w:rsidP="002C1A65">
      <w:pPr>
        <w:pStyle w:val="FootnoteText"/>
      </w:pPr>
      <w:r>
        <w:rPr>
          <w:rStyle w:val="FootnoteReference"/>
        </w:rPr>
        <w:footnoteRef/>
      </w:r>
      <w:r>
        <w:t xml:space="preserve"> </w:t>
      </w:r>
      <w:r>
        <w:rPr>
          <w:i/>
          <w:iCs/>
        </w:rPr>
        <w:t xml:space="preserve">Id. </w:t>
      </w:r>
      <w:r>
        <w:t xml:space="preserve">at 16. </w:t>
      </w:r>
    </w:p>
  </w:footnote>
  <w:footnote w:id="116">
    <w:p w14:paraId="2A60B491" w14:textId="77777777" w:rsidR="002C1A65" w:rsidRDefault="002C1A65" w:rsidP="002C1A65">
      <w:pPr>
        <w:pStyle w:val="FootnoteText"/>
      </w:pPr>
      <w:r>
        <w:rPr>
          <w:rStyle w:val="FootnoteReference"/>
        </w:rPr>
        <w:footnoteRef/>
      </w:r>
      <w:r>
        <w:t xml:space="preserve"> </w:t>
      </w:r>
      <w:r>
        <w:rPr>
          <w:i/>
          <w:iCs/>
        </w:rPr>
        <w:t xml:space="preserve">See </w:t>
      </w:r>
      <w:r>
        <w:t>Joint OATT § 32.4 (“</w:t>
      </w:r>
      <w:r w:rsidRPr="00A107FC">
        <w:t xml:space="preserve">The Eligible Customer shall provide the Transmission Provider with a letter of credit </w:t>
      </w:r>
      <w:r w:rsidRPr="00DF0551">
        <w:rPr>
          <w:i/>
          <w:iCs/>
        </w:rPr>
        <w:t>or other reasonable form of security</w:t>
      </w:r>
      <w:r>
        <w:t xml:space="preserve"> . . .</w:t>
      </w:r>
      <w:proofErr w:type="gramStart"/>
      <w:r>
        <w:t xml:space="preserve">.”) </w:t>
      </w:r>
      <w:proofErr w:type="gramEnd"/>
      <w:r>
        <w:t>(emphasis added).</w:t>
      </w:r>
    </w:p>
  </w:footnote>
  <w:footnote w:id="117">
    <w:p w14:paraId="5AFBFA89" w14:textId="77777777" w:rsidR="002C1A65" w:rsidRDefault="002C1A65" w:rsidP="004F454C">
      <w:pPr>
        <w:pStyle w:val="FootnoteText"/>
      </w:pPr>
      <w:r>
        <w:rPr>
          <w:rStyle w:val="FootnoteReference"/>
        </w:rPr>
        <w:footnoteRef/>
      </w:r>
      <w:r>
        <w:t xml:space="preserve"> Order No. 890, 118 FERC ¶ 61,119 at PP 1651-53 (</w:t>
      </w:r>
      <w:r w:rsidR="000A1C22">
        <w:t>requiring transmission provi</w:t>
      </w:r>
      <w:r w:rsidR="006D1608">
        <w:t xml:space="preserve">ders to post on their public websites </w:t>
      </w:r>
      <w:r w:rsidR="00045B55">
        <w:t>all rules, standards, and practices</w:t>
      </w:r>
      <w:r w:rsidR="004A78FA">
        <w:t xml:space="preserve"> that relate to transmission service</w:t>
      </w:r>
      <w:r w:rsidR="00A91CC0">
        <w:t xml:space="preserve"> and </w:t>
      </w:r>
      <w:r w:rsidR="001C110C">
        <w:t>to post a link to those rules, standards, and practices on OASIS</w:t>
      </w:r>
      <w:r w:rsidR="00376C65">
        <w:t xml:space="preserve">); </w:t>
      </w:r>
      <w:r w:rsidR="00376C65">
        <w:rPr>
          <w:i/>
          <w:iCs/>
        </w:rPr>
        <w:t>id</w:t>
      </w:r>
      <w:proofErr w:type="gramStart"/>
      <w:r w:rsidR="00376C65">
        <w:rPr>
          <w:i/>
          <w:iCs/>
        </w:rPr>
        <w:t xml:space="preserve">. </w:t>
      </w:r>
      <w:proofErr w:type="gramEnd"/>
      <w:r w:rsidR="00376C65">
        <w:t xml:space="preserve">at 1655 </w:t>
      </w:r>
      <w:r w:rsidR="00B73083">
        <w:t>(</w:t>
      </w:r>
      <w:r w:rsidR="00053064">
        <w:t>requiring transmission providers to publicly post “a</w:t>
      </w:r>
      <w:r w:rsidR="00B73083" w:rsidRPr="00B73083">
        <w:t xml:space="preserve"> statement of the process by which the transmission provider will amend these rules, standards, and practices that are accessible via OASIS</w:t>
      </w:r>
      <w:r w:rsidR="00535A40">
        <w:t>” and to “</w:t>
      </w:r>
      <w:r w:rsidR="00B73083" w:rsidRPr="00B73083">
        <w:t>specify a mechanism to provide reasonable notice of any proposed changes to a posted business practice and the respective effective date of such change</w:t>
      </w:r>
      <w:r w:rsidR="00535A40">
        <w:t>”).</w:t>
      </w:r>
      <w:r w:rsidR="001C110C">
        <w:t xml:space="preserve">  </w:t>
      </w:r>
    </w:p>
  </w:footnote>
  <w:footnote w:id="118">
    <w:p w14:paraId="0FC74E23" w14:textId="77777777" w:rsidR="002C1A65" w:rsidRPr="00475E3D" w:rsidRDefault="002C1A65" w:rsidP="004E0567">
      <w:pPr>
        <w:pStyle w:val="FootnoteText"/>
        <w:widowControl/>
      </w:pPr>
      <w:r w:rsidRPr="00FB5B4F">
        <w:rPr>
          <w:rStyle w:val="FootnoteReference"/>
        </w:rPr>
        <w:footnoteRef/>
      </w:r>
      <w:r>
        <w:t xml:space="preserve"> Order No. 890 required transmission providers to add a new Attachment L to their OATTs, “Creditworthiness Procedures</w:t>
      </w:r>
      <w:r w:rsidR="00FB5B4F">
        <w:t>.</w:t>
      </w:r>
      <w:r w:rsidRPr="00FB5B4F">
        <w:t>”</w:t>
      </w:r>
      <w:r w:rsidR="00FB5B4F">
        <w:t xml:space="preserve">  Attachment L states</w:t>
      </w:r>
      <w:r>
        <w:t xml:space="preserve"> that Transmission Providers may require transmission customers to provide and maintain security during the term of a NITSA “that protects the Transmission Provider against the risk of </w:t>
      </w:r>
      <w:r w:rsidR="004E0567">
        <w:t xml:space="preserve">                   </w:t>
      </w:r>
      <w:r>
        <w:t xml:space="preserve">non-payment.”  </w:t>
      </w:r>
      <w:r w:rsidRPr="003947E6">
        <w:rPr>
          <w:i/>
        </w:rPr>
        <w:t>Id.</w:t>
      </w:r>
      <w:r>
        <w:rPr>
          <w:i/>
          <w:iCs/>
        </w:rPr>
        <w:t xml:space="preserve"> </w:t>
      </w:r>
      <w:r>
        <w:t xml:space="preserve">at App. C, Att. L.  We also note that section 6.6.3 of Attachment A provides that DEC will release the security provided by the network customer within </w:t>
      </w:r>
      <w:r w:rsidR="004E0567">
        <w:t xml:space="preserve">                 </w:t>
      </w:r>
      <w:r>
        <w:t xml:space="preserve">90 days following the in-service date of the </w:t>
      </w:r>
      <w:r w:rsidR="00BE0B96">
        <w:t xml:space="preserve">relevant </w:t>
      </w:r>
      <w:r>
        <w:t xml:space="preserve">Network Upgrades. </w:t>
      </w:r>
    </w:p>
  </w:footnote>
  <w:footnote w:id="119">
    <w:p w14:paraId="6C0D4B8F" w14:textId="77777777" w:rsidR="00452812" w:rsidRDefault="00452812">
      <w:pPr>
        <w:pStyle w:val="FootnoteText"/>
      </w:pPr>
      <w:r>
        <w:rPr>
          <w:rStyle w:val="FootnoteReference"/>
        </w:rPr>
        <w:footnoteRef/>
      </w:r>
      <w:r>
        <w:t xml:space="preserve"> </w:t>
      </w:r>
      <w:r w:rsidR="000E2A08">
        <w:rPr>
          <w:i/>
          <w:iCs/>
        </w:rPr>
        <w:t xml:space="preserve">See </w:t>
      </w:r>
      <w:r w:rsidR="000E2A08">
        <w:t>Joint OATT § 32.4.</w:t>
      </w:r>
    </w:p>
  </w:footnote>
  <w:footnote w:id="120">
    <w:p w14:paraId="5518ABA7" w14:textId="77777777" w:rsidR="00573E6D" w:rsidRDefault="00573E6D">
      <w:pPr>
        <w:pStyle w:val="FootnoteText"/>
      </w:pPr>
      <w:r>
        <w:rPr>
          <w:rStyle w:val="FootnoteReference"/>
        </w:rPr>
        <w:footnoteRef/>
      </w:r>
      <w:r>
        <w:t xml:space="preserve"> </w:t>
      </w:r>
      <w:r w:rsidR="006A6E47">
        <w:t>Filing,</w:t>
      </w:r>
      <w:r>
        <w:t xml:space="preserve"> </w:t>
      </w:r>
      <w:r w:rsidRPr="00573E6D">
        <w:t xml:space="preserve">Transmittal </w:t>
      </w:r>
      <w:r w:rsidR="006A6E47">
        <w:t xml:space="preserve">Letter </w:t>
      </w:r>
      <w:r w:rsidRPr="00573E6D">
        <w:t>at 7.</w:t>
      </w:r>
    </w:p>
  </w:footnote>
  <w:footnote w:id="121">
    <w:p w14:paraId="2E7E0581" w14:textId="77777777" w:rsidR="006F3ECD" w:rsidRDefault="006F3ECD" w:rsidP="006F3ECD">
      <w:pPr>
        <w:pStyle w:val="FootnoteText"/>
      </w:pPr>
      <w:r>
        <w:rPr>
          <w:rStyle w:val="FootnoteReference"/>
        </w:rPr>
        <w:footnoteRef/>
      </w:r>
      <w:r>
        <w:t xml:space="preserve"> </w:t>
      </w:r>
      <w:r w:rsidR="00613692" w:rsidRPr="00AF16CF">
        <w:rPr>
          <w:i/>
          <w:iCs/>
        </w:rPr>
        <w:t>Id.</w:t>
      </w:r>
    </w:p>
  </w:footnote>
  <w:footnote w:id="122">
    <w:p w14:paraId="33A5E58E" w14:textId="77777777" w:rsidR="003472B6" w:rsidRDefault="003472B6">
      <w:pPr>
        <w:pStyle w:val="FootnoteText"/>
      </w:pPr>
      <w:r>
        <w:rPr>
          <w:rStyle w:val="FootnoteReference"/>
        </w:rPr>
        <w:footnoteRef/>
      </w:r>
      <w:r>
        <w:t xml:space="preserve"> </w:t>
      </w:r>
      <w:proofErr w:type="spellStart"/>
      <w:r w:rsidR="006E36BD">
        <w:t>ElectriCities</w:t>
      </w:r>
      <w:proofErr w:type="spellEnd"/>
      <w:r w:rsidR="006E36BD">
        <w:t xml:space="preserve"> Protest at 8.</w:t>
      </w:r>
    </w:p>
  </w:footnote>
  <w:footnote w:id="123">
    <w:p w14:paraId="7E643B32" w14:textId="77777777" w:rsidR="00B66BC4" w:rsidRDefault="00B66BC4">
      <w:pPr>
        <w:pStyle w:val="FootnoteText"/>
      </w:pPr>
      <w:r>
        <w:rPr>
          <w:rStyle w:val="FootnoteReference"/>
        </w:rPr>
        <w:footnoteRef/>
      </w:r>
      <w:r>
        <w:t xml:space="preserve"> DEC Answer at </w:t>
      </w:r>
      <w:r w:rsidR="005347E0">
        <w:t xml:space="preserve">9. </w:t>
      </w:r>
    </w:p>
  </w:footnote>
  <w:footnote w:id="124">
    <w:p w14:paraId="663FD95C" w14:textId="77777777" w:rsidR="00096CC1" w:rsidRPr="00096CC1" w:rsidRDefault="00096CC1">
      <w:pPr>
        <w:pStyle w:val="FootnoteText"/>
      </w:pPr>
      <w:r>
        <w:rPr>
          <w:rStyle w:val="FootnoteReference"/>
        </w:rPr>
        <w:footnoteRef/>
      </w:r>
      <w:r>
        <w:t xml:space="preserve"> </w:t>
      </w:r>
      <w:r>
        <w:rPr>
          <w:i/>
          <w:iCs/>
        </w:rPr>
        <w:t xml:space="preserve">See </w:t>
      </w:r>
      <w:r w:rsidR="002F0143">
        <w:t>16 U.S.C. § 825(b)</w:t>
      </w:r>
      <w:r w:rsidR="00077E8E">
        <w:t xml:space="preserve"> (</w:t>
      </w:r>
      <w:r w:rsidR="001B1FF8">
        <w:t>“</w:t>
      </w:r>
      <w:r w:rsidR="001B1FF8" w:rsidRPr="001B1FF8">
        <w:t xml:space="preserve">The Commission shall at all times have access to and the right to inspect and examine all accounts, records, and memoranda of </w:t>
      </w:r>
      <w:r w:rsidR="00C35246">
        <w:t xml:space="preserve">. . . </w:t>
      </w:r>
      <w:r w:rsidR="001B1FF8" w:rsidRPr="001B1FF8">
        <w:t>public utilities, and it shall be the duty of such licensees and public utilities to furnish to the Commission</w:t>
      </w:r>
      <w:r w:rsidR="00C35246">
        <w:t xml:space="preserve"> . . . </w:t>
      </w:r>
      <w:r w:rsidR="001B1FF8" w:rsidRPr="001B1FF8">
        <w:t>any information with respect thereto which the Commission may by order requir</w:t>
      </w:r>
      <w:r w:rsidR="00CA2694">
        <w:t>e</w:t>
      </w:r>
      <w:r w:rsidR="009D5765">
        <w:t>.”)</w:t>
      </w:r>
      <w:r w:rsidR="002F0143">
        <w:t xml:space="preserve">; </w:t>
      </w:r>
      <w:r>
        <w:t>18 C.F.R. § 388.112(b)</w:t>
      </w:r>
      <w:r w:rsidR="004E0567">
        <w:t xml:space="preserve"> (2025)</w:t>
      </w:r>
      <w:r>
        <w:t xml:space="preserve"> (de</w:t>
      </w:r>
      <w:r w:rsidR="009D5765">
        <w:t xml:space="preserve">tailing requirements that parties in certain Commission proceedings must provide a protective </w:t>
      </w:r>
      <w:r w:rsidR="007906C6">
        <w:t xml:space="preserve">order that governs requests for parties to proceedings to obtain privileged information). </w:t>
      </w:r>
    </w:p>
  </w:footnote>
  <w:footnote w:id="125">
    <w:p w14:paraId="3A82835A" w14:textId="77777777" w:rsidR="008C4AB0" w:rsidRDefault="008C4AB0" w:rsidP="008C4AB0">
      <w:pPr>
        <w:pStyle w:val="FootnoteText"/>
      </w:pPr>
      <w:r>
        <w:rPr>
          <w:rStyle w:val="FootnoteReference"/>
        </w:rPr>
        <w:footnoteRef/>
      </w:r>
      <w:r>
        <w:t xml:space="preserve"> DEC states that t</w:t>
      </w:r>
      <w:r w:rsidRPr="00A02063">
        <w:t>he Commission has previously accepted DEC NITSAs with the City of Kings Mountain, North Carolina</w:t>
      </w:r>
      <w:r>
        <w:t xml:space="preserve"> (</w:t>
      </w:r>
      <w:r w:rsidRPr="00A02063">
        <w:t>Docket No. ER26-550 (Jan. 16, 2026)</w:t>
      </w:r>
      <w:r w:rsidR="008E3B1C">
        <w:t>)</w:t>
      </w:r>
      <w:r>
        <w:t xml:space="preserve"> </w:t>
      </w:r>
      <w:r w:rsidRPr="00A02063">
        <w:t>and NCMPA</w:t>
      </w:r>
      <w:r>
        <w:t xml:space="preserve"> (</w:t>
      </w:r>
      <w:r w:rsidRPr="00A02063">
        <w:t>Docket No. ER26-440</w:t>
      </w:r>
      <w:r w:rsidR="00261629">
        <w:t>-000</w:t>
      </w:r>
      <w:r w:rsidRPr="00A02063">
        <w:t xml:space="preserve"> (Jan. 2, 2026</w:t>
      </w:r>
      <w:r>
        <w:t>)</w:t>
      </w:r>
      <w:r w:rsidR="008E3B1C">
        <w:t>)</w:t>
      </w:r>
      <w:r>
        <w:t xml:space="preserve"> </w:t>
      </w:r>
      <w:r w:rsidR="008E3B1C">
        <w:t xml:space="preserve">that </w:t>
      </w:r>
      <w:r>
        <w:t xml:space="preserve">omitted this same language concerning rollover rights. </w:t>
      </w:r>
    </w:p>
  </w:footnote>
  <w:footnote w:id="126">
    <w:p w14:paraId="3BF5E0DF" w14:textId="77777777" w:rsidR="00613241" w:rsidRDefault="00613241">
      <w:pPr>
        <w:pStyle w:val="FootnoteText"/>
      </w:pPr>
      <w:r>
        <w:rPr>
          <w:rStyle w:val="FootnoteReference"/>
        </w:rPr>
        <w:footnoteRef/>
      </w:r>
      <w:r>
        <w:t xml:space="preserve"> </w:t>
      </w:r>
      <w:r w:rsidR="00975658">
        <w:t xml:space="preserve">Filing, </w:t>
      </w:r>
      <w:r w:rsidR="000310E0">
        <w:t xml:space="preserve">Transmittal </w:t>
      </w:r>
      <w:r w:rsidR="001801E7">
        <w:t xml:space="preserve">Letter </w:t>
      </w:r>
      <w:r w:rsidR="000310E0">
        <w:t>at 9.</w:t>
      </w:r>
    </w:p>
  </w:footnote>
  <w:footnote w:id="127">
    <w:p w14:paraId="62C0A84C" w14:textId="77777777" w:rsidR="00A07425" w:rsidRDefault="00A07425" w:rsidP="00A07425">
      <w:pPr>
        <w:pStyle w:val="FootnoteText"/>
      </w:pPr>
      <w:r>
        <w:rPr>
          <w:rStyle w:val="FootnoteReference"/>
        </w:rPr>
        <w:footnoteRef/>
      </w:r>
      <w:r w:rsidR="00975658" w:rsidRPr="0043096A">
        <w:rPr>
          <w:rFonts w:eastAsia="Times New Roman"/>
          <w:szCs w:val="26"/>
        </w:rPr>
        <w:t xml:space="preserve"> </w:t>
      </w:r>
      <w:r w:rsidR="00B87223" w:rsidRPr="0043096A">
        <w:rPr>
          <w:rFonts w:eastAsia="Times New Roman"/>
          <w:i/>
          <w:iCs/>
          <w:szCs w:val="26"/>
        </w:rPr>
        <w:t>Id.</w:t>
      </w:r>
      <w:r w:rsidR="00E37ED1" w:rsidRPr="0043096A">
        <w:rPr>
          <w:rFonts w:eastAsia="Times New Roman"/>
          <w:szCs w:val="26"/>
        </w:rPr>
        <w:t xml:space="preserve"> </w:t>
      </w:r>
      <w:r w:rsidR="006E31EE">
        <w:rPr>
          <w:rFonts w:eastAsia="Times New Roman"/>
          <w:szCs w:val="26"/>
        </w:rPr>
        <w:t xml:space="preserve">(citing </w:t>
      </w:r>
      <w:r w:rsidR="002A11D1" w:rsidRPr="002A11D1">
        <w:rPr>
          <w:i/>
        </w:rPr>
        <w:t>S</w:t>
      </w:r>
      <w:r w:rsidR="006E31EE">
        <w:rPr>
          <w:i/>
        </w:rPr>
        <w:t>w.</w:t>
      </w:r>
      <w:r w:rsidR="002A11D1" w:rsidRPr="002A11D1">
        <w:rPr>
          <w:i/>
          <w:iCs/>
        </w:rPr>
        <w:t xml:space="preserve"> Power Pool, Inc.</w:t>
      </w:r>
      <w:r w:rsidR="002A11D1" w:rsidRPr="002A11D1">
        <w:t>, 169 FERC ¶ 61,058</w:t>
      </w:r>
      <w:r w:rsidR="00A57FFB">
        <w:t>,</w:t>
      </w:r>
      <w:r w:rsidR="002A11D1" w:rsidRPr="002A11D1">
        <w:t xml:space="preserve"> at P 20 (2019) (“</w:t>
      </w:r>
      <w:r w:rsidR="00F3136F">
        <w:t>[W]</w:t>
      </w:r>
      <w:r w:rsidR="00F3136F" w:rsidRPr="002A11D1">
        <w:t xml:space="preserve">e </w:t>
      </w:r>
      <w:r w:rsidR="002A11D1" w:rsidRPr="002A11D1">
        <w:t xml:space="preserve">agree with SPP and Xcel that sections 8.10 and 8.12 of Attachment 1 to SPP’s </w:t>
      </w:r>
      <w:r w:rsidR="002A11D1" w:rsidRPr="002A11D1">
        <w:rPr>
          <w:i/>
          <w:iCs/>
        </w:rPr>
        <w:t xml:space="preserve">pro forma </w:t>
      </w:r>
      <w:r w:rsidR="002A11D1" w:rsidRPr="002A11D1">
        <w:t>service agreement are considered to be “fill-in-the-blank” sections and we do not consider a service agreement to be non-conforming because SPP filled-in the blanks.”).</w:t>
      </w:r>
    </w:p>
  </w:footnote>
  <w:footnote w:id="128">
    <w:p w14:paraId="14054AEC" w14:textId="77777777" w:rsidR="00E2518E" w:rsidRDefault="00E2518E">
      <w:pPr>
        <w:pStyle w:val="FootnoteText"/>
      </w:pPr>
      <w:r>
        <w:rPr>
          <w:rStyle w:val="FootnoteReference"/>
        </w:rPr>
        <w:footnoteRef/>
      </w:r>
      <w:r>
        <w:t xml:space="preserve"> </w:t>
      </w:r>
      <w:r w:rsidR="006F641F" w:rsidRPr="006E0D9D">
        <w:rPr>
          <w:i/>
          <w:iCs/>
        </w:rPr>
        <w:t>Id.</w:t>
      </w:r>
      <w:r w:rsidR="006F641F">
        <w:t xml:space="preserve"> at 13.</w:t>
      </w:r>
    </w:p>
  </w:footnote>
  <w:footnote w:id="129">
    <w:p w14:paraId="2A17F503" w14:textId="77777777" w:rsidR="00F35A66" w:rsidRDefault="00F35A66" w:rsidP="004E0567">
      <w:pPr>
        <w:pStyle w:val="FootnoteText"/>
        <w:widowControl/>
      </w:pPr>
      <w:r>
        <w:rPr>
          <w:rStyle w:val="FootnoteReference"/>
        </w:rPr>
        <w:footnoteRef/>
      </w:r>
      <w:r>
        <w:t xml:space="preserve"> </w:t>
      </w:r>
      <w:r w:rsidR="007E748E">
        <w:rPr>
          <w:i/>
          <w:iCs/>
        </w:rPr>
        <w:t xml:space="preserve">See </w:t>
      </w:r>
      <w:r w:rsidR="004E0567">
        <w:t>a</w:t>
      </w:r>
      <w:r w:rsidR="007E748E">
        <w:t>ttach</w:t>
      </w:r>
      <w:proofErr w:type="gramStart"/>
      <w:r w:rsidR="004E0567">
        <w:t>.</w:t>
      </w:r>
      <w:r w:rsidR="007E748E">
        <w:t xml:space="preserve"> </w:t>
      </w:r>
      <w:proofErr w:type="gramEnd"/>
      <w:r w:rsidR="007E748E" w:rsidRPr="006921CB">
        <w:t xml:space="preserve">A </w:t>
      </w:r>
      <w:r w:rsidR="007E748E" w:rsidRPr="003762B4">
        <w:t>§ 6.</w:t>
      </w:r>
      <w:r w:rsidR="001B79F8">
        <w:t>9</w:t>
      </w:r>
      <w:r w:rsidR="007E748E">
        <w:t xml:space="preserve"> (</w:t>
      </w:r>
      <w:r w:rsidR="007B1E1B">
        <w:t>Ancillary Services Charge).</w:t>
      </w:r>
      <w:r w:rsidR="007E748E">
        <w:t xml:space="preserve">  </w:t>
      </w:r>
      <w:r w:rsidR="007B1E1B">
        <w:t>Schedule 2 concerns r</w:t>
      </w:r>
      <w:r w:rsidR="007B1E1B" w:rsidRPr="0060587C">
        <w:t xml:space="preserve">eactive </w:t>
      </w:r>
      <w:r w:rsidR="007B1E1B">
        <w:t>s</w:t>
      </w:r>
      <w:r w:rsidR="007B1E1B" w:rsidRPr="0060587C">
        <w:t xml:space="preserve">upply and </w:t>
      </w:r>
      <w:r w:rsidR="007B1E1B">
        <w:t>v</w:t>
      </w:r>
      <w:r w:rsidR="007B1E1B" w:rsidRPr="0060587C">
        <w:t xml:space="preserve">oltage </w:t>
      </w:r>
      <w:r w:rsidR="007B1E1B">
        <w:t>c</w:t>
      </w:r>
      <w:r w:rsidR="007B1E1B" w:rsidRPr="0060587C">
        <w:t xml:space="preserve">ontrol from </w:t>
      </w:r>
      <w:r w:rsidR="007B1E1B">
        <w:t>g</w:t>
      </w:r>
      <w:r w:rsidR="007B1E1B" w:rsidRPr="0060587C">
        <w:t xml:space="preserve">eneration </w:t>
      </w:r>
      <w:r w:rsidR="007B1E1B">
        <w:t>s</w:t>
      </w:r>
      <w:r w:rsidR="007B1E1B" w:rsidRPr="0060587C">
        <w:t xml:space="preserve">ource </w:t>
      </w:r>
      <w:r w:rsidR="007B1E1B">
        <w:t>s</w:t>
      </w:r>
      <w:r w:rsidR="007B1E1B" w:rsidRPr="0060587C">
        <w:t>ervice</w:t>
      </w:r>
      <w:r w:rsidR="007B1E1B">
        <w:t>, and Schedule 3 concerns r</w:t>
      </w:r>
      <w:r w:rsidR="007B1E1B" w:rsidRPr="00F35A66">
        <w:t xml:space="preserve">egulation and </w:t>
      </w:r>
      <w:r w:rsidR="007B1E1B">
        <w:t>f</w:t>
      </w:r>
      <w:r w:rsidR="007B1E1B" w:rsidRPr="00F35A66">
        <w:t xml:space="preserve">requency </w:t>
      </w:r>
      <w:r w:rsidR="007B1E1B">
        <w:t>r</w:t>
      </w:r>
      <w:r w:rsidR="007B1E1B" w:rsidRPr="00F35A66">
        <w:t xml:space="preserve">esponse </w:t>
      </w:r>
      <w:r w:rsidR="007B1E1B">
        <w:t>s</w:t>
      </w:r>
      <w:r w:rsidR="007B1E1B" w:rsidRPr="00F35A66">
        <w:t>ervic</w:t>
      </w:r>
      <w:r w:rsidR="007B1E1B">
        <w:t xml:space="preserve">e.  </w:t>
      </w:r>
    </w:p>
  </w:footnote>
  <w:footnote w:id="130">
    <w:p w14:paraId="741F2D2F" w14:textId="77777777" w:rsidR="00193C3E" w:rsidRDefault="00193C3E">
      <w:pPr>
        <w:pStyle w:val="FootnoteText"/>
      </w:pPr>
      <w:r>
        <w:rPr>
          <w:rStyle w:val="FootnoteReference"/>
        </w:rPr>
        <w:footnoteRef/>
      </w:r>
      <w:r>
        <w:t xml:space="preserve"> </w:t>
      </w:r>
      <w:r w:rsidR="00CA5C8B">
        <w:t xml:space="preserve">Filing, Transmittal Letter </w:t>
      </w:r>
      <w:r w:rsidR="003947E6">
        <w:t xml:space="preserve">at </w:t>
      </w:r>
      <w:r w:rsidR="00FC5861">
        <w:t>13-14.</w:t>
      </w:r>
    </w:p>
  </w:footnote>
  <w:footnote w:id="131">
    <w:p w14:paraId="6B154DA5" w14:textId="77777777" w:rsidR="00A07425" w:rsidRDefault="00A07425" w:rsidP="00A07425">
      <w:pPr>
        <w:pStyle w:val="FootnoteText"/>
      </w:pPr>
      <w:r>
        <w:rPr>
          <w:rStyle w:val="FootnoteReference"/>
        </w:rPr>
        <w:footnoteRef/>
      </w:r>
      <w:r>
        <w:t xml:space="preserve"> </w:t>
      </w:r>
      <w:r w:rsidR="006E0D9D" w:rsidRPr="006E0D9D">
        <w:rPr>
          <w:i/>
          <w:iCs/>
        </w:rPr>
        <w:t>Id.</w:t>
      </w:r>
      <w:r>
        <w:t xml:space="preserve"> at 14. </w:t>
      </w:r>
      <w:r w:rsidR="00FC5861">
        <w:t xml:space="preserve"> </w:t>
      </w:r>
    </w:p>
  </w:footnote>
  <w:footnote w:id="132">
    <w:p w14:paraId="2B50B099" w14:textId="77777777" w:rsidR="00175338" w:rsidRDefault="00175338" w:rsidP="00175338">
      <w:pPr>
        <w:pStyle w:val="FootnoteText"/>
      </w:pPr>
      <w:r>
        <w:rPr>
          <w:rStyle w:val="FootnoteReference"/>
        </w:rPr>
        <w:footnoteRef/>
      </w:r>
      <w:r>
        <w:t xml:space="preserve"> </w:t>
      </w:r>
      <w:r w:rsidRPr="006E0D9D">
        <w:rPr>
          <w:i/>
          <w:iCs/>
        </w:rPr>
        <w:t>Id.</w:t>
      </w:r>
      <w:r>
        <w:t xml:space="preserve"> </w:t>
      </w:r>
    </w:p>
  </w:footnote>
  <w:footnote w:id="133">
    <w:p w14:paraId="5193A896" w14:textId="77777777" w:rsidR="002D74E2" w:rsidRDefault="002D74E2" w:rsidP="002D74E2">
      <w:pPr>
        <w:pStyle w:val="FootnoteText"/>
      </w:pPr>
      <w:r>
        <w:rPr>
          <w:rStyle w:val="FootnoteReference"/>
        </w:rPr>
        <w:footnoteRef/>
      </w:r>
      <w:r>
        <w:t xml:space="preserve"> </w:t>
      </w:r>
      <w:r w:rsidRPr="006E0D9D">
        <w:rPr>
          <w:i/>
          <w:iCs/>
        </w:rPr>
        <w:t>Id.</w:t>
      </w:r>
      <w:r w:rsidR="00893400">
        <w:rPr>
          <w:i/>
          <w:iCs/>
        </w:rPr>
        <w:t xml:space="preserve"> </w:t>
      </w:r>
      <w:r>
        <w:t>at 14-15.</w:t>
      </w:r>
    </w:p>
  </w:footnote>
  <w:footnote w:id="134">
    <w:p w14:paraId="28B75584" w14:textId="77777777" w:rsidR="009F40D5" w:rsidRDefault="009F40D5">
      <w:pPr>
        <w:pStyle w:val="FootnoteText"/>
      </w:pPr>
      <w:r>
        <w:rPr>
          <w:rStyle w:val="FootnoteReference"/>
        </w:rPr>
        <w:footnoteRef/>
      </w:r>
      <w:r>
        <w:t xml:space="preserve"> </w:t>
      </w:r>
      <w:r w:rsidR="006E0D9D" w:rsidRPr="006E0D9D">
        <w:rPr>
          <w:i/>
          <w:iCs/>
        </w:rPr>
        <w:t>Id.</w:t>
      </w:r>
      <w:r>
        <w:t xml:space="preserve"> at 15.  </w:t>
      </w:r>
    </w:p>
  </w:footnote>
  <w:footnote w:id="135">
    <w:p w14:paraId="1C586652" w14:textId="77777777" w:rsidR="00F033EB" w:rsidRDefault="00F033EB">
      <w:pPr>
        <w:pStyle w:val="FootnoteText"/>
      </w:pPr>
      <w:r>
        <w:rPr>
          <w:rStyle w:val="FootnoteReference"/>
        </w:rPr>
        <w:footnoteRef/>
      </w:r>
      <w:r>
        <w:t xml:space="preserve"> </w:t>
      </w:r>
      <w:r w:rsidR="0026558F" w:rsidRPr="006E0D9D">
        <w:rPr>
          <w:i/>
          <w:iCs/>
        </w:rPr>
        <w:t>Id.</w:t>
      </w:r>
    </w:p>
  </w:footnote>
  <w:footnote w:id="136">
    <w:p w14:paraId="065A2891" w14:textId="77777777" w:rsidR="00F159D9" w:rsidRDefault="00F159D9">
      <w:pPr>
        <w:pStyle w:val="FootnoteText"/>
      </w:pPr>
      <w:r>
        <w:rPr>
          <w:rStyle w:val="FootnoteReference"/>
        </w:rPr>
        <w:footnoteRef/>
      </w:r>
      <w:r>
        <w:t xml:space="preserve"> </w:t>
      </w:r>
      <w:r w:rsidR="006E0D9D" w:rsidRPr="006E0D9D">
        <w:rPr>
          <w:i/>
          <w:iCs/>
        </w:rPr>
        <w:t>Id.</w:t>
      </w:r>
      <w:r w:rsidR="00325B5D">
        <w:t xml:space="preserve"> at 16.</w:t>
      </w:r>
    </w:p>
  </w:footnote>
  <w:footnote w:id="137">
    <w:p w14:paraId="4BD2EECF" w14:textId="77777777" w:rsidR="00372DE2" w:rsidRDefault="00372DE2">
      <w:pPr>
        <w:pStyle w:val="FootnoteText"/>
      </w:pPr>
      <w:r>
        <w:rPr>
          <w:rStyle w:val="FootnoteReference"/>
        </w:rPr>
        <w:footnoteRef/>
      </w:r>
      <w:r>
        <w:t xml:space="preserve"> </w:t>
      </w:r>
      <w:r w:rsidR="00CC36AB" w:rsidRPr="006E0D9D">
        <w:rPr>
          <w:i/>
          <w:iCs/>
        </w:rPr>
        <w:t>Id.</w:t>
      </w:r>
      <w:r w:rsidR="00CC36AB">
        <w:t xml:space="preserve"> at 1</w:t>
      </w:r>
      <w:r w:rsidR="00244269">
        <w:t>7</w:t>
      </w:r>
      <w:r w:rsidR="00CC36AB">
        <w:t>.</w:t>
      </w:r>
    </w:p>
  </w:footnote>
  <w:footnote w:id="138">
    <w:p w14:paraId="76205483" w14:textId="77777777" w:rsidR="00F159D9" w:rsidRDefault="00F159D9">
      <w:pPr>
        <w:pStyle w:val="FootnoteText"/>
      </w:pPr>
      <w:r>
        <w:rPr>
          <w:rStyle w:val="FootnoteReference"/>
        </w:rPr>
        <w:footnoteRef/>
      </w:r>
      <w:r>
        <w:t xml:space="preserve"> </w:t>
      </w:r>
      <w:r w:rsidR="00111D97" w:rsidRPr="00111D97">
        <w:rPr>
          <w:i/>
          <w:iCs/>
        </w:rPr>
        <w:t>Id.</w:t>
      </w:r>
      <w:r w:rsidR="00A626C1">
        <w:t xml:space="preserve"> at 17-18.</w:t>
      </w:r>
    </w:p>
  </w:footnote>
  <w:footnote w:id="139">
    <w:p w14:paraId="51571336" w14:textId="77777777" w:rsidR="00F159D9" w:rsidRDefault="00F159D9">
      <w:pPr>
        <w:pStyle w:val="FootnoteText"/>
      </w:pPr>
      <w:r>
        <w:rPr>
          <w:rStyle w:val="FootnoteReference"/>
        </w:rPr>
        <w:footnoteRef/>
      </w:r>
      <w:r>
        <w:t xml:space="preserve"> </w:t>
      </w:r>
      <w:r w:rsidR="00111D97" w:rsidRPr="00111D97">
        <w:rPr>
          <w:i/>
          <w:iCs/>
        </w:rPr>
        <w:t>Id.</w:t>
      </w:r>
      <w:r w:rsidR="00A626C1">
        <w:t xml:space="preserve"> at 18.</w:t>
      </w:r>
    </w:p>
  </w:footnote>
  <w:footnote w:id="140">
    <w:p w14:paraId="1488CE92" w14:textId="77777777" w:rsidR="00DE4952" w:rsidRDefault="00DE4952">
      <w:pPr>
        <w:pStyle w:val="FootnoteText"/>
      </w:pPr>
      <w:r>
        <w:rPr>
          <w:rStyle w:val="FootnoteReference"/>
        </w:rPr>
        <w:footnoteRef/>
      </w:r>
      <w:r>
        <w:t xml:space="preserve"> </w:t>
      </w:r>
      <w:r w:rsidR="00C86692" w:rsidRPr="00111D97">
        <w:rPr>
          <w:i/>
          <w:iCs/>
        </w:rPr>
        <w:t>Id.</w:t>
      </w:r>
    </w:p>
  </w:footnote>
  <w:footnote w:id="141">
    <w:p w14:paraId="5F69633F" w14:textId="77777777" w:rsidR="00F159D9" w:rsidRDefault="00F159D9">
      <w:pPr>
        <w:pStyle w:val="FootnoteText"/>
      </w:pPr>
      <w:r>
        <w:rPr>
          <w:rStyle w:val="FootnoteReference"/>
        </w:rPr>
        <w:footnoteRef/>
      </w:r>
      <w:r>
        <w:t xml:space="preserve"> </w:t>
      </w:r>
      <w:r w:rsidR="00111D97" w:rsidRPr="00111D97">
        <w:rPr>
          <w:i/>
          <w:iCs/>
        </w:rPr>
        <w:t>Id.</w:t>
      </w:r>
      <w:r w:rsidR="0017546C">
        <w:t xml:space="preserve"> at 18-19.</w:t>
      </w:r>
    </w:p>
  </w:footnote>
  <w:footnote w:id="142">
    <w:p w14:paraId="6911482B" w14:textId="77777777" w:rsidR="00F159D9" w:rsidRDefault="00F159D9">
      <w:pPr>
        <w:pStyle w:val="FootnoteText"/>
      </w:pPr>
      <w:r>
        <w:rPr>
          <w:rStyle w:val="FootnoteReference"/>
        </w:rPr>
        <w:footnoteRef/>
      </w:r>
      <w:r>
        <w:t xml:space="preserve"> </w:t>
      </w:r>
      <w:r w:rsidR="00111D97" w:rsidRPr="00111D97">
        <w:rPr>
          <w:i/>
          <w:iCs/>
        </w:rPr>
        <w:t>Id.</w:t>
      </w:r>
      <w:r w:rsidR="00F2252F">
        <w:t xml:space="preserve"> at 19.</w:t>
      </w:r>
    </w:p>
  </w:footnote>
  <w:footnote w:id="143">
    <w:p w14:paraId="570A831E" w14:textId="77777777" w:rsidR="000B232F" w:rsidRDefault="000B232F">
      <w:pPr>
        <w:pStyle w:val="FootnoteText"/>
      </w:pPr>
      <w:r>
        <w:rPr>
          <w:rStyle w:val="FootnoteReference"/>
        </w:rPr>
        <w:footnoteRef/>
      </w:r>
      <w:r>
        <w:t xml:space="preserve"> </w:t>
      </w:r>
      <w:r w:rsidR="00A5391C" w:rsidRPr="00A5391C">
        <w:rPr>
          <w:i/>
          <w:iCs/>
        </w:rPr>
        <w:t>Id.</w:t>
      </w:r>
    </w:p>
  </w:footnote>
  <w:footnote w:id="144">
    <w:p w14:paraId="49550C82" w14:textId="77777777" w:rsidR="00B079A2" w:rsidRDefault="00B079A2" w:rsidP="00B079A2">
      <w:pPr>
        <w:pStyle w:val="FootnoteText"/>
      </w:pPr>
      <w:r>
        <w:rPr>
          <w:rStyle w:val="FootnoteReference"/>
        </w:rPr>
        <w:footnoteRef/>
      </w:r>
      <w:r>
        <w:t xml:space="preserve"> </w:t>
      </w:r>
      <w:r w:rsidRPr="00A5391C">
        <w:rPr>
          <w:i/>
          <w:iCs/>
        </w:rPr>
        <w:t>Id.</w:t>
      </w:r>
      <w:r>
        <w:t xml:space="preserve"> at 19-20.</w:t>
      </w:r>
    </w:p>
  </w:footnote>
  <w:footnote w:id="145">
    <w:p w14:paraId="5ECDC5AB" w14:textId="77777777" w:rsidR="009677E7" w:rsidRDefault="009677E7">
      <w:pPr>
        <w:pStyle w:val="FootnoteText"/>
      </w:pPr>
      <w:r>
        <w:rPr>
          <w:rStyle w:val="FootnoteReference"/>
        </w:rPr>
        <w:footnoteRef/>
      </w:r>
      <w:r>
        <w:t xml:space="preserve"> Transmission Pricing Policy Statement, </w:t>
      </w:r>
      <w:r w:rsidRPr="00377507">
        <w:t>FERC Stats</w:t>
      </w:r>
      <w:proofErr w:type="gramStart"/>
      <w:r w:rsidRPr="00377507">
        <w:t xml:space="preserve">. </w:t>
      </w:r>
      <w:proofErr w:type="gramEnd"/>
      <w:r w:rsidRPr="00377507">
        <w:t>and Regs</w:t>
      </w:r>
      <w:proofErr w:type="gramStart"/>
      <w:r w:rsidRPr="00377507">
        <w:t xml:space="preserve">. </w:t>
      </w:r>
      <w:proofErr w:type="gramEnd"/>
      <w:r w:rsidRPr="00377507">
        <w:t>¶ 31,00</w:t>
      </w:r>
      <w:r>
        <w:t xml:space="preserve">5 </w:t>
      </w:r>
      <w:r w:rsidR="004E0567">
        <w:t xml:space="preserve">                  </w:t>
      </w:r>
      <w:r>
        <w:t>at 31,137 (“[T]</w:t>
      </w:r>
      <w:r w:rsidRPr="0053552C">
        <w:t xml:space="preserve">he Commission has allowed a </w:t>
      </w:r>
      <w:r w:rsidRPr="00ED4C14">
        <w:rPr>
          <w:iCs/>
        </w:rPr>
        <w:t>utility</w:t>
      </w:r>
      <w:r w:rsidRPr="0053552C">
        <w:t xml:space="preserve"> to charge transmission-only customers the higher of embedded costs (for the system as expanded) or incremental expansion costs, but not the sum of the two</w:t>
      </w:r>
      <w:r w:rsidR="005E1DF0">
        <w:t>.</w:t>
      </w:r>
      <w:r>
        <w:t>”)</w:t>
      </w:r>
      <w:r w:rsidR="003B64D4">
        <w:t>.</w:t>
      </w:r>
    </w:p>
  </w:footnote>
  <w:footnote w:id="146">
    <w:p w14:paraId="17252749" w14:textId="77777777" w:rsidR="0044349E" w:rsidRDefault="0044349E" w:rsidP="004E0567">
      <w:pPr>
        <w:pStyle w:val="FootnoteText"/>
      </w:pPr>
      <w:r>
        <w:rPr>
          <w:rStyle w:val="FootnoteReference"/>
        </w:rPr>
        <w:footnoteRef/>
      </w:r>
      <w:r>
        <w:t xml:space="preserve"> </w:t>
      </w:r>
      <w:r w:rsidRPr="0044349E">
        <w:t>The Commission on a case-by-case basis “analyzes proposed deviations from </w:t>
      </w:r>
      <w:r w:rsidRPr="0044349E">
        <w:rPr>
          <w:i/>
          <w:iCs/>
        </w:rPr>
        <w:t>pro forma</w:t>
      </w:r>
      <w:r w:rsidRPr="0044349E">
        <w:t> agreements to ensure that operational or other reasons make the</w:t>
      </w:r>
      <w:r w:rsidR="004E0567">
        <w:t xml:space="preserve">         </w:t>
      </w:r>
      <w:r w:rsidRPr="0044349E">
        <w:t xml:space="preserve">non-conforming provisions </w:t>
      </w:r>
      <w:r w:rsidRPr="003777E2">
        <w:t xml:space="preserve">necessary” such as “to address specific reliability concerns, novel legal issues, or other unique factors.”  </w:t>
      </w:r>
      <w:r w:rsidRPr="003777E2">
        <w:rPr>
          <w:i/>
          <w:iCs/>
        </w:rPr>
        <w:t xml:space="preserve">See, e.g., </w:t>
      </w:r>
      <w:r w:rsidR="003B696F" w:rsidRPr="003777E2">
        <w:rPr>
          <w:i/>
        </w:rPr>
        <w:t>Lockhart</w:t>
      </w:r>
      <w:r w:rsidRPr="003777E2">
        <w:t xml:space="preserve">, 193 FERC ¶ 61,237 </w:t>
      </w:r>
      <w:r w:rsidR="004E0567">
        <w:t xml:space="preserve">      </w:t>
      </w:r>
      <w:r w:rsidRPr="003777E2">
        <w:t xml:space="preserve">at P 19.  </w:t>
      </w:r>
      <w:r w:rsidRPr="003777E2">
        <w:rPr>
          <w:i/>
          <w:iCs/>
        </w:rPr>
        <w:t xml:space="preserve">See also </w:t>
      </w:r>
      <w:r w:rsidRPr="003777E2">
        <w:t>Order</w:t>
      </w:r>
      <w:r w:rsidRPr="0044349E">
        <w:t xml:space="preserve"> No. 890, 118 FERC ¶ 61,119 at PP 870, 884, </w:t>
      </w:r>
      <w:r w:rsidRPr="0044349E">
        <w:rPr>
          <w:i/>
          <w:iCs/>
        </w:rPr>
        <w:t>order on reh’g</w:t>
      </w:r>
      <w:r w:rsidRPr="0044349E">
        <w:t xml:space="preserve">, Order No. 890-A, 121 FERC ¶ 61,297 (2007), </w:t>
      </w:r>
      <w:r w:rsidRPr="0044349E">
        <w:rPr>
          <w:i/>
          <w:iCs/>
        </w:rPr>
        <w:t>order on reh’g</w:t>
      </w:r>
      <w:r w:rsidRPr="0044349E">
        <w:t xml:space="preserve">, Order No. 890-B, </w:t>
      </w:r>
      <w:r w:rsidR="004E0567">
        <w:t xml:space="preserve">         </w:t>
      </w:r>
      <w:r w:rsidRPr="0044349E">
        <w:t>123 FERC ¶ 61,299 (2008),</w:t>
      </w:r>
      <w:r w:rsidRPr="0044349E">
        <w:rPr>
          <w:i/>
          <w:iCs/>
        </w:rPr>
        <w:t xml:space="preserve"> order on reh’g</w:t>
      </w:r>
      <w:r w:rsidRPr="0044349E">
        <w:t xml:space="preserve">, Order No. 890-C, 126 FERC ¶ 61,228, </w:t>
      </w:r>
      <w:r w:rsidRPr="0044349E">
        <w:rPr>
          <w:i/>
          <w:iCs/>
        </w:rPr>
        <w:t>order on clarification</w:t>
      </w:r>
      <w:r w:rsidRPr="0044349E">
        <w:t>, Order No. 890-D, 129 FERC ¶ 61,126 (2009).</w:t>
      </w:r>
    </w:p>
  </w:footnote>
  <w:footnote w:id="147">
    <w:p w14:paraId="0760E028" w14:textId="77777777" w:rsidR="002A3B24" w:rsidRPr="008C69C7" w:rsidRDefault="002A3B24" w:rsidP="002A3B24">
      <w:pPr>
        <w:pStyle w:val="FootnoteText"/>
      </w:pPr>
      <w:r>
        <w:rPr>
          <w:rStyle w:val="FootnoteReference"/>
        </w:rPr>
        <w:footnoteRef/>
      </w:r>
      <w:r>
        <w:t xml:space="preserve"> </w:t>
      </w:r>
      <w:r>
        <w:rPr>
          <w:i/>
          <w:iCs/>
        </w:rPr>
        <w:t xml:space="preserve">Supra </w:t>
      </w:r>
      <w:r>
        <w:t xml:space="preserve">P 46. </w:t>
      </w:r>
    </w:p>
  </w:footnote>
  <w:footnote w:id="148">
    <w:p w14:paraId="2A8420B2" w14:textId="77777777" w:rsidR="00064073" w:rsidRPr="00293501" w:rsidRDefault="00064073" w:rsidP="00064073">
      <w:pPr>
        <w:pStyle w:val="FootnoteText"/>
      </w:pPr>
      <w:r w:rsidRPr="00293501">
        <w:rPr>
          <w:rStyle w:val="FootnoteReference"/>
        </w:rPr>
        <w:footnoteRef/>
      </w:r>
      <w:r w:rsidRPr="00293501">
        <w:t xml:space="preserve"> </w:t>
      </w:r>
      <w:r w:rsidRPr="00293501">
        <w:rPr>
          <w:i/>
          <w:iCs/>
        </w:rPr>
        <w:t xml:space="preserve">See MISO Transmission Owners v. FERC, </w:t>
      </w:r>
      <w:r w:rsidRPr="00293501">
        <w:t xml:space="preserve">45 F.4th 248, 253 (D.C. Cir. 2022); </w:t>
      </w:r>
      <w:r w:rsidRPr="00293501">
        <w:rPr>
          <w:i/>
          <w:iCs/>
        </w:rPr>
        <w:t xml:space="preserve">Advanced Energy </w:t>
      </w:r>
      <w:proofErr w:type="gramStart"/>
      <w:r w:rsidRPr="00293501">
        <w:rPr>
          <w:i/>
          <w:iCs/>
        </w:rPr>
        <w:t xml:space="preserve">Mgmt. </w:t>
      </w:r>
      <w:proofErr w:type="gramEnd"/>
      <w:r w:rsidRPr="00293501">
        <w:rPr>
          <w:i/>
          <w:iCs/>
        </w:rPr>
        <w:t>All</w:t>
      </w:r>
      <w:proofErr w:type="gramStart"/>
      <w:r w:rsidRPr="00293501">
        <w:rPr>
          <w:i/>
          <w:iCs/>
        </w:rPr>
        <w:t xml:space="preserve">. </w:t>
      </w:r>
      <w:proofErr w:type="gramEnd"/>
      <w:r w:rsidRPr="00293501">
        <w:rPr>
          <w:i/>
          <w:iCs/>
        </w:rPr>
        <w:t>v. FERC</w:t>
      </w:r>
      <w:r w:rsidRPr="00293501">
        <w:t>, 860 F.3d 656, 662 (D.C. Cir. 2017) (discussing the Commission’s “passive and reactive” role under FPA section 205).</w:t>
      </w:r>
    </w:p>
  </w:footnote>
  <w:footnote w:id="149">
    <w:p w14:paraId="29E70F0D" w14:textId="77777777" w:rsidR="00C01B7A" w:rsidRDefault="00C01B7A" w:rsidP="00C01B7A">
      <w:pPr>
        <w:pStyle w:val="FootnoteText"/>
      </w:pPr>
      <w:r>
        <w:rPr>
          <w:rStyle w:val="FootnoteReference"/>
        </w:rPr>
        <w:footnoteRef/>
      </w:r>
      <w:r>
        <w:t xml:space="preserve"> </w:t>
      </w:r>
      <w:r w:rsidRPr="00F877CE">
        <w:rPr>
          <w:i/>
          <w:iCs/>
        </w:rPr>
        <w:t>PJM Interconnection, L.L.C.</w:t>
      </w:r>
      <w:r w:rsidRPr="00F877CE">
        <w:t xml:space="preserve">, 195 FERC ¶ 61,211, </w:t>
      </w:r>
      <w:r w:rsidRPr="00F877CE">
        <w:rPr>
          <w:i/>
          <w:iCs/>
        </w:rPr>
        <w:t>errata notice</w:t>
      </w:r>
      <w:r w:rsidRPr="00F877CE">
        <w:t xml:space="preserve">, 196 FERC ¶ 61,122 (2026); </w:t>
      </w:r>
      <w:r w:rsidRPr="00F877CE">
        <w:rPr>
          <w:i/>
          <w:iCs/>
        </w:rPr>
        <w:t>Sw. Power Pool, Inc.</w:t>
      </w:r>
      <w:r w:rsidRPr="00F877CE">
        <w:t xml:space="preserve">, 195 FERC ¶ 61,213 (2026); </w:t>
      </w:r>
      <w:r w:rsidRPr="00F877CE">
        <w:rPr>
          <w:i/>
          <w:iCs/>
        </w:rPr>
        <w:t xml:space="preserve">N.Y. </w:t>
      </w:r>
      <w:proofErr w:type="spellStart"/>
      <w:r w:rsidRPr="00F877CE">
        <w:rPr>
          <w:i/>
          <w:iCs/>
        </w:rPr>
        <w:t>Indep</w:t>
      </w:r>
      <w:proofErr w:type="spellEnd"/>
      <w:proofErr w:type="gramStart"/>
      <w:r w:rsidRPr="00F877CE">
        <w:rPr>
          <w:i/>
          <w:iCs/>
        </w:rPr>
        <w:t xml:space="preserve">. </w:t>
      </w:r>
      <w:proofErr w:type="gramEnd"/>
      <w:r w:rsidRPr="00F877CE">
        <w:rPr>
          <w:i/>
          <w:iCs/>
        </w:rPr>
        <w:t>Sys</w:t>
      </w:r>
      <w:proofErr w:type="gramStart"/>
      <w:r w:rsidRPr="00F877CE">
        <w:rPr>
          <w:i/>
          <w:iCs/>
        </w:rPr>
        <w:t xml:space="preserve">. </w:t>
      </w:r>
      <w:proofErr w:type="gramEnd"/>
      <w:r w:rsidRPr="00F877CE">
        <w:rPr>
          <w:i/>
          <w:iCs/>
        </w:rPr>
        <w:t>Operator, Inc.</w:t>
      </w:r>
      <w:r w:rsidRPr="00F877CE">
        <w:t xml:space="preserve">, 195 FERC ¶ 61,216 (2026); </w:t>
      </w:r>
      <w:r w:rsidRPr="00F877CE">
        <w:rPr>
          <w:i/>
          <w:iCs/>
        </w:rPr>
        <w:t xml:space="preserve">Midcontinent </w:t>
      </w:r>
      <w:proofErr w:type="spellStart"/>
      <w:r w:rsidRPr="00F877CE">
        <w:rPr>
          <w:i/>
          <w:iCs/>
        </w:rPr>
        <w:t>Indep</w:t>
      </w:r>
      <w:proofErr w:type="spellEnd"/>
      <w:proofErr w:type="gramStart"/>
      <w:r w:rsidRPr="00F877CE">
        <w:rPr>
          <w:i/>
          <w:iCs/>
        </w:rPr>
        <w:t xml:space="preserve">. </w:t>
      </w:r>
      <w:proofErr w:type="gramEnd"/>
      <w:r w:rsidRPr="00F877CE">
        <w:rPr>
          <w:i/>
          <w:iCs/>
        </w:rPr>
        <w:t>Sys</w:t>
      </w:r>
      <w:proofErr w:type="gramStart"/>
      <w:r w:rsidRPr="00F877CE">
        <w:rPr>
          <w:i/>
          <w:iCs/>
        </w:rPr>
        <w:t xml:space="preserve">. </w:t>
      </w:r>
      <w:proofErr w:type="gramEnd"/>
      <w:r w:rsidRPr="00F877CE">
        <w:rPr>
          <w:i/>
          <w:iCs/>
        </w:rPr>
        <w:t>Operator, Inc.</w:t>
      </w:r>
      <w:r w:rsidRPr="00F877CE">
        <w:t xml:space="preserve">, </w:t>
      </w:r>
      <w:r w:rsidR="004E0567">
        <w:t xml:space="preserve">                 </w:t>
      </w:r>
      <w:r w:rsidRPr="00F877CE">
        <w:t xml:space="preserve">195 FERC ¶ 61,212, </w:t>
      </w:r>
      <w:r w:rsidRPr="00F877CE">
        <w:rPr>
          <w:i/>
          <w:iCs/>
        </w:rPr>
        <w:t>errata notice</w:t>
      </w:r>
      <w:r w:rsidRPr="00F877CE">
        <w:t xml:space="preserve">, 196 FERC ¶ 61,123 (2026); </w:t>
      </w:r>
      <w:r w:rsidRPr="00F877CE">
        <w:rPr>
          <w:i/>
          <w:iCs/>
        </w:rPr>
        <w:t xml:space="preserve">Cal. </w:t>
      </w:r>
      <w:proofErr w:type="spellStart"/>
      <w:r w:rsidRPr="00F877CE">
        <w:rPr>
          <w:i/>
          <w:iCs/>
        </w:rPr>
        <w:t>Indep</w:t>
      </w:r>
      <w:proofErr w:type="spellEnd"/>
      <w:proofErr w:type="gramStart"/>
      <w:r w:rsidRPr="00F877CE">
        <w:rPr>
          <w:i/>
          <w:iCs/>
        </w:rPr>
        <w:t xml:space="preserve">. </w:t>
      </w:r>
      <w:proofErr w:type="gramEnd"/>
      <w:r w:rsidRPr="00F877CE">
        <w:rPr>
          <w:i/>
          <w:iCs/>
        </w:rPr>
        <w:t>Sys</w:t>
      </w:r>
      <w:proofErr w:type="gramStart"/>
      <w:r w:rsidRPr="00F877CE">
        <w:rPr>
          <w:i/>
          <w:iCs/>
        </w:rPr>
        <w:t xml:space="preserve">. </w:t>
      </w:r>
      <w:proofErr w:type="gramEnd"/>
      <w:r w:rsidRPr="00F877CE">
        <w:rPr>
          <w:i/>
          <w:iCs/>
        </w:rPr>
        <w:t>Operator Corp.</w:t>
      </w:r>
      <w:r w:rsidRPr="00F877CE">
        <w:t xml:space="preserve">, 195 FERC ¶ 61,214 (2026); </w:t>
      </w:r>
      <w:r w:rsidRPr="00F877CE">
        <w:rPr>
          <w:i/>
          <w:iCs/>
        </w:rPr>
        <w:t>ISO New Eng. Inc.</w:t>
      </w:r>
      <w:r w:rsidRPr="00F877CE">
        <w:t xml:space="preserve">, 195 FERC ¶ 61,215, </w:t>
      </w:r>
      <w:r w:rsidRPr="00F877CE">
        <w:rPr>
          <w:i/>
          <w:iCs/>
        </w:rPr>
        <w:t>errata notice</w:t>
      </w:r>
      <w:r w:rsidRPr="00F877CE">
        <w:t>, 196 FERC ¶ 61,012 (2026)</w:t>
      </w:r>
      <w:r>
        <w:t>.</w:t>
      </w:r>
    </w:p>
  </w:footnote>
  <w:footnote w:id="150">
    <w:p w14:paraId="20393D04" w14:textId="77777777" w:rsidR="00C01B7A" w:rsidRDefault="00C01B7A" w:rsidP="004E0567">
      <w:pPr>
        <w:pStyle w:val="FootnoteText"/>
        <w:widowControl/>
      </w:pPr>
      <w:r>
        <w:rPr>
          <w:rStyle w:val="FootnoteReference"/>
        </w:rPr>
        <w:footnoteRef/>
      </w:r>
      <w:r>
        <w:t xml:space="preserve"> </w:t>
      </w:r>
      <w:r w:rsidRPr="00B767B4">
        <w:rPr>
          <w:i/>
          <w:iCs/>
        </w:rPr>
        <w:t xml:space="preserve">See </w:t>
      </w:r>
      <w:r w:rsidRPr="00B767B4">
        <w:rPr>
          <w:i/>
        </w:rPr>
        <w:t>Interconnection of Large Loads to the Interstate Transmission System</w:t>
      </w:r>
      <w:r w:rsidRPr="00B767B4">
        <w:t>, Advance Notice of Proposed Rulemaking, Docket No. RM26-4-000 (Oct. 23, 2025).</w:t>
      </w:r>
    </w:p>
  </w:footnote>
  <w:footnote w:id="151">
    <w:p w14:paraId="4EE68D61" w14:textId="77777777" w:rsidR="004E0567" w:rsidRDefault="004E0567">
      <w:pPr>
        <w:pStyle w:val="FootnoteText"/>
      </w:pPr>
      <w:r>
        <w:rPr>
          <w:rStyle w:val="FootnoteReference"/>
        </w:rPr>
        <w:footnoteRef/>
      </w:r>
      <w:r>
        <w:t xml:space="preserve"> </w:t>
      </w:r>
      <w:r w:rsidRPr="006D445D">
        <w:rPr>
          <w:i/>
          <w:iCs/>
        </w:rPr>
        <w:t>See e.g.,</w:t>
      </w:r>
      <w:r w:rsidRPr="00CE0E4A">
        <w:t xml:space="preserve"> </w:t>
      </w:r>
      <w:r w:rsidRPr="006D445D">
        <w:rPr>
          <w:i/>
          <w:iCs/>
        </w:rPr>
        <w:t>PJM Interconnection, L.L.C.</w:t>
      </w:r>
      <w:r w:rsidRPr="00CE0E4A">
        <w:t>, 195 FERC ¶ 61,211, at PP 77-84 (2026).</w:t>
      </w:r>
    </w:p>
  </w:footnote>
  <w:footnote w:id="152">
    <w:p w14:paraId="7DCAB4A6" w14:textId="77777777" w:rsidR="004E0567" w:rsidRDefault="004E0567">
      <w:pPr>
        <w:pStyle w:val="FootnoteText"/>
      </w:pPr>
      <w:r>
        <w:rPr>
          <w:rStyle w:val="FootnoteReference"/>
        </w:rPr>
        <w:footnoteRef/>
      </w:r>
      <w:r>
        <w:t xml:space="preserve"> </w:t>
      </w:r>
      <w:r w:rsidRPr="007B79D0">
        <w:rPr>
          <w:i/>
          <w:iCs/>
        </w:rPr>
        <w:t xml:space="preserve">See </w:t>
      </w:r>
      <w:r w:rsidRPr="007B79D0">
        <w:rPr>
          <w:i/>
        </w:rPr>
        <w:t>Interconnection of Large Loads to the Interstate Transmission System</w:t>
      </w:r>
      <w:r w:rsidRPr="007B79D0">
        <w:t>, Advance Notice of Proposed Rulemaking, Docket No. RM26-4-000 (Oct. 23, 2025) (AN</w:t>
      </w:r>
      <w:r>
        <w:t>OPR).</w:t>
      </w:r>
    </w:p>
  </w:footnote>
  <w:footnote w:id="153">
    <w:p w14:paraId="64815284" w14:textId="77777777" w:rsidR="00972FF0" w:rsidRDefault="00972FF0">
      <w:pPr>
        <w:pStyle w:val="FootnoteText"/>
      </w:pPr>
      <w:r>
        <w:rPr>
          <w:rStyle w:val="FootnoteReference"/>
        </w:rPr>
        <w:footnoteRef/>
      </w:r>
      <w:r>
        <w:t xml:space="preserve"> </w:t>
      </w:r>
      <w:r w:rsidRPr="00600CCE">
        <w:rPr>
          <w:i/>
          <w:iCs/>
        </w:rPr>
        <w:t>Duke Energy Carolinas, LLC</w:t>
      </w:r>
      <w:r w:rsidRPr="00600CCE">
        <w:t xml:space="preserve">, </w:t>
      </w:r>
      <w:r>
        <w:t>197 FERC ¶ 61,020</w:t>
      </w:r>
      <w:r w:rsidRPr="00600CCE">
        <w:t xml:space="preserve"> at P</w:t>
      </w:r>
      <w:r>
        <w:t xml:space="preserve"> 35</w:t>
      </w:r>
      <w:r w:rsidRPr="00600CCE">
        <w:t xml:space="preserve"> (202</w:t>
      </w:r>
      <w:r>
        <w:t>6</w:t>
      </w:r>
      <w:r w:rsidRPr="00600CCE">
        <w:t>)</w:t>
      </w:r>
      <w:r>
        <w:t>.</w:t>
      </w:r>
    </w:p>
  </w:footnote>
  <w:footnote w:id="154">
    <w:p w14:paraId="504788DD" w14:textId="77777777" w:rsidR="00972FF0" w:rsidRDefault="00972FF0" w:rsidP="0054272D">
      <w:pPr>
        <w:pStyle w:val="FootnoteText"/>
      </w:pPr>
      <w:r>
        <w:rPr>
          <w:rStyle w:val="FootnoteReference"/>
        </w:rPr>
        <w:footnoteRef/>
      </w:r>
      <w:r>
        <w:t xml:space="preserve"> </w:t>
      </w:r>
      <w:r w:rsidRPr="001F175C">
        <w:rPr>
          <w:i/>
          <w:iCs/>
        </w:rPr>
        <w:t>PECO Energy Co.</w:t>
      </w:r>
      <w:r w:rsidRPr="001F175C">
        <w:t xml:space="preserve">, 193 FERC ¶ 61,148 </w:t>
      </w:r>
      <w:r>
        <w:t xml:space="preserve">at P 28 </w:t>
      </w:r>
      <w:r w:rsidRPr="001F175C">
        <w:t>(2025)</w:t>
      </w:r>
      <w:r>
        <w:t xml:space="preserve">; </w:t>
      </w:r>
      <w:r>
        <w:rPr>
          <w:i/>
          <w:iCs/>
        </w:rPr>
        <w:t>see also</w:t>
      </w:r>
      <w:r>
        <w:t xml:space="preserve">, </w:t>
      </w:r>
      <w:r>
        <w:rPr>
          <w:i/>
          <w:iCs/>
        </w:rPr>
        <w:t>e.g.</w:t>
      </w:r>
      <w:r>
        <w:t>,</w:t>
      </w:r>
      <w:r>
        <w:rPr>
          <w:i/>
          <w:iCs/>
        </w:rPr>
        <w:t xml:space="preserve"> </w:t>
      </w:r>
      <w:r w:rsidRPr="001F175C">
        <w:rPr>
          <w:i/>
          <w:iCs/>
        </w:rPr>
        <w:t>Commonwealth Edison Co.</w:t>
      </w:r>
      <w:r w:rsidRPr="001F175C">
        <w:t>, 194 FERC ¶</w:t>
      </w:r>
      <w:r>
        <w:t> </w:t>
      </w:r>
      <w:r w:rsidRPr="001F175C">
        <w:t>61,109 (2026)</w:t>
      </w:r>
      <w:r>
        <w:t>.</w:t>
      </w:r>
    </w:p>
  </w:footnote>
  <w:footnote w:id="155">
    <w:p w14:paraId="635A6A3D" w14:textId="77777777" w:rsidR="00972FF0" w:rsidRDefault="00972FF0" w:rsidP="0054272D">
      <w:pPr>
        <w:pStyle w:val="FootnoteText"/>
      </w:pPr>
      <w:r>
        <w:rPr>
          <w:rStyle w:val="FootnoteReference"/>
        </w:rPr>
        <w:footnoteRef/>
      </w:r>
      <w:r>
        <w:t xml:space="preserve"> </w:t>
      </w:r>
      <w:r w:rsidRPr="007B25A0">
        <w:rPr>
          <w:i/>
          <w:iCs/>
        </w:rPr>
        <w:t xml:space="preserve">See MISO Transmission Owners v. FERC, </w:t>
      </w:r>
      <w:r w:rsidRPr="007B25A0">
        <w:t xml:space="preserve">45 F.4th 248, 253 (D.C. Cir. 2022); </w:t>
      </w:r>
      <w:r w:rsidRPr="007B25A0">
        <w:rPr>
          <w:i/>
          <w:iCs/>
        </w:rPr>
        <w:t xml:space="preserve">Advanced Energy </w:t>
      </w:r>
      <w:proofErr w:type="gramStart"/>
      <w:r w:rsidRPr="007B25A0">
        <w:rPr>
          <w:i/>
          <w:iCs/>
        </w:rPr>
        <w:t xml:space="preserve">Mgmt. </w:t>
      </w:r>
      <w:proofErr w:type="gramEnd"/>
      <w:r w:rsidRPr="007B25A0">
        <w:rPr>
          <w:i/>
          <w:iCs/>
        </w:rPr>
        <w:t>All</w:t>
      </w:r>
      <w:proofErr w:type="gramStart"/>
      <w:r w:rsidRPr="007B25A0">
        <w:rPr>
          <w:i/>
          <w:iCs/>
        </w:rPr>
        <w:t xml:space="preserve">. </w:t>
      </w:r>
      <w:proofErr w:type="gramEnd"/>
      <w:r w:rsidRPr="007B25A0">
        <w:rPr>
          <w:i/>
          <w:iCs/>
        </w:rPr>
        <w:t>v. FERC</w:t>
      </w:r>
      <w:r w:rsidRPr="007B25A0">
        <w:t>, 860 F.3d 656, 662 (D.C. Cir. 2017) (discussing the Commission’s “passive and reactive” role under FPA section 205).</w:t>
      </w:r>
    </w:p>
  </w:footnote>
  <w:footnote w:id="156">
    <w:p w14:paraId="1EAA8BD7" w14:textId="77777777" w:rsidR="00972FF0" w:rsidRDefault="00972FF0" w:rsidP="002D20B6">
      <w:pPr>
        <w:pStyle w:val="FootnoteText"/>
      </w:pPr>
      <w:r>
        <w:rPr>
          <w:rStyle w:val="FootnoteReference"/>
        </w:rPr>
        <w:footnoteRef/>
      </w:r>
      <w:r>
        <w:t xml:space="preserve"> </w:t>
      </w:r>
      <w:r w:rsidRPr="007C1D33">
        <w:rPr>
          <w:i/>
          <w:iCs/>
        </w:rPr>
        <w:t>PJM Interconnection, L.L.C.</w:t>
      </w:r>
      <w:r w:rsidRPr="007C1D33">
        <w:t xml:space="preserve">, 195 FERC ¶ 61,211, </w:t>
      </w:r>
      <w:r w:rsidRPr="007C1D33">
        <w:rPr>
          <w:i/>
          <w:iCs/>
        </w:rPr>
        <w:t>errata notice</w:t>
      </w:r>
      <w:r w:rsidRPr="007C1D33">
        <w:t>, 196 FERC ¶ 61,122 (2026)</w:t>
      </w:r>
      <w:r>
        <w:t xml:space="preserve">; </w:t>
      </w:r>
      <w:r w:rsidRPr="001918B3">
        <w:rPr>
          <w:i/>
          <w:iCs/>
        </w:rPr>
        <w:t>Sw. Power Pool, Inc.</w:t>
      </w:r>
      <w:r w:rsidRPr="001918B3">
        <w:t>, 195 FERC ¶ 61,213 (2026)</w:t>
      </w:r>
      <w:r>
        <w:t xml:space="preserve">; </w:t>
      </w:r>
      <w:r w:rsidRPr="00E4405F">
        <w:rPr>
          <w:i/>
          <w:iCs/>
        </w:rPr>
        <w:t xml:space="preserve">N.Y. </w:t>
      </w:r>
      <w:proofErr w:type="spellStart"/>
      <w:r w:rsidRPr="00E4405F">
        <w:rPr>
          <w:i/>
          <w:iCs/>
        </w:rPr>
        <w:t>Indep</w:t>
      </w:r>
      <w:proofErr w:type="spellEnd"/>
      <w:proofErr w:type="gramStart"/>
      <w:r w:rsidRPr="00E4405F">
        <w:rPr>
          <w:i/>
          <w:iCs/>
        </w:rPr>
        <w:t xml:space="preserve">. </w:t>
      </w:r>
      <w:proofErr w:type="gramEnd"/>
      <w:r w:rsidRPr="00E4405F">
        <w:rPr>
          <w:i/>
          <w:iCs/>
        </w:rPr>
        <w:t>Sys</w:t>
      </w:r>
      <w:proofErr w:type="gramStart"/>
      <w:r w:rsidRPr="00E4405F">
        <w:rPr>
          <w:i/>
          <w:iCs/>
        </w:rPr>
        <w:t xml:space="preserve">. </w:t>
      </w:r>
      <w:proofErr w:type="gramEnd"/>
      <w:r w:rsidRPr="00E4405F">
        <w:rPr>
          <w:i/>
          <w:iCs/>
        </w:rPr>
        <w:t>Operator, Inc.</w:t>
      </w:r>
      <w:r w:rsidRPr="00E4405F">
        <w:t>, 195 FERC ¶ 61,216 (2026)</w:t>
      </w:r>
      <w:r>
        <w:t xml:space="preserve">; </w:t>
      </w:r>
      <w:r w:rsidRPr="0040632F">
        <w:rPr>
          <w:i/>
          <w:iCs/>
        </w:rPr>
        <w:t xml:space="preserve">Midcontinent </w:t>
      </w:r>
      <w:proofErr w:type="spellStart"/>
      <w:r w:rsidRPr="0040632F">
        <w:rPr>
          <w:i/>
          <w:iCs/>
        </w:rPr>
        <w:t>Indep</w:t>
      </w:r>
      <w:proofErr w:type="spellEnd"/>
      <w:proofErr w:type="gramStart"/>
      <w:r w:rsidRPr="0040632F">
        <w:rPr>
          <w:i/>
          <w:iCs/>
        </w:rPr>
        <w:t xml:space="preserve">. </w:t>
      </w:r>
      <w:proofErr w:type="gramEnd"/>
      <w:r w:rsidRPr="0040632F">
        <w:rPr>
          <w:i/>
          <w:iCs/>
        </w:rPr>
        <w:t>Sys</w:t>
      </w:r>
      <w:proofErr w:type="gramStart"/>
      <w:r w:rsidRPr="0040632F">
        <w:rPr>
          <w:i/>
          <w:iCs/>
        </w:rPr>
        <w:t xml:space="preserve">. </w:t>
      </w:r>
      <w:proofErr w:type="gramEnd"/>
      <w:r w:rsidRPr="0040632F">
        <w:rPr>
          <w:i/>
          <w:iCs/>
        </w:rPr>
        <w:t>Operator, Inc.</w:t>
      </w:r>
      <w:r w:rsidRPr="0040632F">
        <w:t xml:space="preserve">, 195 FERC ¶ 61,212, </w:t>
      </w:r>
      <w:r w:rsidRPr="0040632F">
        <w:rPr>
          <w:i/>
          <w:iCs/>
        </w:rPr>
        <w:t>errata notice</w:t>
      </w:r>
      <w:r w:rsidRPr="0040632F">
        <w:t>, 196 FERC ¶ 61,123 (2026)</w:t>
      </w:r>
      <w:r>
        <w:t xml:space="preserve">; </w:t>
      </w:r>
      <w:r w:rsidRPr="00E12F6F">
        <w:rPr>
          <w:i/>
          <w:iCs/>
        </w:rPr>
        <w:t xml:space="preserve">Cal. </w:t>
      </w:r>
      <w:proofErr w:type="spellStart"/>
      <w:r w:rsidRPr="00E12F6F">
        <w:rPr>
          <w:i/>
          <w:iCs/>
        </w:rPr>
        <w:t>Indep</w:t>
      </w:r>
      <w:proofErr w:type="spellEnd"/>
      <w:proofErr w:type="gramStart"/>
      <w:r w:rsidRPr="00E12F6F">
        <w:rPr>
          <w:i/>
          <w:iCs/>
        </w:rPr>
        <w:t xml:space="preserve">. </w:t>
      </w:r>
      <w:proofErr w:type="gramEnd"/>
      <w:r w:rsidRPr="00E12F6F">
        <w:rPr>
          <w:i/>
          <w:iCs/>
        </w:rPr>
        <w:t>Sys</w:t>
      </w:r>
      <w:proofErr w:type="gramStart"/>
      <w:r w:rsidRPr="00E12F6F">
        <w:rPr>
          <w:i/>
          <w:iCs/>
        </w:rPr>
        <w:t xml:space="preserve">. </w:t>
      </w:r>
      <w:proofErr w:type="gramEnd"/>
      <w:r w:rsidRPr="00E12F6F">
        <w:rPr>
          <w:i/>
          <w:iCs/>
        </w:rPr>
        <w:t>Operator Corp.</w:t>
      </w:r>
      <w:r w:rsidRPr="00E12F6F">
        <w:t>, 195 FERC ¶ 61,214 (2026)</w:t>
      </w:r>
      <w:r>
        <w:t xml:space="preserve">; </w:t>
      </w:r>
      <w:r w:rsidRPr="00DE37E7">
        <w:rPr>
          <w:i/>
          <w:iCs/>
        </w:rPr>
        <w:t>ISO New Eng. Inc.</w:t>
      </w:r>
      <w:r w:rsidRPr="00DE37E7">
        <w:t xml:space="preserve">, 195 FERC ¶ 61,215, </w:t>
      </w:r>
      <w:r w:rsidRPr="00DE37E7">
        <w:rPr>
          <w:i/>
          <w:iCs/>
        </w:rPr>
        <w:t>errata notice</w:t>
      </w:r>
      <w:r w:rsidRPr="00DE37E7">
        <w:t>, 196 FERC ¶ 61,012 (2026)</w:t>
      </w:r>
      <w:r>
        <w:t>.</w:t>
      </w:r>
    </w:p>
  </w:footnote>
  <w:footnote w:id="157">
    <w:p w14:paraId="0FC37D3E" w14:textId="77777777" w:rsidR="00972FF0" w:rsidRDefault="00972FF0" w:rsidP="000E0BCD">
      <w:pPr>
        <w:pStyle w:val="FootnoteText"/>
      </w:pPr>
      <w:r>
        <w:rPr>
          <w:rStyle w:val="FootnoteReference"/>
        </w:rPr>
        <w:footnoteRef/>
      </w:r>
      <w:r>
        <w:t xml:space="preserve"> </w:t>
      </w:r>
      <w:r w:rsidRPr="00E33F70">
        <w:rPr>
          <w:i/>
          <w:iCs/>
        </w:rPr>
        <w:t>Inquiry Concerning the Commission’s Pricing Policy for Transmission Servs</w:t>
      </w:r>
      <w:proofErr w:type="gramStart"/>
      <w:r w:rsidRPr="00E33F70">
        <w:rPr>
          <w:i/>
          <w:iCs/>
        </w:rPr>
        <w:t xml:space="preserve">. </w:t>
      </w:r>
      <w:proofErr w:type="gramEnd"/>
      <w:r w:rsidRPr="00E33F70">
        <w:rPr>
          <w:i/>
          <w:iCs/>
        </w:rPr>
        <w:t>Provided by Pub. Utils</w:t>
      </w:r>
      <w:proofErr w:type="gramStart"/>
      <w:r w:rsidRPr="00E33F70">
        <w:rPr>
          <w:i/>
          <w:iCs/>
        </w:rPr>
        <w:t xml:space="preserve">. </w:t>
      </w:r>
      <w:proofErr w:type="gramEnd"/>
      <w:r w:rsidRPr="00E33F70">
        <w:rPr>
          <w:i/>
          <w:iCs/>
        </w:rPr>
        <w:t>Under the Fed. Power Act</w:t>
      </w:r>
      <w:r w:rsidRPr="00E33F70">
        <w:t>, 59 FR 55031</w:t>
      </w:r>
      <w:r>
        <w:t xml:space="preserve"> at n.7</w:t>
      </w:r>
      <w:r w:rsidRPr="00E33F70">
        <w:t xml:space="preserve"> (Nov. 3, 1994), FERC Stats</w:t>
      </w:r>
      <w:proofErr w:type="gramStart"/>
      <w:r w:rsidRPr="00E33F70">
        <w:t xml:space="preserve">. </w:t>
      </w:r>
      <w:proofErr w:type="gramEnd"/>
      <w:r w:rsidRPr="00E33F70">
        <w:t>and Regs</w:t>
      </w:r>
      <w:proofErr w:type="gramStart"/>
      <w:r w:rsidRPr="00E33F70">
        <w:t xml:space="preserve">. </w:t>
      </w:r>
      <w:proofErr w:type="gramEnd"/>
      <w:r w:rsidRPr="00E33F70">
        <w:t>¶ 31,005 (1994)</w:t>
      </w:r>
      <w:r w:rsidRPr="00086A2F">
        <w:t>.</w:t>
      </w:r>
    </w:p>
  </w:footnote>
  <w:footnote w:id="158">
    <w:p w14:paraId="59A86799" w14:textId="77777777" w:rsidR="00972FF0" w:rsidRDefault="00972FF0" w:rsidP="009C1754">
      <w:pPr>
        <w:pStyle w:val="FootnoteText"/>
      </w:pPr>
      <w:r>
        <w:rPr>
          <w:rStyle w:val="FootnoteReference"/>
        </w:rPr>
        <w:footnoteRef/>
      </w:r>
      <w:r>
        <w:t xml:space="preserve"> </w:t>
      </w:r>
      <w:r w:rsidRPr="000C7736">
        <w:t>The Commission on a case-by-case basis “analyzes proposed deviations from </w:t>
      </w:r>
      <w:r w:rsidRPr="000C7736">
        <w:rPr>
          <w:i/>
          <w:iCs/>
        </w:rPr>
        <w:t>pro forma</w:t>
      </w:r>
      <w:r w:rsidRPr="000C7736">
        <w:t> agreements to ensure that operational or other reasons make the non-conforming provisions necessary</w:t>
      </w:r>
      <w:r>
        <w:t>,</w:t>
      </w:r>
      <w:r w:rsidRPr="000C7736">
        <w:t>” such as “address</w:t>
      </w:r>
      <w:r>
        <w:t>[</w:t>
      </w:r>
      <w:proofErr w:type="spellStart"/>
      <w:r>
        <w:t>ing</w:t>
      </w:r>
      <w:proofErr w:type="spellEnd"/>
      <w:r>
        <w:t>]</w:t>
      </w:r>
      <w:r w:rsidRPr="000C7736">
        <w:t xml:space="preserve"> specific reliability concerns, novel legal issues, or other unique factors.”</w:t>
      </w:r>
      <w:r>
        <w:t xml:space="preserve">  </w:t>
      </w:r>
      <w:r w:rsidRPr="00BE27D5">
        <w:rPr>
          <w:i/>
        </w:rPr>
        <w:t>See</w:t>
      </w:r>
      <w:r w:rsidRPr="00875ECE">
        <w:rPr>
          <w:iCs/>
        </w:rPr>
        <w:t>,</w:t>
      </w:r>
      <w:r>
        <w:rPr>
          <w:i/>
        </w:rPr>
        <w:t xml:space="preserve"> e.g.</w:t>
      </w:r>
      <w:r w:rsidRPr="00875ECE">
        <w:rPr>
          <w:iCs/>
        </w:rPr>
        <w:t xml:space="preserve">, </w:t>
      </w:r>
      <w:r w:rsidRPr="00DE76BB">
        <w:rPr>
          <w:i/>
          <w:iCs/>
        </w:rPr>
        <w:t>Duke Energy Carolinas</w:t>
      </w:r>
      <w:r>
        <w:rPr>
          <w:i/>
          <w:iCs/>
        </w:rPr>
        <w:t>, LLC</w:t>
      </w:r>
      <w:r w:rsidRPr="00BE27D5">
        <w:t>, 193 FERC ¶ 61,237 at P 19</w:t>
      </w:r>
      <w:r>
        <w:t xml:space="preserve"> (2025).  </w:t>
      </w:r>
      <w:r w:rsidRPr="00CF1815">
        <w:rPr>
          <w:i/>
          <w:iCs/>
        </w:rPr>
        <w:t>See also</w:t>
      </w:r>
      <w:r w:rsidRPr="00BE27D5">
        <w:rPr>
          <w:i/>
          <w:iCs/>
        </w:rPr>
        <w:t xml:space="preserve"> </w:t>
      </w:r>
      <w:r w:rsidRPr="00B526D1">
        <w:rPr>
          <w:i/>
          <w:iCs/>
        </w:rPr>
        <w:t>Preventing Undue Discrimination &amp; Preference in Transmission Serv.</w:t>
      </w:r>
      <w:r w:rsidRPr="00B526D1">
        <w:t>, Order No. 890, 118 FERC ¶ 61,119</w:t>
      </w:r>
      <w:r>
        <w:t xml:space="preserve"> </w:t>
      </w:r>
      <w:r w:rsidRPr="00BE27D5">
        <w:t>at PP 870, 884</w:t>
      </w:r>
      <w:r w:rsidRPr="00B526D1">
        <w:t xml:space="preserve">, </w:t>
      </w:r>
      <w:r w:rsidRPr="00B526D1">
        <w:rPr>
          <w:i/>
          <w:iCs/>
        </w:rPr>
        <w:t>order on reh’g</w:t>
      </w:r>
      <w:r w:rsidRPr="00B526D1">
        <w:t xml:space="preserve">, Order No. 890-A, 121 FERC ¶ 61,297 (2007), </w:t>
      </w:r>
      <w:r w:rsidRPr="00B526D1">
        <w:rPr>
          <w:i/>
          <w:iCs/>
        </w:rPr>
        <w:t>order on reh’g</w:t>
      </w:r>
      <w:r w:rsidRPr="00B526D1">
        <w:t>, Order No. 890-B, 123 FERC ¶ 61,299 (2008),</w:t>
      </w:r>
      <w:r w:rsidRPr="00B526D1">
        <w:rPr>
          <w:i/>
        </w:rPr>
        <w:t xml:space="preserve"> order on reh’g</w:t>
      </w:r>
      <w:r w:rsidRPr="00B526D1">
        <w:t xml:space="preserve">, Order No. 890-C, 126 FERC ¶ 61,228, </w:t>
      </w:r>
      <w:r w:rsidRPr="00B526D1">
        <w:rPr>
          <w:i/>
        </w:rPr>
        <w:t>order on clarification</w:t>
      </w:r>
      <w:r w:rsidRPr="00B526D1">
        <w:t>, Order No. 890-D, 129 FERC ¶ 61,126 (2009).</w:t>
      </w:r>
    </w:p>
  </w:footnote>
  <w:footnote w:id="159">
    <w:p w14:paraId="2C9B3BA4" w14:textId="77777777" w:rsidR="00972FF0" w:rsidRDefault="00972FF0">
      <w:pPr>
        <w:pStyle w:val="FootnoteText"/>
      </w:pPr>
      <w:r>
        <w:rPr>
          <w:rStyle w:val="FootnoteReference"/>
        </w:rPr>
        <w:footnoteRef/>
      </w:r>
      <w:r>
        <w:t xml:space="preserve"> </w:t>
      </w:r>
      <w:r w:rsidRPr="001E73F5">
        <w:t>Exec. Off</w:t>
      </w:r>
      <w:proofErr w:type="gramStart"/>
      <w:r w:rsidRPr="001E73F5">
        <w:t xml:space="preserve">. </w:t>
      </w:r>
      <w:proofErr w:type="gramEnd"/>
      <w:r w:rsidRPr="001E73F5">
        <w:t xml:space="preserve">of the President, </w:t>
      </w:r>
      <w:r>
        <w:rPr>
          <w:i/>
        </w:rPr>
        <w:t>Ratepayer Protection Pledge</w:t>
      </w:r>
      <w:r w:rsidRPr="001E73F5">
        <w:t xml:space="preserve"> (</w:t>
      </w:r>
      <w:r>
        <w:t>Mar. 4, 2026</w:t>
      </w:r>
      <w:r w:rsidRPr="001E73F5">
        <w:t xml:space="preserve">), </w:t>
      </w:r>
      <w:r w:rsidRPr="00023AF5">
        <w:t xml:space="preserve">https://www.whitehouse.gov/releases/2026/03/ratepayer-protection-pledge/ </w:t>
      </w:r>
      <w:r>
        <w:t>(“</w:t>
      </w:r>
      <w:r w:rsidRPr="004926D1">
        <w:t>Companies will pay for all new power delivery infrastructure upgrades required to service their data centers, including adequate network upgrade costs to ensure that these expenses are not passed on to the ordinary household.</w:t>
      </w:r>
      <w:r>
        <w:t>”).</w:t>
      </w:r>
    </w:p>
  </w:footnote>
  <w:footnote w:id="160">
    <w:p w14:paraId="5A4BBAFF" w14:textId="77777777" w:rsidR="00972FF0" w:rsidRDefault="00972FF0">
      <w:pPr>
        <w:pStyle w:val="FootnoteText"/>
      </w:pPr>
      <w:r>
        <w:rPr>
          <w:rStyle w:val="FootnoteReference"/>
        </w:rPr>
        <w:footnoteRef/>
      </w:r>
      <w:r>
        <w:t xml:space="preserve"> </w:t>
      </w:r>
      <w:r w:rsidRPr="00515DB9">
        <w:rPr>
          <w:i/>
          <w:iCs/>
        </w:rPr>
        <w:t>See, e.g.</w:t>
      </w:r>
      <w:r>
        <w:t xml:space="preserve">, </w:t>
      </w:r>
      <w:r w:rsidRPr="007C1D33">
        <w:rPr>
          <w:i/>
          <w:iCs/>
        </w:rPr>
        <w:t>PJM Interconnection, L.L.C.</w:t>
      </w:r>
      <w:r w:rsidRPr="007C1D33">
        <w:t>, 195 FERC ¶ 61,211</w:t>
      </w:r>
      <w:r>
        <w:t xml:space="preserve"> (2026) (</w:t>
      </w:r>
      <w:r w:rsidRPr="00B521A1">
        <w:t xml:space="preserve">See, Comm’r, </w:t>
      </w:r>
      <w:r>
        <w:t>concurring</w:t>
      </w:r>
      <w:r w:rsidRPr="00B521A1">
        <w:t xml:space="preserve"> at P</w:t>
      </w:r>
      <w:r>
        <w:t>P 7-8</w:t>
      </w:r>
      <w:r w:rsidRPr="00B521A1">
        <w:t>)</w:t>
      </w:r>
      <w:r>
        <w:t>.</w:t>
      </w:r>
    </w:p>
  </w:footnote>
  <w:footnote w:id="161">
    <w:p w14:paraId="2651C039" w14:textId="77777777" w:rsidR="00972FF0" w:rsidRDefault="00972FF0">
      <w:pPr>
        <w:pStyle w:val="FootnoteText"/>
      </w:pPr>
      <w:r>
        <w:rPr>
          <w:rStyle w:val="FootnoteReference"/>
        </w:rPr>
        <w:footnoteRef/>
      </w:r>
      <w:r>
        <w:t xml:space="preserve"> </w:t>
      </w:r>
      <w:r w:rsidRPr="00515DB9">
        <w:rPr>
          <w:i/>
          <w:iCs/>
        </w:rPr>
        <w:t>See, e.g.</w:t>
      </w:r>
      <w:r>
        <w:t xml:space="preserve">, </w:t>
      </w:r>
      <w:r w:rsidRPr="007C1D33">
        <w:rPr>
          <w:i/>
          <w:iCs/>
        </w:rPr>
        <w:t>PJM Interconnection, L.L.C.</w:t>
      </w:r>
      <w:r w:rsidRPr="007C1D33">
        <w:t>, 195 FERC ¶ 61,211</w:t>
      </w:r>
      <w:r>
        <w:t xml:space="preserve"> at PP 61-62 (2026).</w:t>
      </w:r>
    </w:p>
  </w:footnote>
  <w:footnote w:id="162">
    <w:p w14:paraId="294820A7" w14:textId="77777777" w:rsidR="00972FF0" w:rsidRDefault="00972FF0">
      <w:pPr>
        <w:pStyle w:val="FootnoteText"/>
      </w:pPr>
      <w:r>
        <w:rPr>
          <w:rStyle w:val="FootnoteReference"/>
        </w:rPr>
        <w:footnoteRef/>
      </w:r>
      <w:r>
        <w:t xml:space="preserve"> Specifically, </w:t>
      </w:r>
      <w:r w:rsidRPr="00F56501">
        <w:t>DEC proposes to require that transmission customers serving a new or transferred Network Load of 100 MW or greater to commit to pay at minimum a</w:t>
      </w:r>
      <w:r w:rsidRPr="00F56501" w:rsidDel="00F04823">
        <w:t xml:space="preserve"> </w:t>
      </w:r>
      <w:r w:rsidRPr="00F56501">
        <w:t>Committed Revenue Contribution equal to 75% of the MW value in the load schedule for each applicable month and year during the 15-year period following the in-service date of the Network Upgrades required to accommodate the load.  As the order explains, “if the Actual Revenue Contribution does not equal or exceed the Committed Revenue Contribution for that calendar year, a ‘Customer Shortfall Event’ is deemed to have occurred for that calendar year, and the customer would then have to make a Shortfall Payment to DEC’s transmission revenue requirement for each month and year the customer’s actual NITS falls short of the minimum, equivalent to the difference between the Actual Revenue Contribution and the Committed Revenue Contribution.”</w:t>
      </w:r>
      <w:r>
        <w:t xml:space="preserve">  </w:t>
      </w:r>
      <w:r w:rsidRPr="00B82744">
        <w:rPr>
          <w:i/>
          <w:iCs/>
        </w:rPr>
        <w:t>Duke Energy Carolinas, LLC</w:t>
      </w:r>
      <w:r w:rsidRPr="00B82744">
        <w:t xml:space="preserve">, </w:t>
      </w:r>
      <w:r>
        <w:t xml:space="preserve">197 FERC ¶ 61,020, at P </w:t>
      </w:r>
      <w:r w:rsidRPr="00363B2B">
        <w:t>35</w:t>
      </w:r>
      <w:r>
        <w:t xml:space="preserve"> (2026) (Order).</w:t>
      </w:r>
    </w:p>
  </w:footnote>
  <w:footnote w:id="163">
    <w:p w14:paraId="4F196741" w14:textId="77777777" w:rsidR="00972FF0" w:rsidRDefault="00972FF0">
      <w:pPr>
        <w:pStyle w:val="FootnoteText"/>
      </w:pPr>
      <w:r>
        <w:rPr>
          <w:rStyle w:val="FootnoteReference"/>
        </w:rPr>
        <w:footnoteRef/>
      </w:r>
      <w:r>
        <w:t xml:space="preserve"> </w:t>
      </w:r>
      <w:r w:rsidRPr="00C6616B">
        <w:t xml:space="preserve">These types of obligations are </w:t>
      </w:r>
      <w:r>
        <w:t xml:space="preserve">also </w:t>
      </w:r>
      <w:r w:rsidRPr="00C6616B">
        <w:t xml:space="preserve">a central component of the customer protection framework advanced by the Commission in its </w:t>
      </w:r>
      <w:r>
        <w:t>l</w:t>
      </w:r>
      <w:r w:rsidRPr="00C6616B">
        <w:t>arge</w:t>
      </w:r>
      <w:r>
        <w:t xml:space="preserve"> l</w:t>
      </w:r>
      <w:r w:rsidRPr="00C6616B">
        <w:t xml:space="preserve">oad </w:t>
      </w:r>
      <w:r>
        <w:t>s</w:t>
      </w:r>
      <w:r w:rsidRPr="00C6616B">
        <w:t xml:space="preserve">how </w:t>
      </w:r>
      <w:r>
        <w:t>c</w:t>
      </w:r>
      <w:r w:rsidRPr="00C6616B">
        <w:t xml:space="preserve">ause </w:t>
      </w:r>
      <w:r>
        <w:t>o</w:t>
      </w:r>
      <w:r w:rsidRPr="00C6616B">
        <w:t>rders.</w:t>
      </w:r>
      <w:r>
        <w:t xml:space="preserve">  </w:t>
      </w:r>
      <w:r w:rsidRPr="009E55BE">
        <w:rPr>
          <w:i/>
          <w:iCs/>
        </w:rPr>
        <w:t>PJM Interconnection, L.L.C.</w:t>
      </w:r>
      <w:r w:rsidRPr="009E55BE">
        <w:t xml:space="preserve">, 195 FERC ¶ 61,211, </w:t>
      </w:r>
      <w:r w:rsidRPr="009E55BE">
        <w:rPr>
          <w:i/>
          <w:iCs/>
        </w:rPr>
        <w:t>errata notice</w:t>
      </w:r>
      <w:r w:rsidRPr="009E55BE">
        <w:t>,</w:t>
      </w:r>
      <w:r>
        <w:t xml:space="preserve"> </w:t>
      </w:r>
      <w:r w:rsidRPr="009E55BE">
        <w:t>196 FERC ¶ 61,122 (2026)</w:t>
      </w:r>
      <w:r>
        <w:t xml:space="preserve">; </w:t>
      </w:r>
      <w:r>
        <w:rPr>
          <w:i/>
          <w:iCs/>
        </w:rPr>
        <w:t xml:space="preserve">Midcontinent </w:t>
      </w:r>
      <w:proofErr w:type="spellStart"/>
      <w:r>
        <w:rPr>
          <w:i/>
          <w:iCs/>
        </w:rPr>
        <w:t>Indep</w:t>
      </w:r>
      <w:proofErr w:type="spellEnd"/>
      <w:proofErr w:type="gramStart"/>
      <w:r>
        <w:rPr>
          <w:i/>
          <w:iCs/>
        </w:rPr>
        <w:t xml:space="preserve">. </w:t>
      </w:r>
      <w:proofErr w:type="gramEnd"/>
      <w:r>
        <w:rPr>
          <w:i/>
          <w:iCs/>
        </w:rPr>
        <w:t>Sys</w:t>
      </w:r>
      <w:proofErr w:type="gramStart"/>
      <w:r>
        <w:rPr>
          <w:i/>
          <w:iCs/>
        </w:rPr>
        <w:t xml:space="preserve">. </w:t>
      </w:r>
      <w:proofErr w:type="gramEnd"/>
      <w:r>
        <w:rPr>
          <w:i/>
          <w:iCs/>
        </w:rPr>
        <w:t>Operator, Inc.</w:t>
      </w:r>
      <w:r>
        <w:t xml:space="preserve">, 195 FERC </w:t>
      </w:r>
      <w:r w:rsidRPr="009E55BE">
        <w:t>¶ </w:t>
      </w:r>
      <w:r>
        <w:t xml:space="preserve">61,212 (2026); </w:t>
      </w:r>
      <w:r>
        <w:rPr>
          <w:i/>
          <w:iCs/>
        </w:rPr>
        <w:t>Sw. Pwr. Pool, Inc.</w:t>
      </w:r>
      <w:r>
        <w:t xml:space="preserve">, 195 FERC </w:t>
      </w:r>
      <w:r w:rsidRPr="009E55BE">
        <w:t>¶ </w:t>
      </w:r>
      <w:r>
        <w:t xml:space="preserve">61,213 (2026); </w:t>
      </w:r>
      <w:r>
        <w:rPr>
          <w:i/>
          <w:iCs/>
        </w:rPr>
        <w:t xml:space="preserve">Calif. </w:t>
      </w:r>
      <w:proofErr w:type="spellStart"/>
      <w:r>
        <w:rPr>
          <w:i/>
          <w:iCs/>
        </w:rPr>
        <w:t>Indep</w:t>
      </w:r>
      <w:proofErr w:type="spellEnd"/>
      <w:proofErr w:type="gramStart"/>
      <w:r>
        <w:rPr>
          <w:i/>
          <w:iCs/>
        </w:rPr>
        <w:t xml:space="preserve">. </w:t>
      </w:r>
      <w:proofErr w:type="gramEnd"/>
      <w:r>
        <w:rPr>
          <w:i/>
          <w:iCs/>
        </w:rPr>
        <w:t>Sys</w:t>
      </w:r>
      <w:proofErr w:type="gramStart"/>
      <w:r>
        <w:rPr>
          <w:i/>
          <w:iCs/>
        </w:rPr>
        <w:t xml:space="preserve">. </w:t>
      </w:r>
      <w:proofErr w:type="gramEnd"/>
      <w:r>
        <w:rPr>
          <w:i/>
          <w:iCs/>
        </w:rPr>
        <w:t>Operator Corp.</w:t>
      </w:r>
      <w:r>
        <w:t xml:space="preserve">, 195 FERC 61,214 (2026); </w:t>
      </w:r>
      <w:r>
        <w:rPr>
          <w:i/>
          <w:iCs/>
        </w:rPr>
        <w:t>ISO New England, Inc.</w:t>
      </w:r>
      <w:r>
        <w:t xml:space="preserve">, 195 FERC </w:t>
      </w:r>
      <w:r w:rsidRPr="009E55BE">
        <w:t>¶ </w:t>
      </w:r>
      <w:r>
        <w:t xml:space="preserve">61,215 (2026) (ISO-NE Show Cause Order); </w:t>
      </w:r>
      <w:r>
        <w:rPr>
          <w:i/>
          <w:iCs/>
        </w:rPr>
        <w:t xml:space="preserve">N.Y. </w:t>
      </w:r>
      <w:proofErr w:type="spellStart"/>
      <w:r>
        <w:rPr>
          <w:i/>
          <w:iCs/>
        </w:rPr>
        <w:t>Indep</w:t>
      </w:r>
      <w:proofErr w:type="spellEnd"/>
      <w:proofErr w:type="gramStart"/>
      <w:r>
        <w:rPr>
          <w:i/>
          <w:iCs/>
        </w:rPr>
        <w:t xml:space="preserve">. </w:t>
      </w:r>
      <w:proofErr w:type="gramEnd"/>
      <w:r>
        <w:rPr>
          <w:i/>
          <w:iCs/>
        </w:rPr>
        <w:t>Sys</w:t>
      </w:r>
      <w:proofErr w:type="gramStart"/>
      <w:r>
        <w:rPr>
          <w:i/>
          <w:iCs/>
        </w:rPr>
        <w:t xml:space="preserve">. </w:t>
      </w:r>
      <w:proofErr w:type="gramEnd"/>
      <w:r>
        <w:rPr>
          <w:i/>
          <w:iCs/>
        </w:rPr>
        <w:t>Operator, Inc.</w:t>
      </w:r>
      <w:r>
        <w:t xml:space="preserve">, 195 FERC </w:t>
      </w:r>
      <w:r w:rsidRPr="009E55BE">
        <w:t>¶ </w:t>
      </w:r>
      <w:r>
        <w:t>61,216 (2026)</w:t>
      </w:r>
      <w:r w:rsidRPr="009E55BE">
        <w:t xml:space="preserve"> (</w:t>
      </w:r>
      <w:r>
        <w:t xml:space="preserve">collectively, Large Load </w:t>
      </w:r>
      <w:r w:rsidRPr="009E55BE">
        <w:t>Show Cause Order</w:t>
      </w:r>
      <w:r>
        <w:t>s</w:t>
      </w:r>
      <w:r w:rsidRPr="009E55BE">
        <w:t xml:space="preserve">). </w:t>
      </w:r>
      <w:r>
        <w:t xml:space="preserve"> I will cite to the ISO-NE Show Cause Order for representative citations.  </w:t>
      </w:r>
    </w:p>
  </w:footnote>
  <w:footnote w:id="164">
    <w:p w14:paraId="1C9B187C" w14:textId="77777777" w:rsidR="00972FF0" w:rsidRDefault="00972FF0">
      <w:pPr>
        <w:pStyle w:val="FootnoteText"/>
      </w:pPr>
      <w:r>
        <w:rPr>
          <w:rStyle w:val="FootnoteReference"/>
        </w:rPr>
        <w:footnoteRef/>
      </w:r>
      <w:r>
        <w:t xml:space="preserve"> </w:t>
      </w:r>
      <w:r w:rsidRPr="008B52A8">
        <w:t xml:space="preserve">I have previously noted that the Commission lacks a framework through which it can conduct that assessment.  </w:t>
      </w:r>
      <w:r>
        <w:rPr>
          <w:i/>
          <w:iCs/>
        </w:rPr>
        <w:t>E.g.</w:t>
      </w:r>
      <w:r>
        <w:t xml:space="preserve">, </w:t>
      </w:r>
      <w:r w:rsidRPr="002E3F84">
        <w:rPr>
          <w:i/>
          <w:iCs/>
        </w:rPr>
        <w:t>PECO Energy Co.</w:t>
      </w:r>
      <w:r w:rsidRPr="002E3F84">
        <w:t xml:space="preserve">, 193 FERC ¶ 61,148 (2025) (Comm’r Chang, </w:t>
      </w:r>
      <w:r w:rsidRPr="002E3F84">
        <w:rPr>
          <w:i/>
          <w:iCs/>
        </w:rPr>
        <w:t>concurring</w:t>
      </w:r>
      <w:r w:rsidRPr="002E3F84">
        <w:t>)</w:t>
      </w:r>
      <w:r>
        <w:t xml:space="preserve"> (noting at P 6 “that the Commission will increasingly be asked to review one-off agreements purporting to protect customers against transmission cost shifts, without a substantive framework for assessing the adequacy of those protections”).  </w:t>
      </w:r>
    </w:p>
  </w:footnote>
  <w:footnote w:id="165">
    <w:p w14:paraId="050707CB" w14:textId="77777777" w:rsidR="00972FF0" w:rsidRDefault="00972FF0">
      <w:pPr>
        <w:pStyle w:val="FootnoteText"/>
      </w:pPr>
      <w:r>
        <w:rPr>
          <w:rStyle w:val="FootnoteReference"/>
        </w:rPr>
        <w:footnoteRef/>
      </w:r>
      <w:r>
        <w:t xml:space="preserve"> </w:t>
      </w:r>
      <w:r>
        <w:rPr>
          <w:i/>
          <w:iCs/>
        </w:rPr>
        <w:t>E.g.</w:t>
      </w:r>
      <w:r>
        <w:t>, DEC Transmittal at 31 (“</w:t>
      </w:r>
      <w:r w:rsidRPr="00846802">
        <w:t>As such, the revised Attachment F-2 (pro forma NITSA) contains a comprehensive package of safeguards to protect customers from the impact of changes in service requests, including large load service requests, as well as to minimize the impact on other customer load applicants if the new network load (and its contribution to transmission revenue requirement) does not achieve commercial operation or take the minimum level of service as and where proposed.</w:t>
      </w:r>
      <w:r>
        <w:t xml:space="preserve">”); </w:t>
      </w:r>
      <w:r>
        <w:rPr>
          <w:i/>
          <w:iCs/>
        </w:rPr>
        <w:t>id</w:t>
      </w:r>
      <w:proofErr w:type="gramStart"/>
      <w:r>
        <w:rPr>
          <w:i/>
          <w:iCs/>
        </w:rPr>
        <w:t>.</w:t>
      </w:r>
      <w:r>
        <w:t xml:space="preserve"> </w:t>
      </w:r>
      <w:proofErr w:type="gramEnd"/>
      <w:r>
        <w:t>(“</w:t>
      </w:r>
      <w:r w:rsidRPr="00CB70D8">
        <w:t xml:space="preserve">Together, these protections reflect a Transmission Customer’s commitment to its own project and guards against shifting costs and risks to other customers, as well as minimizes the risk that the presence of oversized or unrealistic applications unreasonably </w:t>
      </w:r>
      <w:proofErr w:type="gramStart"/>
      <w:r w:rsidRPr="00CB70D8">
        <w:t>harm</w:t>
      </w:r>
      <w:proofErr w:type="gramEnd"/>
      <w:r w:rsidRPr="00CB70D8">
        <w:t xml:space="preserve"> other applicants for network service.</w:t>
      </w:r>
      <w:r>
        <w:t>”).</w:t>
      </w:r>
    </w:p>
  </w:footnote>
  <w:footnote w:id="166">
    <w:p w14:paraId="79C2B9CE" w14:textId="77777777" w:rsidR="00972FF0" w:rsidRDefault="00972FF0" w:rsidP="009A50E6">
      <w:pPr>
        <w:pStyle w:val="FootnoteText"/>
      </w:pPr>
      <w:r>
        <w:rPr>
          <w:rStyle w:val="FootnoteReference"/>
        </w:rPr>
        <w:footnoteRef/>
      </w:r>
      <w:r>
        <w:t xml:space="preserve"> </w:t>
      </w:r>
      <w:r>
        <w:rPr>
          <w:i/>
          <w:iCs/>
        </w:rPr>
        <w:t>E.g.</w:t>
      </w:r>
      <w:r>
        <w:t>,</w:t>
      </w:r>
      <w:r>
        <w:rPr>
          <w:i/>
          <w:iCs/>
        </w:rPr>
        <w:t xml:space="preserve"> id</w:t>
      </w:r>
      <w:proofErr w:type="gramStart"/>
      <w:r>
        <w:rPr>
          <w:i/>
          <w:iCs/>
        </w:rPr>
        <w:t xml:space="preserve">. </w:t>
      </w:r>
      <w:proofErr w:type="gramEnd"/>
      <w:r w:rsidRPr="00823BAC">
        <w:t xml:space="preserve">at </w:t>
      </w:r>
      <w:r>
        <w:t>23 (“The 100 MW threshold is intended to distinguish large loads that present a higher risk of shifting costs to other customers if the load does not materialize.”)</w:t>
      </w:r>
    </w:p>
  </w:footnote>
  <w:footnote w:id="167">
    <w:p w14:paraId="3E5F037B" w14:textId="77777777" w:rsidR="00972FF0" w:rsidRDefault="00972FF0">
      <w:pPr>
        <w:pStyle w:val="FootnoteText"/>
      </w:pPr>
      <w:r>
        <w:rPr>
          <w:rStyle w:val="FootnoteReference"/>
        </w:rPr>
        <w:footnoteRef/>
      </w:r>
      <w:r>
        <w:t xml:space="preserve"> Proposed section 6.4 of the </w:t>
      </w:r>
      <w:r>
        <w:rPr>
          <w:i/>
          <w:iCs/>
        </w:rPr>
        <w:t>pro forma</w:t>
      </w:r>
      <w:r>
        <w:t xml:space="preserve"> NITSA incorporates language already existing in Section 32.4 of DEC’s Joint OATT and </w:t>
      </w:r>
      <w:r w:rsidRPr="00127BCF">
        <w:t>requir</w:t>
      </w:r>
      <w:r>
        <w:t>es</w:t>
      </w:r>
      <w:r w:rsidRPr="00127BCF">
        <w:t xml:space="preserve"> </w:t>
      </w:r>
      <w:r>
        <w:t>Transmission Customers</w:t>
      </w:r>
      <w:r w:rsidRPr="00127BCF">
        <w:t xml:space="preserve"> to provide </w:t>
      </w:r>
      <w:r>
        <w:t>DEC</w:t>
      </w:r>
      <w:r w:rsidRPr="00127BCF">
        <w:t xml:space="preserve"> with security in situations in which new facilities or network upgrades are necessary to accommodate a change in service requests.</w:t>
      </w:r>
      <w:r>
        <w:t xml:space="preserve">  Section 6.6.3 specifies that DEC shall </w:t>
      </w:r>
      <w:r w:rsidRPr="00127BCF">
        <w:t>release the security provided by Transmission</w:t>
      </w:r>
      <w:r>
        <w:t xml:space="preserve"> </w:t>
      </w:r>
      <w:r w:rsidRPr="00127BCF">
        <w:t>Customer within 90 days following the in</w:t>
      </w:r>
      <w:r>
        <w:t>-</w:t>
      </w:r>
      <w:r w:rsidRPr="00127BCF">
        <w:t>service date of the Network Upgrades</w:t>
      </w:r>
      <w:r>
        <w:t xml:space="preserve">.  DEC can require additional limited security </w:t>
      </w:r>
      <w:proofErr w:type="gramStart"/>
      <w:r>
        <w:t>in the event that</w:t>
      </w:r>
      <w:proofErr w:type="gramEnd"/>
      <w:r>
        <w:t xml:space="preserve"> it concludes a Transmission Customer does not meet its creditworthiness requirements.  </w:t>
      </w:r>
      <w:r>
        <w:rPr>
          <w:i/>
          <w:iCs/>
        </w:rPr>
        <w:t>See</w:t>
      </w:r>
      <w:r>
        <w:t xml:space="preserve"> DEC Joint OATT, Attachment O, sections 1.2, 1.3, &amp; 1.4. </w:t>
      </w:r>
    </w:p>
  </w:footnote>
  <w:footnote w:id="168">
    <w:p w14:paraId="5E155209" w14:textId="77777777" w:rsidR="00972FF0" w:rsidRPr="00395846" w:rsidRDefault="00972FF0" w:rsidP="000257EA">
      <w:pPr>
        <w:pStyle w:val="FootnoteText"/>
      </w:pPr>
      <w:r>
        <w:rPr>
          <w:rStyle w:val="FootnoteReference"/>
        </w:rPr>
        <w:footnoteRef/>
      </w:r>
      <w:r>
        <w:t xml:space="preserve"> Notably, just this week DEC </w:t>
      </w:r>
      <w:proofErr w:type="gramStart"/>
      <w:r>
        <w:t>entered into</w:t>
      </w:r>
      <w:proofErr w:type="gramEnd"/>
      <w:r>
        <w:t xml:space="preserve"> a settlement governing retail rates, terms, and conditions of service for large loads that includes more robust security requirements for Network Upgrade costs that span the contract term of 10-15 years.  These security obligations, which are directly tied to the cost of the Network Upgrades, extend beyond the construction phase for Network Upgrades and thus appear to meaningfully exceed those required of Transmission Customers serving large loads under DEC’s proposal.  DEC, Joint Reply Comments in Support of Large Load Tariff Settlement, </w:t>
      </w:r>
      <w:r>
        <w:rPr>
          <w:i/>
          <w:iCs/>
        </w:rPr>
        <w:t>In the Matter of:  Application of Duke Energy Carolinas, LLC for Adjustment of Rates and Charges, Applicable to Elec. Svc</w:t>
      </w:r>
      <w:proofErr w:type="gramStart"/>
      <w:r>
        <w:rPr>
          <w:i/>
          <w:iCs/>
        </w:rPr>
        <w:t xml:space="preserve">. </w:t>
      </w:r>
      <w:proofErr w:type="gramEnd"/>
      <w:r>
        <w:rPr>
          <w:i/>
          <w:iCs/>
        </w:rPr>
        <w:t>in N.C. and Performance-Based Regulation</w:t>
      </w:r>
      <w:r>
        <w:t>, Docket No. E-7, Sub 1329, at 10-11 (filed Oct. 6, 2026) (discussing the security requirements included in the proposed settlement).</w:t>
      </w:r>
    </w:p>
  </w:footnote>
  <w:footnote w:id="169">
    <w:p w14:paraId="72F900A1" w14:textId="77777777" w:rsidR="00972FF0" w:rsidRDefault="00972FF0">
      <w:pPr>
        <w:pStyle w:val="FootnoteText"/>
      </w:pPr>
      <w:r>
        <w:rPr>
          <w:rStyle w:val="FootnoteReference"/>
        </w:rPr>
        <w:footnoteRef/>
      </w:r>
      <w:r>
        <w:t xml:space="preserve"> For example, in the Large Load Show Cause Orders, the Commission proposed to require cost recovery agreements between Eligible Customers that serve large loads and transmission owners, to help protect against cost shifting from large loads to other transmission customers.  </w:t>
      </w:r>
      <w:r>
        <w:rPr>
          <w:i/>
          <w:iCs/>
        </w:rPr>
        <w:t>E.g.</w:t>
      </w:r>
      <w:r>
        <w:t>,</w:t>
      </w:r>
      <w:r>
        <w:rPr>
          <w:i/>
          <w:iCs/>
        </w:rPr>
        <w:t xml:space="preserve"> </w:t>
      </w:r>
      <w:r>
        <w:t xml:space="preserve">ISO-NE Show Cause Order, </w:t>
      </w:r>
      <w:r w:rsidRPr="007A22F3">
        <w:t>195 FERC ¶ 61,215</w:t>
      </w:r>
      <w:r>
        <w:t xml:space="preserve"> at PP 74-81.  DEC’s Committed Revenue Contribution construct is aimed at the same purpose and is functionally similar in many respects to the model proposed by the Commission in those orders.  However, the Commission also preliminarily found that “the cost recovery agreement should include a credit support (or other financial security requirement) sufficient to secure the obligations of the Eligible Customer taking transmission service on behalf of a large load to pay the amounts owed pursuant to the cost recovery agreement,” and noted that credit support posted as part of a retail agreement could be satisfactory.  </w:t>
      </w:r>
      <w:r>
        <w:rPr>
          <w:i/>
          <w:iCs/>
        </w:rPr>
        <w:t>E.g.</w:t>
      </w:r>
      <w:r>
        <w:t xml:space="preserve">, </w:t>
      </w:r>
      <w:r>
        <w:rPr>
          <w:i/>
          <w:iCs/>
        </w:rPr>
        <w:t>id</w:t>
      </w:r>
      <w:proofErr w:type="gramStart"/>
      <w:r>
        <w:rPr>
          <w:i/>
          <w:iCs/>
        </w:rPr>
        <w:t>.</w:t>
      </w:r>
      <w:r>
        <w:t xml:space="preserve"> </w:t>
      </w:r>
      <w:proofErr w:type="gramEnd"/>
      <w:r>
        <w:t xml:space="preserve">P 80.  The Commission thus specifically and intentionally paired “a specified minimum financial contribution </w:t>
      </w:r>
      <w:r>
        <w:rPr>
          <w:i/>
          <w:iCs/>
        </w:rPr>
        <w:t>and financial security sufficient to secure such contribution</w:t>
      </w:r>
      <w:r>
        <w:t>” as “</w:t>
      </w:r>
      <w:r>
        <w:rPr>
          <w:i/>
          <w:iCs/>
        </w:rPr>
        <w:t>necessary</w:t>
      </w:r>
      <w:r>
        <w:t xml:space="preserve"> to mitigate cost shifting if the Eligible Customer ultimately takes less transmission service than anticipated….”  </w:t>
      </w:r>
      <w:r>
        <w:rPr>
          <w:i/>
          <w:iCs/>
        </w:rPr>
        <w:t>Id.</w:t>
      </w:r>
      <w:r>
        <w:t xml:space="preserve"> (emphasis added).   </w:t>
      </w:r>
    </w:p>
  </w:footnote>
  <w:footnote w:id="170">
    <w:p w14:paraId="559A06C4" w14:textId="77777777" w:rsidR="00972FF0" w:rsidRPr="00CD0177" w:rsidRDefault="00972FF0" w:rsidP="006030AB">
      <w:pPr>
        <w:pStyle w:val="FootnoteText"/>
      </w:pPr>
      <w:r>
        <w:rPr>
          <w:rStyle w:val="FootnoteReference"/>
        </w:rPr>
        <w:footnoteRef/>
      </w:r>
      <w:r>
        <w:t xml:space="preserve"> </w:t>
      </w:r>
      <w:r>
        <w:rPr>
          <w:i/>
          <w:iCs/>
        </w:rPr>
        <w:t>See, e.g.</w:t>
      </w:r>
      <w:r>
        <w:t xml:space="preserve">, </w:t>
      </w:r>
      <w:r>
        <w:rPr>
          <w:i/>
          <w:iCs/>
        </w:rPr>
        <w:t>Commonwealth Edison Co.</w:t>
      </w:r>
      <w:r>
        <w:t xml:space="preserve">, 194 FERC </w:t>
      </w:r>
      <w:r w:rsidRPr="007A22F3">
        <w:t>¶</w:t>
      </w:r>
      <w:r>
        <w:t xml:space="preserve"> 61,184, at P 36 (2026); </w:t>
      </w:r>
      <w:r>
        <w:rPr>
          <w:i/>
          <w:iCs/>
        </w:rPr>
        <w:t>id</w:t>
      </w:r>
      <w:proofErr w:type="gramStart"/>
      <w:r>
        <w:rPr>
          <w:i/>
          <w:iCs/>
        </w:rPr>
        <w:t xml:space="preserve">. </w:t>
      </w:r>
      <w:proofErr w:type="gramEnd"/>
      <w:r>
        <w:t xml:space="preserve">(Comm’r Chang, </w:t>
      </w:r>
      <w:r>
        <w:rPr>
          <w:i/>
          <w:iCs/>
        </w:rPr>
        <w:t>concurring</w:t>
      </w:r>
      <w:r>
        <w:t xml:space="preserve"> at P 1).  </w:t>
      </w:r>
    </w:p>
  </w:footnote>
  <w:footnote w:id="171">
    <w:p w14:paraId="110264CC" w14:textId="77777777" w:rsidR="00972FF0" w:rsidRPr="00CE426E" w:rsidRDefault="00972FF0">
      <w:pPr>
        <w:pStyle w:val="FootnoteText"/>
      </w:pPr>
      <w:r>
        <w:rPr>
          <w:rStyle w:val="FootnoteReference"/>
        </w:rPr>
        <w:footnoteRef/>
      </w:r>
      <w:r>
        <w:t xml:space="preserve"> </w:t>
      </w:r>
      <w:r>
        <w:rPr>
          <w:i/>
          <w:iCs/>
        </w:rPr>
        <w:t>E.g.</w:t>
      </w:r>
      <w:r>
        <w:t>,</w:t>
      </w:r>
      <w:r>
        <w:rPr>
          <w:i/>
          <w:iCs/>
        </w:rPr>
        <w:t xml:space="preserve"> </w:t>
      </w:r>
      <w:r>
        <w:t xml:space="preserve">ISO-NE Show Cause Order, </w:t>
      </w:r>
      <w:r w:rsidRPr="007A22F3">
        <w:t>195 FERC ¶ 61,215</w:t>
      </w:r>
      <w:r>
        <w:t xml:space="preserve"> at PP 74-81.  T</w:t>
      </w:r>
      <w:r w:rsidRPr="00F0361F">
        <w:t>he Commission also preliminarily found that those agreements “are necessary to help ensure that the Eligible Customer is responsible for timely paying the costs of large load-driven transmission (i.e., the costs required to provide them with the requested transmission service, including the cost of any needed network upgrades)….”</w:t>
      </w:r>
      <w:r>
        <w:t xml:space="preserve">  </w:t>
      </w:r>
      <w:r>
        <w:rPr>
          <w:i/>
          <w:iCs/>
        </w:rPr>
        <w:t>Id.</w:t>
      </w:r>
      <w:r>
        <w:t xml:space="preserve"> P 77.</w:t>
      </w:r>
    </w:p>
  </w:footnote>
  <w:footnote w:id="172">
    <w:p w14:paraId="23E1A68D" w14:textId="77777777" w:rsidR="00972FF0" w:rsidRDefault="00972FF0">
      <w:pPr>
        <w:pStyle w:val="FootnoteText"/>
      </w:pPr>
      <w:r>
        <w:rPr>
          <w:rStyle w:val="FootnoteReference"/>
        </w:rPr>
        <w:footnoteRef/>
      </w:r>
      <w:r>
        <w:t xml:space="preserve"> </w:t>
      </w:r>
      <w:r>
        <w:rPr>
          <w:i/>
          <w:iCs/>
        </w:rPr>
        <w:t>E.g.</w:t>
      </w:r>
      <w:r>
        <w:t xml:space="preserve">, </w:t>
      </w:r>
      <w:r>
        <w:rPr>
          <w:i/>
          <w:iCs/>
        </w:rPr>
        <w:t>id</w:t>
      </w:r>
      <w:proofErr w:type="gramStart"/>
      <w:r>
        <w:rPr>
          <w:i/>
          <w:iCs/>
        </w:rPr>
        <w:t>.</w:t>
      </w:r>
      <w:r>
        <w:t xml:space="preserve"> </w:t>
      </w:r>
      <w:proofErr w:type="gramEnd"/>
      <w:r>
        <w:t xml:space="preserve">(Comm’r Chang, </w:t>
      </w:r>
      <w:r>
        <w:rPr>
          <w:i/>
          <w:iCs/>
        </w:rPr>
        <w:t>concurring</w:t>
      </w:r>
      <w:r>
        <w:t xml:space="preserve"> at P 8).</w:t>
      </w:r>
    </w:p>
  </w:footnote>
  <w:footnote w:id="173">
    <w:p w14:paraId="22BF2ACB" w14:textId="77777777" w:rsidR="00972FF0" w:rsidRDefault="00972FF0" w:rsidP="000D27AA">
      <w:pPr>
        <w:pStyle w:val="FootnoteText"/>
      </w:pPr>
      <w:r>
        <w:rPr>
          <w:rStyle w:val="FootnoteReference"/>
        </w:rPr>
        <w:footnoteRef/>
      </w:r>
      <w:r>
        <w:t xml:space="preserve"> </w:t>
      </w:r>
      <w:r w:rsidRPr="00B26DF8">
        <w:t>Order at</w:t>
      </w:r>
      <w:r>
        <w:t xml:space="preserve"> P</w:t>
      </w:r>
      <w:r w:rsidRPr="00B26DF8">
        <w:t xml:space="preserve"> </w:t>
      </w:r>
      <w:r>
        <w:t>30</w:t>
      </w:r>
      <w:r w:rsidRPr="00B26DF8">
        <w:t>.</w:t>
      </w:r>
    </w:p>
  </w:footnote>
  <w:footnote w:id="174">
    <w:p w14:paraId="1AD970BC" w14:textId="77777777" w:rsidR="00972FF0" w:rsidRDefault="00972FF0">
      <w:pPr>
        <w:pStyle w:val="FootnoteText"/>
      </w:pPr>
      <w:r>
        <w:rPr>
          <w:rStyle w:val="FootnoteReference"/>
        </w:rPr>
        <w:footnoteRef/>
      </w:r>
      <w:r>
        <w:t xml:space="preserve"> </w:t>
      </w:r>
      <w:r w:rsidRPr="004A17DF">
        <w:t xml:space="preserve">DEC’s parent company, Duke Energy, signed the White House Ratepayer Protection Pledge, which DEC discusses at length in its transmittal letter.  That pledge requires companies to pay “for </w:t>
      </w:r>
      <w:r>
        <w:t>n</w:t>
      </w:r>
      <w:r w:rsidRPr="004A17DF">
        <w:t xml:space="preserve">ew </w:t>
      </w:r>
      <w:r>
        <w:t>p</w:t>
      </w:r>
      <w:r w:rsidRPr="004A17DF">
        <w:t xml:space="preserve">ower </w:t>
      </w:r>
      <w:r>
        <w:t>d</w:t>
      </w:r>
      <w:r w:rsidRPr="004A17DF">
        <w:t xml:space="preserve">elivery </w:t>
      </w:r>
      <w:r>
        <w:t>i</w:t>
      </w:r>
      <w:r w:rsidRPr="004A17DF">
        <w:t>nfrastructure” and pay “</w:t>
      </w:r>
      <w:r>
        <w:t>w</w:t>
      </w:r>
      <w:r w:rsidRPr="004A17DF">
        <w:t xml:space="preserve">hether </w:t>
      </w:r>
      <w:r>
        <w:t>t</w:t>
      </w:r>
      <w:r w:rsidRPr="004A17DF">
        <w:t xml:space="preserve">hey </w:t>
      </w:r>
      <w:r>
        <w:t>u</w:t>
      </w:r>
      <w:r w:rsidRPr="004A17DF">
        <w:t xml:space="preserve">se </w:t>
      </w:r>
      <w:r>
        <w:t>p</w:t>
      </w:r>
      <w:r w:rsidRPr="004A17DF">
        <w:t xml:space="preserve">ower or </w:t>
      </w:r>
      <w:r>
        <w:t>n</w:t>
      </w:r>
      <w:r w:rsidRPr="004A17DF">
        <w:t>ot.”</w:t>
      </w:r>
      <w:r>
        <w:t xml:space="preserve">  </w:t>
      </w:r>
      <w:r>
        <w:rPr>
          <w:i/>
          <w:iCs/>
        </w:rPr>
        <w:t xml:space="preserve">See </w:t>
      </w:r>
      <w:r w:rsidRPr="00363B2B">
        <w:t>Exec. Off</w:t>
      </w:r>
      <w:proofErr w:type="gramStart"/>
      <w:r w:rsidRPr="00363B2B">
        <w:t xml:space="preserve">. </w:t>
      </w:r>
      <w:proofErr w:type="gramEnd"/>
      <w:r w:rsidRPr="00363B2B">
        <w:t>of the President, Ratepayer Protection Pledge (Mar. 4, 2026)</w:t>
      </w:r>
      <w:r w:rsidRPr="0076496D">
        <w:rPr>
          <w:i/>
          <w:iCs/>
        </w:rPr>
        <w:t xml:space="preserve">, </w:t>
      </w:r>
      <w:r w:rsidRPr="00972FF0">
        <w:t>https://www.whitehouse.gov/ratepayer-protection-pledge/</w:t>
      </w:r>
      <w:r>
        <w:t xml:space="preserve">.  </w:t>
      </w:r>
      <w:r w:rsidRPr="004A17DF">
        <w:t xml:space="preserve">DEC’s revised NITSA provisions </w:t>
      </w:r>
      <w:r>
        <w:t>arguably</w:t>
      </w:r>
      <w:r w:rsidRPr="004A17DF">
        <w:t xml:space="preserve"> accomplish the latter but do not address the former, and thus it is unclear whether DEC’s proposal </w:t>
      </w:r>
      <w:proofErr w:type="gramStart"/>
      <w:r w:rsidRPr="004A17DF">
        <w:t>actually meets</w:t>
      </w:r>
      <w:proofErr w:type="gramEnd"/>
      <w:r w:rsidRPr="004A17DF">
        <w:t xml:space="preserve"> its parent’s commitments under that pledge.</w:t>
      </w:r>
    </w:p>
  </w:footnote>
  <w:footnote w:id="175">
    <w:p w14:paraId="22C69E9C" w14:textId="77777777" w:rsidR="00972FF0" w:rsidRDefault="00972FF0" w:rsidP="006979E1">
      <w:pPr>
        <w:pStyle w:val="FootnoteText"/>
      </w:pPr>
      <w:r>
        <w:rPr>
          <w:rStyle w:val="FootnoteReference"/>
        </w:rPr>
        <w:footnoteRef/>
      </w:r>
      <w:r>
        <w:t xml:space="preserve"> </w:t>
      </w:r>
      <w:r>
        <w:rPr>
          <w:i/>
          <w:iCs/>
        </w:rPr>
        <w:t>E.g.</w:t>
      </w:r>
      <w:r>
        <w:t>,</w:t>
      </w:r>
      <w:r>
        <w:rPr>
          <w:i/>
        </w:rPr>
        <w:t xml:space="preserve"> </w:t>
      </w:r>
      <w:r w:rsidRPr="002E3F84">
        <w:rPr>
          <w:i/>
          <w:iCs/>
        </w:rPr>
        <w:t>PECO Energy Co.</w:t>
      </w:r>
      <w:r w:rsidRPr="002E3F84">
        <w:t xml:space="preserve">, 193 FERC ¶ 61,148 (2025) (Comm’r Chang, </w:t>
      </w:r>
      <w:r w:rsidRPr="002E3F84">
        <w:rPr>
          <w:i/>
          <w:iCs/>
        </w:rPr>
        <w:t>concurring</w:t>
      </w:r>
      <w:r w:rsidRPr="002E3F84">
        <w:t>)</w:t>
      </w:r>
      <w:r>
        <w:t xml:space="preserve">; ISO-NE Show Cause Order, </w:t>
      </w:r>
      <w:r w:rsidRPr="007A22F3">
        <w:t>195 FERC ¶ 61,215</w:t>
      </w:r>
      <w:r>
        <w:t xml:space="preserve"> (</w:t>
      </w:r>
      <w:r w:rsidRPr="002E3F84">
        <w:t xml:space="preserve">Comm’r Chang, </w:t>
      </w:r>
      <w:r w:rsidRPr="002E3F84">
        <w:rPr>
          <w:i/>
          <w:iCs/>
        </w:rPr>
        <w:t>concurring</w:t>
      </w:r>
      <w:r>
        <w:t xml:space="preserve"> at P 8)</w:t>
      </w:r>
      <w:r w:rsidRPr="002E3F84">
        <w:t>.</w:t>
      </w:r>
    </w:p>
  </w:footnote>
  <w:footnote w:id="176">
    <w:p w14:paraId="38BF96FF" w14:textId="77777777" w:rsidR="00972FF0" w:rsidRDefault="00972FF0" w:rsidP="005F7444">
      <w:pPr>
        <w:ind w:firstLine="720"/>
      </w:pPr>
      <w:r>
        <w:rPr>
          <w:rStyle w:val="FootnoteReference"/>
        </w:rPr>
        <w:footnoteRef/>
      </w:r>
      <w:r>
        <w:t xml:space="preserve"> </w:t>
      </w:r>
      <w:r>
        <w:rPr>
          <w:i/>
          <w:iCs/>
        </w:rPr>
        <w:t>E.g.</w:t>
      </w:r>
      <w:r>
        <w:t xml:space="preserve">, ISO-NE Show Cause Order, </w:t>
      </w:r>
      <w:r w:rsidRPr="007A22F3">
        <w:t>195 FERC ¶ 61,215</w:t>
      </w:r>
      <w:r>
        <w:t xml:space="preserve"> at PP 69-74.  The Commission</w:t>
      </w:r>
      <w:r w:rsidRPr="00933985">
        <w:t xml:space="preserve"> specifically found that tariffs may not be just and reasonable unless they feature an online database in an easily accessible format that provides information related to transmission service requested by Eligible Customers on behalf of large loads.  </w:t>
      </w:r>
      <w:r>
        <w:rPr>
          <w:i/>
          <w:iCs/>
        </w:rPr>
        <w:t xml:space="preserve"> </w:t>
      </w:r>
      <w:r w:rsidRPr="000971B7">
        <w:rPr>
          <w:i/>
          <w:iCs/>
        </w:rPr>
        <w:t xml:space="preserve"> </w:t>
      </w:r>
      <w:r w:rsidRPr="000971B7">
        <w:t xml:space="preserve"> </w:t>
      </w:r>
    </w:p>
    <w:p w14:paraId="291083B0" w14:textId="77777777" w:rsidR="00972FF0" w:rsidRDefault="00972FF0" w:rsidP="005F7444">
      <w:pPr>
        <w:ind w:firstLine="720"/>
      </w:pPr>
    </w:p>
  </w:footnote>
  <w:footnote w:id="177">
    <w:p w14:paraId="7998C29D" w14:textId="77777777" w:rsidR="00972FF0" w:rsidRDefault="00972FF0" w:rsidP="005F7444">
      <w:pPr>
        <w:pStyle w:val="FootnoteText"/>
      </w:pPr>
      <w:r>
        <w:rPr>
          <w:rStyle w:val="FootnoteReference"/>
        </w:rPr>
        <w:footnoteRef/>
      </w:r>
      <w:r>
        <w:t xml:space="preserve"> Order at P 32.</w:t>
      </w:r>
    </w:p>
  </w:footnote>
  <w:footnote w:id="178">
    <w:p w14:paraId="746EEC68" w14:textId="77777777" w:rsidR="00972FF0" w:rsidRDefault="00972FF0" w:rsidP="00972FF0">
      <w:pPr>
        <w:pStyle w:val="FootnoteText"/>
        <w:widowControl/>
      </w:pPr>
      <w:r>
        <w:rPr>
          <w:rStyle w:val="FootnoteReference"/>
        </w:rPr>
        <w:footnoteRef/>
      </w:r>
      <w:r>
        <w:t xml:space="preserve"> </w:t>
      </w:r>
      <w:r w:rsidRPr="00F70BAE">
        <w:t xml:space="preserve">DEC features a historic formula rate, meaning that its rates are based on the plant in service and expenses from prior years.  Thus, DEC’s transmission formula rate annual informational filings describe costs for projects that are already in service and therefore only provide a look-back at projects that have been completed.  </w:t>
      </w:r>
    </w:p>
  </w:footnote>
  <w:footnote w:id="179">
    <w:p w14:paraId="5E7036DC" w14:textId="77777777" w:rsidR="00972FF0" w:rsidRDefault="00972FF0">
      <w:pPr>
        <w:pStyle w:val="FootnoteText"/>
      </w:pPr>
      <w:r>
        <w:rPr>
          <w:rStyle w:val="FootnoteReference"/>
        </w:rPr>
        <w:footnoteRef/>
      </w:r>
      <w:r>
        <w:t xml:space="preserve"> </w:t>
      </w:r>
      <w:r>
        <w:rPr>
          <w:i/>
          <w:iCs/>
        </w:rPr>
        <w:t>E.g.</w:t>
      </w:r>
      <w:r>
        <w:t xml:space="preserve">, ISO-NE Show Cause Order, </w:t>
      </w:r>
      <w:r w:rsidRPr="007A22F3">
        <w:t>195 FERC ¶ 61,215</w:t>
      </w:r>
      <w:r>
        <w:t xml:space="preserve"> at P 35 (encouraging the submission of FPA section 205 filings to address issues identified in the Large Load Show Cause Orders).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6096" w14:textId="77777777" w:rsidR="00653D8D" w:rsidRDefault="00ED139B"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603FDB6F" wp14:editId="38E0425F">
              <wp:simplePos x="635" y="635"/>
              <wp:positionH relativeFrom="page">
                <wp:align>center</wp:align>
              </wp:positionH>
              <wp:positionV relativeFrom="page">
                <wp:align>top</wp:align>
              </wp:positionV>
              <wp:extent cx="284480" cy="380365"/>
              <wp:effectExtent l="0" t="0" r="1270" b="635"/>
              <wp:wrapNone/>
              <wp:docPr id="995944111"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157CB604" w14:textId="77777777" w:rsidR="00ED139B" w:rsidRPr="00ED139B" w:rsidRDefault="00ED139B" w:rsidP="00ED139B">
                          <w:pPr>
                            <w:rPr>
                              <w:rFonts w:eastAsia="Times New Roman"/>
                              <w:noProof/>
                              <w:color w:val="FF0000"/>
                              <w:szCs w:val="26"/>
                            </w:rPr>
                          </w:pPr>
                          <w:r w:rsidRPr="00ED139B">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3FDB6F" id="_x0000_t202" coordsize="21600,21600" o:spt="202" path="m,l,21600r21600,l21600,xe">
              <v:stroke joinstyle="miter"/>
              <v:path gradientshapeok="t" o:connecttype="rect"/>
            </v:shapetype>
            <v:shape id="Text Box 2" o:spid="_x0000_s1026" type="#_x0000_t202" alt="CUI" style="position:absolute;margin-left:0;margin-top:0;width:22.4pt;height:29.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157CB604" w14:textId="77777777" w:rsidR="00ED139B" w:rsidRPr="00ED139B" w:rsidRDefault="00ED139B" w:rsidP="00ED139B">
                    <w:pPr>
                      <w:rPr>
                        <w:rFonts w:eastAsia="Times New Roman"/>
                        <w:noProof/>
                        <w:color w:val="FF0000"/>
                        <w:szCs w:val="26"/>
                      </w:rPr>
                    </w:pPr>
                    <w:r w:rsidRPr="00ED139B">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6CAE38D3"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3633" w14:textId="77777777" w:rsidR="00653D8D" w:rsidRDefault="00ED139B" w:rsidP="00704918">
    <w:pPr>
      <w:pStyle w:val="Header"/>
      <w:tabs>
        <w:tab w:val="clear" w:pos="4680"/>
      </w:tabs>
      <w:spacing w:after="240"/>
    </w:pPr>
    <w:r>
      <w:rPr>
        <w:noProof/>
      </w:rPr>
      <mc:AlternateContent>
        <mc:Choice Requires="wps">
          <w:drawing>
            <wp:anchor distT="0" distB="0" distL="0" distR="0" simplePos="0" relativeHeight="251658242" behindDoc="0" locked="0" layoutInCell="1" allowOverlap="1" wp14:anchorId="1B50C416" wp14:editId="769D4440">
              <wp:simplePos x="635" y="635"/>
              <wp:positionH relativeFrom="page">
                <wp:align>center</wp:align>
              </wp:positionH>
              <wp:positionV relativeFrom="page">
                <wp:align>top</wp:align>
              </wp:positionV>
              <wp:extent cx="284480" cy="380365"/>
              <wp:effectExtent l="0" t="0" r="1270" b="635"/>
              <wp:wrapNone/>
              <wp:docPr id="604142837"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22DB268B" w14:textId="77777777" w:rsidR="00ED139B" w:rsidRPr="00ED139B" w:rsidRDefault="00ED139B" w:rsidP="00ED139B">
                          <w:pPr>
                            <w:rPr>
                              <w:rFonts w:eastAsia="Times New Roman"/>
                              <w:noProof/>
                              <w:color w:val="FF0000"/>
                              <w:szCs w:val="26"/>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50C416" id="_x0000_t202" coordsize="21600,21600" o:spt="202" path="m,l,21600r21600,l21600,xe">
              <v:stroke joinstyle="miter"/>
              <v:path gradientshapeok="t" o:connecttype="rect"/>
            </v:shapetype>
            <v:shape id="Text Box 3" o:spid="_x0000_s1027" type="#_x0000_t202" alt="CUI" style="position:absolute;margin-left:0;margin-top:0;width:22.4pt;height:29.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" filled="f" stroked="f">
              <v:textbox style="mso-fit-shape-to-text:t" inset="0,15pt,0,0">
                <w:txbxContent>
                  <w:p w14:paraId="22DB268B" w14:textId="77777777" w:rsidR="00ED139B" w:rsidRPr="00ED139B" w:rsidRDefault="00ED139B" w:rsidP="00ED139B">
                    <w:pPr>
                      <w:rPr>
                        <w:rFonts w:eastAsia="Times New Roman"/>
                        <w:noProof/>
                        <w:color w:val="FF0000"/>
                        <w:szCs w:val="26"/>
                      </w:rPr>
                    </w:pPr>
                  </w:p>
                </w:txbxContent>
              </v:textbox>
              <w10:wrap anchorx="page" anchory="page"/>
            </v:shape>
          </w:pict>
        </mc:Fallback>
      </mc:AlternateContent>
    </w:r>
    <w:r w:rsidR="00704918" w:rsidRPr="00E336BF">
      <w:rPr>
        <w:lang w:val="nl-NL"/>
      </w:rPr>
      <w:t>Docket No</w:t>
    </w:r>
    <w:r w:rsidR="007D0241">
      <w:rPr>
        <w:lang w:val="nl-NL"/>
      </w:rPr>
      <w:t>s</w:t>
    </w:r>
    <w:r w:rsidR="00704918" w:rsidRPr="00E336BF">
      <w:rPr>
        <w:lang w:val="nl-NL"/>
      </w:rPr>
      <w:t>. ER26-2691-000</w:t>
    </w:r>
    <w:r w:rsidR="007D0241">
      <w:rPr>
        <w:lang w:val="nl-NL"/>
      </w:rPr>
      <w:t xml:space="preserve"> and ER26-2691-001</w:t>
    </w:r>
    <w:r w:rsidR="00704918" w:rsidRPr="00E336BF">
      <w:rPr>
        <w:lang w:val="nl-NL"/>
      </w:rPr>
      <w:tab/>
    </w:r>
    <w:r w:rsidR="00704918">
      <w:fldChar w:fldCharType="begin"/>
    </w:r>
    <w:r w:rsidR="00704918" w:rsidRPr="00E336BF">
      <w:rPr>
        <w:lang w:val="nl-NL"/>
      </w:rPr>
      <w:instrText xml:space="preserve"> PAGE  \* MERGEFORMAT </w:instrText>
    </w:r>
    <w:r w:rsidR="00704918">
      <w:fldChar w:fldCharType="separate"/>
    </w:r>
    <w:r w:rsidR="00704918" w:rsidRPr="00E336BF">
      <w:rPr>
        <w:noProof/>
        <w:lang w:val="nl-NL"/>
      </w:rPr>
      <w:t xml:space="preserve">- 1 </w:t>
    </w:r>
    <w:r w:rsidR="00704918">
      <w:rPr>
        <w:noProof/>
      </w:rPr>
      <w:t>-</w:t>
    </w:r>
    <w:r w:rsidR="00704918">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68E3" w14:textId="77777777" w:rsidR="00653D8D" w:rsidRDefault="00ED139B" w:rsidP="00EC3F55">
    <w:pPr>
      <w:pStyle w:val="Header"/>
      <w:tabs>
        <w:tab w:val="clear" w:pos="4680"/>
      </w:tabs>
    </w:pPr>
    <w:r>
      <w:rPr>
        <w:noProof/>
      </w:rPr>
      <mc:AlternateContent>
        <mc:Choice Requires="wps">
          <w:drawing>
            <wp:anchor distT="0" distB="0" distL="0" distR="0" simplePos="0" relativeHeight="251658240" behindDoc="0" locked="0" layoutInCell="1" allowOverlap="1" wp14:anchorId="01D7F073" wp14:editId="509FD65E">
              <wp:simplePos x="635" y="635"/>
              <wp:positionH relativeFrom="page">
                <wp:align>center</wp:align>
              </wp:positionH>
              <wp:positionV relativeFrom="page">
                <wp:align>top</wp:align>
              </wp:positionV>
              <wp:extent cx="284480" cy="380365"/>
              <wp:effectExtent l="0" t="0" r="1270" b="635"/>
              <wp:wrapNone/>
              <wp:docPr id="1611671092"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7360C4F0" w14:textId="77777777" w:rsidR="00ED139B" w:rsidRPr="00ED139B" w:rsidRDefault="00ED139B" w:rsidP="00ED139B">
                          <w:pPr>
                            <w:rPr>
                              <w:rFonts w:eastAsia="Times New Roman"/>
                              <w:noProof/>
                              <w:color w:val="FF0000"/>
                              <w:szCs w:val="26"/>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D7F073" id="_x0000_t202" coordsize="21600,21600" o:spt="202" path="m,l,21600r21600,l21600,xe">
              <v:stroke joinstyle="miter"/>
              <v:path gradientshapeok="t" o:connecttype="rect"/>
            </v:shapetype>
            <v:shape id="Text Box 1" o:spid="_x0000_s1028" type="#_x0000_t202" alt="CUI" style="position:absolute;margin-left:0;margin-top:0;width:22.4pt;height:29.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" filled="f" stroked="f">
              <v:textbox style="mso-fit-shape-to-text:t" inset="0,15pt,0,0">
                <w:txbxContent>
                  <w:p w14:paraId="7360C4F0" w14:textId="77777777" w:rsidR="00ED139B" w:rsidRPr="00ED139B" w:rsidRDefault="00ED139B" w:rsidP="00ED139B">
                    <w:pPr>
                      <w:rPr>
                        <w:rFonts w:eastAsia="Times New Roman"/>
                        <w:noProof/>
                        <w:color w:val="FF0000"/>
                        <w:szCs w:val="2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9E71C99"/>
    <w:multiLevelType w:val="hybridMultilevel"/>
    <w:tmpl w:val="0102EC7E"/>
    <w:lvl w:ilvl="0" w:tplc="C14863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3"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5"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6" w15:restartNumberingAfterBreak="0">
    <w:nsid w:val="31E72C95"/>
    <w:multiLevelType w:val="hybridMultilevel"/>
    <w:tmpl w:val="B97A00A8"/>
    <w:lvl w:ilvl="0" w:tplc="007CF9D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7450FF"/>
    <w:multiLevelType w:val="hybridMultilevel"/>
    <w:tmpl w:val="0C08F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6502FF"/>
    <w:multiLevelType w:val="multilevel"/>
    <w:tmpl w:val="42787ABA"/>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21"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3" w15:restartNumberingAfterBreak="0">
    <w:nsid w:val="7D3B09D3"/>
    <w:multiLevelType w:val="hybridMultilevel"/>
    <w:tmpl w:val="484E6BBA"/>
    <w:lvl w:ilvl="0" w:tplc="3438CCD4">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23"/>
  </w:num>
  <w:num w:numId="12" w16cid:durableId="52506773">
    <w:abstractNumId w:val="21"/>
  </w:num>
  <w:num w:numId="13" w16cid:durableId="859006164">
    <w:abstractNumId w:val="14"/>
  </w:num>
  <w:num w:numId="14" w16cid:durableId="311065281">
    <w:abstractNumId w:val="22"/>
  </w:num>
  <w:num w:numId="15" w16cid:durableId="1146164863">
    <w:abstractNumId w:val="20"/>
  </w:num>
  <w:num w:numId="16" w16cid:durableId="10713903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519094">
    <w:abstractNumId w:val="12"/>
  </w:num>
  <w:num w:numId="18" w16cid:durableId="1754618900">
    <w:abstractNumId w:val="10"/>
  </w:num>
  <w:num w:numId="19" w16cid:durableId="1358699890">
    <w:abstractNumId w:val="15"/>
  </w:num>
  <w:num w:numId="20" w16cid:durableId="1399862505">
    <w:abstractNumId w:val="13"/>
  </w:num>
  <w:num w:numId="21" w16cid:durableId="984897000">
    <w:abstractNumId w:val="24"/>
  </w:num>
  <w:num w:numId="22" w16cid:durableId="46496330">
    <w:abstractNumId w:val="18"/>
  </w:num>
  <w:num w:numId="23" w16cid:durableId="1512523056">
    <w:abstractNumId w:val="19"/>
  </w:num>
  <w:num w:numId="24" w16cid:durableId="582959257">
    <w:abstractNumId w:val="16"/>
  </w:num>
  <w:num w:numId="25" w16cid:durableId="1593508901">
    <w:abstractNumId w:val="17"/>
  </w:num>
  <w:num w:numId="26" w16cid:durableId="385419876">
    <w:abstractNumId w:val="11"/>
  </w:num>
  <w:num w:numId="27" w16cid:durableId="11155195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2890089">
    <w:abstractNumId w:val="23"/>
    <w:lvlOverride w:ilvl="0">
      <w:startOverride w:val="1"/>
    </w:lvlOverride>
  </w:num>
  <w:num w:numId="29" w16cid:durableId="1059284131">
    <w:abstractNumId w:val="23"/>
    <w:lvlOverride w:ilvl="0">
      <w:startOverride w:val="1"/>
    </w:lvlOverride>
  </w:num>
  <w:num w:numId="30" w16cid:durableId="204028058">
    <w:abstractNumId w:val="23"/>
    <w:lvlOverride w:ilvl="0">
      <w:startOverride w:val="1"/>
    </w:lvlOverride>
  </w:num>
  <w:num w:numId="31" w16cid:durableId="12556261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18"/>
    <w:rsid w:val="00000411"/>
    <w:rsid w:val="0000075E"/>
    <w:rsid w:val="00000A62"/>
    <w:rsid w:val="00001353"/>
    <w:rsid w:val="0000157E"/>
    <w:rsid w:val="00001596"/>
    <w:rsid w:val="00001934"/>
    <w:rsid w:val="00001FBB"/>
    <w:rsid w:val="00001FD0"/>
    <w:rsid w:val="00002197"/>
    <w:rsid w:val="000023E8"/>
    <w:rsid w:val="0000256D"/>
    <w:rsid w:val="00002CDB"/>
    <w:rsid w:val="000030D7"/>
    <w:rsid w:val="00003340"/>
    <w:rsid w:val="000039B1"/>
    <w:rsid w:val="0000409D"/>
    <w:rsid w:val="000041FC"/>
    <w:rsid w:val="0000447C"/>
    <w:rsid w:val="0000481C"/>
    <w:rsid w:val="00004A10"/>
    <w:rsid w:val="00004D3A"/>
    <w:rsid w:val="00004FEB"/>
    <w:rsid w:val="0000565D"/>
    <w:rsid w:val="0000577A"/>
    <w:rsid w:val="00005910"/>
    <w:rsid w:val="00005E10"/>
    <w:rsid w:val="00005E20"/>
    <w:rsid w:val="00006150"/>
    <w:rsid w:val="000061E7"/>
    <w:rsid w:val="000061EC"/>
    <w:rsid w:val="000063CF"/>
    <w:rsid w:val="00006711"/>
    <w:rsid w:val="00006869"/>
    <w:rsid w:val="0000687F"/>
    <w:rsid w:val="00006905"/>
    <w:rsid w:val="000071D0"/>
    <w:rsid w:val="0000731D"/>
    <w:rsid w:val="00007340"/>
    <w:rsid w:val="0000740D"/>
    <w:rsid w:val="00007621"/>
    <w:rsid w:val="000076C8"/>
    <w:rsid w:val="0000789C"/>
    <w:rsid w:val="00007A24"/>
    <w:rsid w:val="00007BFC"/>
    <w:rsid w:val="00007C5B"/>
    <w:rsid w:val="00007CCF"/>
    <w:rsid w:val="00007F75"/>
    <w:rsid w:val="00007FD5"/>
    <w:rsid w:val="00010269"/>
    <w:rsid w:val="000107F4"/>
    <w:rsid w:val="00010FA6"/>
    <w:rsid w:val="000118C8"/>
    <w:rsid w:val="00011DA4"/>
    <w:rsid w:val="00011E36"/>
    <w:rsid w:val="00011EBF"/>
    <w:rsid w:val="00011ED5"/>
    <w:rsid w:val="00011F3E"/>
    <w:rsid w:val="000121F4"/>
    <w:rsid w:val="0001271A"/>
    <w:rsid w:val="00012CBD"/>
    <w:rsid w:val="00013284"/>
    <w:rsid w:val="000136EC"/>
    <w:rsid w:val="00013846"/>
    <w:rsid w:val="00013D26"/>
    <w:rsid w:val="00013E90"/>
    <w:rsid w:val="000143AA"/>
    <w:rsid w:val="000143BC"/>
    <w:rsid w:val="000146EA"/>
    <w:rsid w:val="000149E3"/>
    <w:rsid w:val="00014C25"/>
    <w:rsid w:val="000157F1"/>
    <w:rsid w:val="00015874"/>
    <w:rsid w:val="000161F3"/>
    <w:rsid w:val="000162C5"/>
    <w:rsid w:val="00016560"/>
    <w:rsid w:val="00016BBB"/>
    <w:rsid w:val="00016CDE"/>
    <w:rsid w:val="00017094"/>
    <w:rsid w:val="00017BAA"/>
    <w:rsid w:val="00017CDF"/>
    <w:rsid w:val="0002042F"/>
    <w:rsid w:val="0002070C"/>
    <w:rsid w:val="00020E72"/>
    <w:rsid w:val="00021220"/>
    <w:rsid w:val="00021235"/>
    <w:rsid w:val="00021363"/>
    <w:rsid w:val="00021998"/>
    <w:rsid w:val="00021B21"/>
    <w:rsid w:val="00021C69"/>
    <w:rsid w:val="00021C70"/>
    <w:rsid w:val="00021D1B"/>
    <w:rsid w:val="00021D1F"/>
    <w:rsid w:val="00021E32"/>
    <w:rsid w:val="00022515"/>
    <w:rsid w:val="000226B4"/>
    <w:rsid w:val="000226EF"/>
    <w:rsid w:val="0002282F"/>
    <w:rsid w:val="00022953"/>
    <w:rsid w:val="00022A33"/>
    <w:rsid w:val="00022D7D"/>
    <w:rsid w:val="00022E52"/>
    <w:rsid w:val="0002355F"/>
    <w:rsid w:val="00023658"/>
    <w:rsid w:val="0002382C"/>
    <w:rsid w:val="000238D0"/>
    <w:rsid w:val="00023CC3"/>
    <w:rsid w:val="00023EF1"/>
    <w:rsid w:val="0002443F"/>
    <w:rsid w:val="0002460A"/>
    <w:rsid w:val="00024695"/>
    <w:rsid w:val="000247BF"/>
    <w:rsid w:val="00025044"/>
    <w:rsid w:val="0002532D"/>
    <w:rsid w:val="000256BC"/>
    <w:rsid w:val="00025AE8"/>
    <w:rsid w:val="00026146"/>
    <w:rsid w:val="00026815"/>
    <w:rsid w:val="00026882"/>
    <w:rsid w:val="000268FF"/>
    <w:rsid w:val="000269CF"/>
    <w:rsid w:val="0002706A"/>
    <w:rsid w:val="0002709C"/>
    <w:rsid w:val="00027A4C"/>
    <w:rsid w:val="00027B70"/>
    <w:rsid w:val="00027E33"/>
    <w:rsid w:val="00027F01"/>
    <w:rsid w:val="0003080A"/>
    <w:rsid w:val="00030834"/>
    <w:rsid w:val="0003097B"/>
    <w:rsid w:val="00030985"/>
    <w:rsid w:val="00030C1B"/>
    <w:rsid w:val="00030D5C"/>
    <w:rsid w:val="000310E0"/>
    <w:rsid w:val="000313A0"/>
    <w:rsid w:val="000314C7"/>
    <w:rsid w:val="0003192F"/>
    <w:rsid w:val="00031A1B"/>
    <w:rsid w:val="00031AB4"/>
    <w:rsid w:val="00031BE2"/>
    <w:rsid w:val="00031D20"/>
    <w:rsid w:val="00031F4A"/>
    <w:rsid w:val="0003202F"/>
    <w:rsid w:val="000320A0"/>
    <w:rsid w:val="0003220E"/>
    <w:rsid w:val="00032513"/>
    <w:rsid w:val="00032822"/>
    <w:rsid w:val="00032BC5"/>
    <w:rsid w:val="00032E76"/>
    <w:rsid w:val="00033194"/>
    <w:rsid w:val="000332E5"/>
    <w:rsid w:val="000335AD"/>
    <w:rsid w:val="0003376C"/>
    <w:rsid w:val="000337C3"/>
    <w:rsid w:val="0003381D"/>
    <w:rsid w:val="0003382F"/>
    <w:rsid w:val="000338D2"/>
    <w:rsid w:val="00033BBE"/>
    <w:rsid w:val="00033E9A"/>
    <w:rsid w:val="000341F5"/>
    <w:rsid w:val="00034277"/>
    <w:rsid w:val="0003431E"/>
    <w:rsid w:val="00034536"/>
    <w:rsid w:val="000345D0"/>
    <w:rsid w:val="00034628"/>
    <w:rsid w:val="000346AE"/>
    <w:rsid w:val="0003484C"/>
    <w:rsid w:val="00034988"/>
    <w:rsid w:val="00035378"/>
    <w:rsid w:val="00035679"/>
    <w:rsid w:val="00035AF6"/>
    <w:rsid w:val="00035B4C"/>
    <w:rsid w:val="00035F6B"/>
    <w:rsid w:val="000364EB"/>
    <w:rsid w:val="000366E4"/>
    <w:rsid w:val="00036A68"/>
    <w:rsid w:val="00036BB3"/>
    <w:rsid w:val="00036C76"/>
    <w:rsid w:val="00036CF5"/>
    <w:rsid w:val="00036EB9"/>
    <w:rsid w:val="00036FAC"/>
    <w:rsid w:val="0003715B"/>
    <w:rsid w:val="000377D8"/>
    <w:rsid w:val="00037E99"/>
    <w:rsid w:val="00037FFD"/>
    <w:rsid w:val="00040181"/>
    <w:rsid w:val="000401A9"/>
    <w:rsid w:val="000402CB"/>
    <w:rsid w:val="00040589"/>
    <w:rsid w:val="000405F6"/>
    <w:rsid w:val="000406C9"/>
    <w:rsid w:val="00040DAE"/>
    <w:rsid w:val="00040F8B"/>
    <w:rsid w:val="00041F05"/>
    <w:rsid w:val="0004227F"/>
    <w:rsid w:val="000428C4"/>
    <w:rsid w:val="000429A8"/>
    <w:rsid w:val="00042A29"/>
    <w:rsid w:val="00042CE4"/>
    <w:rsid w:val="00042DCC"/>
    <w:rsid w:val="0004305B"/>
    <w:rsid w:val="00043095"/>
    <w:rsid w:val="000437BD"/>
    <w:rsid w:val="00043A33"/>
    <w:rsid w:val="00043AC8"/>
    <w:rsid w:val="00043D64"/>
    <w:rsid w:val="00043ED7"/>
    <w:rsid w:val="00044549"/>
    <w:rsid w:val="000445D7"/>
    <w:rsid w:val="0004497C"/>
    <w:rsid w:val="00044D78"/>
    <w:rsid w:val="00044E24"/>
    <w:rsid w:val="00044E77"/>
    <w:rsid w:val="00045070"/>
    <w:rsid w:val="00045218"/>
    <w:rsid w:val="0004526C"/>
    <w:rsid w:val="00045368"/>
    <w:rsid w:val="000457CE"/>
    <w:rsid w:val="0004588D"/>
    <w:rsid w:val="0004599D"/>
    <w:rsid w:val="00045B55"/>
    <w:rsid w:val="00045C78"/>
    <w:rsid w:val="0004624A"/>
    <w:rsid w:val="000462F3"/>
    <w:rsid w:val="0004686D"/>
    <w:rsid w:val="00046DB2"/>
    <w:rsid w:val="00046EE0"/>
    <w:rsid w:val="000472E8"/>
    <w:rsid w:val="00047439"/>
    <w:rsid w:val="000476BD"/>
    <w:rsid w:val="00047991"/>
    <w:rsid w:val="00047E99"/>
    <w:rsid w:val="00047F0A"/>
    <w:rsid w:val="0005020E"/>
    <w:rsid w:val="00050474"/>
    <w:rsid w:val="00050875"/>
    <w:rsid w:val="00050F7C"/>
    <w:rsid w:val="00051324"/>
    <w:rsid w:val="0005135D"/>
    <w:rsid w:val="0005159A"/>
    <w:rsid w:val="00051BC9"/>
    <w:rsid w:val="00051EE5"/>
    <w:rsid w:val="00051F2A"/>
    <w:rsid w:val="000520A4"/>
    <w:rsid w:val="0005224A"/>
    <w:rsid w:val="0005246D"/>
    <w:rsid w:val="00052923"/>
    <w:rsid w:val="00052C4B"/>
    <w:rsid w:val="00052D11"/>
    <w:rsid w:val="00052E4E"/>
    <w:rsid w:val="00053064"/>
    <w:rsid w:val="000533B3"/>
    <w:rsid w:val="000534E6"/>
    <w:rsid w:val="000536E7"/>
    <w:rsid w:val="000539F5"/>
    <w:rsid w:val="00053BE6"/>
    <w:rsid w:val="00053DFD"/>
    <w:rsid w:val="00053E24"/>
    <w:rsid w:val="00053EDE"/>
    <w:rsid w:val="00053F5A"/>
    <w:rsid w:val="00053FEC"/>
    <w:rsid w:val="000546CD"/>
    <w:rsid w:val="000546DA"/>
    <w:rsid w:val="00054B91"/>
    <w:rsid w:val="00054E7E"/>
    <w:rsid w:val="00054FDA"/>
    <w:rsid w:val="00055021"/>
    <w:rsid w:val="000550DC"/>
    <w:rsid w:val="0005530F"/>
    <w:rsid w:val="0005573B"/>
    <w:rsid w:val="00055746"/>
    <w:rsid w:val="00055824"/>
    <w:rsid w:val="00055977"/>
    <w:rsid w:val="00055A30"/>
    <w:rsid w:val="00055B13"/>
    <w:rsid w:val="00055B20"/>
    <w:rsid w:val="00055D09"/>
    <w:rsid w:val="00055F5F"/>
    <w:rsid w:val="00056157"/>
    <w:rsid w:val="000561FA"/>
    <w:rsid w:val="0005621F"/>
    <w:rsid w:val="000568AD"/>
    <w:rsid w:val="00056C2D"/>
    <w:rsid w:val="00056CC6"/>
    <w:rsid w:val="00056F4E"/>
    <w:rsid w:val="0005701D"/>
    <w:rsid w:val="000574C3"/>
    <w:rsid w:val="000578CD"/>
    <w:rsid w:val="00057CEC"/>
    <w:rsid w:val="00057F0D"/>
    <w:rsid w:val="00060015"/>
    <w:rsid w:val="00060391"/>
    <w:rsid w:val="00060439"/>
    <w:rsid w:val="00060697"/>
    <w:rsid w:val="0006098F"/>
    <w:rsid w:val="000609DA"/>
    <w:rsid w:val="00060A8E"/>
    <w:rsid w:val="00060C1A"/>
    <w:rsid w:val="0006108A"/>
    <w:rsid w:val="0006117F"/>
    <w:rsid w:val="0006132B"/>
    <w:rsid w:val="0006133E"/>
    <w:rsid w:val="000616F0"/>
    <w:rsid w:val="000617EB"/>
    <w:rsid w:val="00061C72"/>
    <w:rsid w:val="00061CA8"/>
    <w:rsid w:val="00061CF2"/>
    <w:rsid w:val="00061D60"/>
    <w:rsid w:val="0006205B"/>
    <w:rsid w:val="00062097"/>
    <w:rsid w:val="000621EE"/>
    <w:rsid w:val="0006229C"/>
    <w:rsid w:val="00062306"/>
    <w:rsid w:val="000624DD"/>
    <w:rsid w:val="000624F5"/>
    <w:rsid w:val="000625DF"/>
    <w:rsid w:val="00062732"/>
    <w:rsid w:val="00062E56"/>
    <w:rsid w:val="00062F7C"/>
    <w:rsid w:val="00062F9B"/>
    <w:rsid w:val="000632BA"/>
    <w:rsid w:val="00063588"/>
    <w:rsid w:val="00063805"/>
    <w:rsid w:val="00063904"/>
    <w:rsid w:val="000639FB"/>
    <w:rsid w:val="00063EBE"/>
    <w:rsid w:val="00064073"/>
    <w:rsid w:val="000640E5"/>
    <w:rsid w:val="0006425F"/>
    <w:rsid w:val="000644A3"/>
    <w:rsid w:val="000644D3"/>
    <w:rsid w:val="000648B7"/>
    <w:rsid w:val="0006498F"/>
    <w:rsid w:val="00064C00"/>
    <w:rsid w:val="00064DDA"/>
    <w:rsid w:val="000651EF"/>
    <w:rsid w:val="0006567F"/>
    <w:rsid w:val="00065687"/>
    <w:rsid w:val="000659C7"/>
    <w:rsid w:val="00065B29"/>
    <w:rsid w:val="00065BA0"/>
    <w:rsid w:val="00065DA2"/>
    <w:rsid w:val="000660DC"/>
    <w:rsid w:val="000663A1"/>
    <w:rsid w:val="0006642A"/>
    <w:rsid w:val="00066445"/>
    <w:rsid w:val="00066DB4"/>
    <w:rsid w:val="00066EE1"/>
    <w:rsid w:val="0006705E"/>
    <w:rsid w:val="00067453"/>
    <w:rsid w:val="000678C5"/>
    <w:rsid w:val="00070185"/>
    <w:rsid w:val="00070857"/>
    <w:rsid w:val="000711BB"/>
    <w:rsid w:val="00071268"/>
    <w:rsid w:val="00071C3F"/>
    <w:rsid w:val="000729B4"/>
    <w:rsid w:val="00072B42"/>
    <w:rsid w:val="00072FC3"/>
    <w:rsid w:val="00072FF4"/>
    <w:rsid w:val="000732A4"/>
    <w:rsid w:val="000732C4"/>
    <w:rsid w:val="0007377C"/>
    <w:rsid w:val="000738C3"/>
    <w:rsid w:val="0007406D"/>
    <w:rsid w:val="000748B5"/>
    <w:rsid w:val="00074A51"/>
    <w:rsid w:val="00074B4D"/>
    <w:rsid w:val="00074C1D"/>
    <w:rsid w:val="00074EB2"/>
    <w:rsid w:val="0007545B"/>
    <w:rsid w:val="00075AB5"/>
    <w:rsid w:val="00075F24"/>
    <w:rsid w:val="00075F4C"/>
    <w:rsid w:val="000761BD"/>
    <w:rsid w:val="0007636C"/>
    <w:rsid w:val="0007651C"/>
    <w:rsid w:val="000768C0"/>
    <w:rsid w:val="00076CD9"/>
    <w:rsid w:val="00076E0E"/>
    <w:rsid w:val="00076F79"/>
    <w:rsid w:val="00077281"/>
    <w:rsid w:val="000775D8"/>
    <w:rsid w:val="000776D7"/>
    <w:rsid w:val="00077754"/>
    <w:rsid w:val="000779D9"/>
    <w:rsid w:val="00077DFD"/>
    <w:rsid w:val="00077E8E"/>
    <w:rsid w:val="00077EFC"/>
    <w:rsid w:val="000804E1"/>
    <w:rsid w:val="0008052A"/>
    <w:rsid w:val="00080709"/>
    <w:rsid w:val="00080C72"/>
    <w:rsid w:val="00080EA8"/>
    <w:rsid w:val="00081120"/>
    <w:rsid w:val="0008123C"/>
    <w:rsid w:val="000812B3"/>
    <w:rsid w:val="0008152F"/>
    <w:rsid w:val="000816D1"/>
    <w:rsid w:val="00081753"/>
    <w:rsid w:val="000817B6"/>
    <w:rsid w:val="00081CAF"/>
    <w:rsid w:val="00081EBF"/>
    <w:rsid w:val="00082218"/>
    <w:rsid w:val="00082783"/>
    <w:rsid w:val="000828DC"/>
    <w:rsid w:val="00082C79"/>
    <w:rsid w:val="00082CEA"/>
    <w:rsid w:val="00082F49"/>
    <w:rsid w:val="00083041"/>
    <w:rsid w:val="0008362F"/>
    <w:rsid w:val="00083CFC"/>
    <w:rsid w:val="00083E32"/>
    <w:rsid w:val="00083F51"/>
    <w:rsid w:val="000840BB"/>
    <w:rsid w:val="000840DB"/>
    <w:rsid w:val="0008478C"/>
    <w:rsid w:val="00084A31"/>
    <w:rsid w:val="00084BA7"/>
    <w:rsid w:val="00084C00"/>
    <w:rsid w:val="00084C4E"/>
    <w:rsid w:val="00084CAF"/>
    <w:rsid w:val="00084D3B"/>
    <w:rsid w:val="00084ED2"/>
    <w:rsid w:val="00084F92"/>
    <w:rsid w:val="00085447"/>
    <w:rsid w:val="00085B21"/>
    <w:rsid w:val="00085F7F"/>
    <w:rsid w:val="00086086"/>
    <w:rsid w:val="000864B0"/>
    <w:rsid w:val="000865F9"/>
    <w:rsid w:val="00086665"/>
    <w:rsid w:val="00086695"/>
    <w:rsid w:val="00086ACA"/>
    <w:rsid w:val="00086D59"/>
    <w:rsid w:val="00086D5E"/>
    <w:rsid w:val="00086D98"/>
    <w:rsid w:val="00086E0C"/>
    <w:rsid w:val="0008709D"/>
    <w:rsid w:val="000871A1"/>
    <w:rsid w:val="0008778D"/>
    <w:rsid w:val="000877B0"/>
    <w:rsid w:val="00087893"/>
    <w:rsid w:val="00087E32"/>
    <w:rsid w:val="00090255"/>
    <w:rsid w:val="000903DC"/>
    <w:rsid w:val="00090D42"/>
    <w:rsid w:val="00091077"/>
    <w:rsid w:val="00091131"/>
    <w:rsid w:val="000916A5"/>
    <w:rsid w:val="000917B9"/>
    <w:rsid w:val="00091B1C"/>
    <w:rsid w:val="00091C00"/>
    <w:rsid w:val="00092095"/>
    <w:rsid w:val="000921EC"/>
    <w:rsid w:val="00092634"/>
    <w:rsid w:val="00092857"/>
    <w:rsid w:val="00092892"/>
    <w:rsid w:val="00092B9A"/>
    <w:rsid w:val="000931F2"/>
    <w:rsid w:val="00093CA0"/>
    <w:rsid w:val="0009406A"/>
    <w:rsid w:val="000945E3"/>
    <w:rsid w:val="000946F7"/>
    <w:rsid w:val="00094E02"/>
    <w:rsid w:val="00094EA6"/>
    <w:rsid w:val="00094F88"/>
    <w:rsid w:val="000951AA"/>
    <w:rsid w:val="000951C1"/>
    <w:rsid w:val="00095475"/>
    <w:rsid w:val="00095599"/>
    <w:rsid w:val="00095894"/>
    <w:rsid w:val="00095BCB"/>
    <w:rsid w:val="00095D54"/>
    <w:rsid w:val="000961A1"/>
    <w:rsid w:val="00096866"/>
    <w:rsid w:val="00096A94"/>
    <w:rsid w:val="00096CC1"/>
    <w:rsid w:val="00096E03"/>
    <w:rsid w:val="00096F79"/>
    <w:rsid w:val="000970AD"/>
    <w:rsid w:val="0009725B"/>
    <w:rsid w:val="000973A2"/>
    <w:rsid w:val="000973E1"/>
    <w:rsid w:val="00097480"/>
    <w:rsid w:val="000976A2"/>
    <w:rsid w:val="000976A8"/>
    <w:rsid w:val="00097AB3"/>
    <w:rsid w:val="00097B5B"/>
    <w:rsid w:val="00097C05"/>
    <w:rsid w:val="000A00DE"/>
    <w:rsid w:val="000A06EE"/>
    <w:rsid w:val="000A0A6C"/>
    <w:rsid w:val="000A0CE6"/>
    <w:rsid w:val="000A0DC8"/>
    <w:rsid w:val="000A0E50"/>
    <w:rsid w:val="000A16D9"/>
    <w:rsid w:val="000A1C22"/>
    <w:rsid w:val="000A2217"/>
    <w:rsid w:val="000A2342"/>
    <w:rsid w:val="000A3178"/>
    <w:rsid w:val="000A31EE"/>
    <w:rsid w:val="000A32DB"/>
    <w:rsid w:val="000A3425"/>
    <w:rsid w:val="000A34B4"/>
    <w:rsid w:val="000A35C5"/>
    <w:rsid w:val="000A37D5"/>
    <w:rsid w:val="000A3A2F"/>
    <w:rsid w:val="000A3D29"/>
    <w:rsid w:val="000A3D2F"/>
    <w:rsid w:val="000A3D8E"/>
    <w:rsid w:val="000A43D1"/>
    <w:rsid w:val="000A4458"/>
    <w:rsid w:val="000A45C6"/>
    <w:rsid w:val="000A4A44"/>
    <w:rsid w:val="000A4E4F"/>
    <w:rsid w:val="000A4E7C"/>
    <w:rsid w:val="000A5023"/>
    <w:rsid w:val="000A5A5F"/>
    <w:rsid w:val="000A5AD5"/>
    <w:rsid w:val="000A5E34"/>
    <w:rsid w:val="000A6037"/>
    <w:rsid w:val="000A6182"/>
    <w:rsid w:val="000A61B4"/>
    <w:rsid w:val="000A650A"/>
    <w:rsid w:val="000A6609"/>
    <w:rsid w:val="000A6777"/>
    <w:rsid w:val="000A6835"/>
    <w:rsid w:val="000A684B"/>
    <w:rsid w:val="000A6BBB"/>
    <w:rsid w:val="000A6C08"/>
    <w:rsid w:val="000A6CA7"/>
    <w:rsid w:val="000A7094"/>
    <w:rsid w:val="000A75FD"/>
    <w:rsid w:val="000A77F6"/>
    <w:rsid w:val="000A7A1A"/>
    <w:rsid w:val="000A7FC1"/>
    <w:rsid w:val="000B0446"/>
    <w:rsid w:val="000B0822"/>
    <w:rsid w:val="000B100E"/>
    <w:rsid w:val="000B1A3A"/>
    <w:rsid w:val="000B2069"/>
    <w:rsid w:val="000B20FC"/>
    <w:rsid w:val="000B217A"/>
    <w:rsid w:val="000B230E"/>
    <w:rsid w:val="000B232F"/>
    <w:rsid w:val="000B25C2"/>
    <w:rsid w:val="000B2AEF"/>
    <w:rsid w:val="000B2DB1"/>
    <w:rsid w:val="000B35C8"/>
    <w:rsid w:val="000B3DFA"/>
    <w:rsid w:val="000B4124"/>
    <w:rsid w:val="000B4A5D"/>
    <w:rsid w:val="000B4F8C"/>
    <w:rsid w:val="000B5444"/>
    <w:rsid w:val="000B5ACE"/>
    <w:rsid w:val="000B5C81"/>
    <w:rsid w:val="000B5F37"/>
    <w:rsid w:val="000B604C"/>
    <w:rsid w:val="000B60E1"/>
    <w:rsid w:val="000B6677"/>
    <w:rsid w:val="000B6690"/>
    <w:rsid w:val="000B6778"/>
    <w:rsid w:val="000B68C0"/>
    <w:rsid w:val="000B690A"/>
    <w:rsid w:val="000B71EA"/>
    <w:rsid w:val="000B788B"/>
    <w:rsid w:val="000B7DBC"/>
    <w:rsid w:val="000B7E62"/>
    <w:rsid w:val="000B7EE0"/>
    <w:rsid w:val="000C00EE"/>
    <w:rsid w:val="000C01B3"/>
    <w:rsid w:val="000C023B"/>
    <w:rsid w:val="000C0253"/>
    <w:rsid w:val="000C075F"/>
    <w:rsid w:val="000C0917"/>
    <w:rsid w:val="000C0926"/>
    <w:rsid w:val="000C0B7D"/>
    <w:rsid w:val="000C111B"/>
    <w:rsid w:val="000C1AF5"/>
    <w:rsid w:val="000C1B42"/>
    <w:rsid w:val="000C1ECE"/>
    <w:rsid w:val="000C1FCA"/>
    <w:rsid w:val="000C214B"/>
    <w:rsid w:val="000C2326"/>
    <w:rsid w:val="000C2A09"/>
    <w:rsid w:val="000C2BFD"/>
    <w:rsid w:val="000C2D5E"/>
    <w:rsid w:val="000C3640"/>
    <w:rsid w:val="000C3A3F"/>
    <w:rsid w:val="000C3EC8"/>
    <w:rsid w:val="000C484A"/>
    <w:rsid w:val="000C4A0B"/>
    <w:rsid w:val="000C4A9D"/>
    <w:rsid w:val="000C4F8A"/>
    <w:rsid w:val="000C4FE0"/>
    <w:rsid w:val="000C537F"/>
    <w:rsid w:val="000C54A2"/>
    <w:rsid w:val="000C56F8"/>
    <w:rsid w:val="000C5BF1"/>
    <w:rsid w:val="000C5F28"/>
    <w:rsid w:val="000C5F95"/>
    <w:rsid w:val="000C61BB"/>
    <w:rsid w:val="000C64C5"/>
    <w:rsid w:val="000C64D3"/>
    <w:rsid w:val="000C65E1"/>
    <w:rsid w:val="000C6869"/>
    <w:rsid w:val="000C6923"/>
    <w:rsid w:val="000C6B52"/>
    <w:rsid w:val="000C6FA2"/>
    <w:rsid w:val="000C6FDB"/>
    <w:rsid w:val="000C71A5"/>
    <w:rsid w:val="000C75E0"/>
    <w:rsid w:val="000C7B06"/>
    <w:rsid w:val="000C7FDC"/>
    <w:rsid w:val="000D005C"/>
    <w:rsid w:val="000D0105"/>
    <w:rsid w:val="000D0127"/>
    <w:rsid w:val="000D02CF"/>
    <w:rsid w:val="000D04D5"/>
    <w:rsid w:val="000D054B"/>
    <w:rsid w:val="000D06A3"/>
    <w:rsid w:val="000D080A"/>
    <w:rsid w:val="000D0819"/>
    <w:rsid w:val="000D0B4F"/>
    <w:rsid w:val="000D0C04"/>
    <w:rsid w:val="000D0DED"/>
    <w:rsid w:val="000D0EE6"/>
    <w:rsid w:val="000D13FF"/>
    <w:rsid w:val="000D1682"/>
    <w:rsid w:val="000D1838"/>
    <w:rsid w:val="000D1D32"/>
    <w:rsid w:val="000D1D4B"/>
    <w:rsid w:val="000D1DDB"/>
    <w:rsid w:val="000D1EB1"/>
    <w:rsid w:val="000D1FB6"/>
    <w:rsid w:val="000D20A3"/>
    <w:rsid w:val="000D2856"/>
    <w:rsid w:val="000D2ECB"/>
    <w:rsid w:val="000D2F86"/>
    <w:rsid w:val="000D3539"/>
    <w:rsid w:val="000D35F8"/>
    <w:rsid w:val="000D3EBB"/>
    <w:rsid w:val="000D3F96"/>
    <w:rsid w:val="000D424D"/>
    <w:rsid w:val="000D477E"/>
    <w:rsid w:val="000D4855"/>
    <w:rsid w:val="000D49CE"/>
    <w:rsid w:val="000D4C12"/>
    <w:rsid w:val="000D4CFF"/>
    <w:rsid w:val="000D52CE"/>
    <w:rsid w:val="000D5FCE"/>
    <w:rsid w:val="000D6323"/>
    <w:rsid w:val="000D6708"/>
    <w:rsid w:val="000D695B"/>
    <w:rsid w:val="000D6994"/>
    <w:rsid w:val="000D6B7D"/>
    <w:rsid w:val="000D6DF3"/>
    <w:rsid w:val="000D71C4"/>
    <w:rsid w:val="000D7231"/>
    <w:rsid w:val="000D739B"/>
    <w:rsid w:val="000D73E3"/>
    <w:rsid w:val="000D73F3"/>
    <w:rsid w:val="000D7D21"/>
    <w:rsid w:val="000D7D3E"/>
    <w:rsid w:val="000D7DD4"/>
    <w:rsid w:val="000D7E4E"/>
    <w:rsid w:val="000D7E96"/>
    <w:rsid w:val="000E008B"/>
    <w:rsid w:val="000E028F"/>
    <w:rsid w:val="000E0333"/>
    <w:rsid w:val="000E065C"/>
    <w:rsid w:val="000E0857"/>
    <w:rsid w:val="000E0FB3"/>
    <w:rsid w:val="000E154E"/>
    <w:rsid w:val="000E15A3"/>
    <w:rsid w:val="000E1896"/>
    <w:rsid w:val="000E1BE1"/>
    <w:rsid w:val="000E2149"/>
    <w:rsid w:val="000E223D"/>
    <w:rsid w:val="000E2555"/>
    <w:rsid w:val="000E2A08"/>
    <w:rsid w:val="000E2BFA"/>
    <w:rsid w:val="000E2C9E"/>
    <w:rsid w:val="000E2CB0"/>
    <w:rsid w:val="000E2D1E"/>
    <w:rsid w:val="000E3186"/>
    <w:rsid w:val="000E3463"/>
    <w:rsid w:val="000E3B1A"/>
    <w:rsid w:val="000E3BE5"/>
    <w:rsid w:val="000E3C07"/>
    <w:rsid w:val="000E3CE6"/>
    <w:rsid w:val="000E3DAD"/>
    <w:rsid w:val="000E4644"/>
    <w:rsid w:val="000E4BFF"/>
    <w:rsid w:val="000E4D27"/>
    <w:rsid w:val="000E4FC7"/>
    <w:rsid w:val="000E5153"/>
    <w:rsid w:val="000E568B"/>
    <w:rsid w:val="000E58A9"/>
    <w:rsid w:val="000E664F"/>
    <w:rsid w:val="000E67FF"/>
    <w:rsid w:val="000E6B0C"/>
    <w:rsid w:val="000E6E23"/>
    <w:rsid w:val="000E6FB4"/>
    <w:rsid w:val="000E7972"/>
    <w:rsid w:val="000E7AC4"/>
    <w:rsid w:val="000E7B5E"/>
    <w:rsid w:val="000E7EF0"/>
    <w:rsid w:val="000F00F3"/>
    <w:rsid w:val="000F02EB"/>
    <w:rsid w:val="000F05D5"/>
    <w:rsid w:val="000F0A79"/>
    <w:rsid w:val="000F0BC6"/>
    <w:rsid w:val="000F0D39"/>
    <w:rsid w:val="000F10A4"/>
    <w:rsid w:val="000F1BD4"/>
    <w:rsid w:val="000F1C06"/>
    <w:rsid w:val="000F1D4A"/>
    <w:rsid w:val="000F1F27"/>
    <w:rsid w:val="000F1FF3"/>
    <w:rsid w:val="000F244F"/>
    <w:rsid w:val="000F27C4"/>
    <w:rsid w:val="000F2B33"/>
    <w:rsid w:val="000F2DB7"/>
    <w:rsid w:val="000F2DC1"/>
    <w:rsid w:val="000F2F0B"/>
    <w:rsid w:val="000F310F"/>
    <w:rsid w:val="000F347F"/>
    <w:rsid w:val="000F36EE"/>
    <w:rsid w:val="000F36FF"/>
    <w:rsid w:val="000F372C"/>
    <w:rsid w:val="000F3889"/>
    <w:rsid w:val="000F39CA"/>
    <w:rsid w:val="000F3EC0"/>
    <w:rsid w:val="000F423A"/>
    <w:rsid w:val="000F4724"/>
    <w:rsid w:val="000F4ADB"/>
    <w:rsid w:val="000F4C49"/>
    <w:rsid w:val="000F4E19"/>
    <w:rsid w:val="000F5096"/>
    <w:rsid w:val="000F51BC"/>
    <w:rsid w:val="000F51CE"/>
    <w:rsid w:val="000F52C8"/>
    <w:rsid w:val="000F52E2"/>
    <w:rsid w:val="000F5434"/>
    <w:rsid w:val="000F571C"/>
    <w:rsid w:val="000F5879"/>
    <w:rsid w:val="000F5A21"/>
    <w:rsid w:val="000F5B61"/>
    <w:rsid w:val="000F5C7C"/>
    <w:rsid w:val="000F5D62"/>
    <w:rsid w:val="000F5DC4"/>
    <w:rsid w:val="000F603B"/>
    <w:rsid w:val="000F63D2"/>
    <w:rsid w:val="000F6403"/>
    <w:rsid w:val="000F65F8"/>
    <w:rsid w:val="000F66DD"/>
    <w:rsid w:val="000F6701"/>
    <w:rsid w:val="000F6C7F"/>
    <w:rsid w:val="000F6EA2"/>
    <w:rsid w:val="000F6EE9"/>
    <w:rsid w:val="000F71AB"/>
    <w:rsid w:val="000F7289"/>
    <w:rsid w:val="000F7390"/>
    <w:rsid w:val="000F75BA"/>
    <w:rsid w:val="000F7EF1"/>
    <w:rsid w:val="000F7F02"/>
    <w:rsid w:val="001000BB"/>
    <w:rsid w:val="001003E0"/>
    <w:rsid w:val="0010044A"/>
    <w:rsid w:val="0010068C"/>
    <w:rsid w:val="00100E1B"/>
    <w:rsid w:val="00100F44"/>
    <w:rsid w:val="00101018"/>
    <w:rsid w:val="00101107"/>
    <w:rsid w:val="001017CC"/>
    <w:rsid w:val="00101800"/>
    <w:rsid w:val="0010217C"/>
    <w:rsid w:val="0010253F"/>
    <w:rsid w:val="001026A4"/>
    <w:rsid w:val="00102736"/>
    <w:rsid w:val="0010290F"/>
    <w:rsid w:val="001029CC"/>
    <w:rsid w:val="00102A61"/>
    <w:rsid w:val="00103352"/>
    <w:rsid w:val="00103A55"/>
    <w:rsid w:val="00103AEA"/>
    <w:rsid w:val="00103B12"/>
    <w:rsid w:val="00103DD6"/>
    <w:rsid w:val="00103E42"/>
    <w:rsid w:val="00104620"/>
    <w:rsid w:val="00104646"/>
    <w:rsid w:val="001048FD"/>
    <w:rsid w:val="0010494F"/>
    <w:rsid w:val="00104E62"/>
    <w:rsid w:val="00104F76"/>
    <w:rsid w:val="001055EB"/>
    <w:rsid w:val="00105996"/>
    <w:rsid w:val="00105B6B"/>
    <w:rsid w:val="00106104"/>
    <w:rsid w:val="00106327"/>
    <w:rsid w:val="0010633E"/>
    <w:rsid w:val="001068DD"/>
    <w:rsid w:val="001069AF"/>
    <w:rsid w:val="001074F6"/>
    <w:rsid w:val="00107521"/>
    <w:rsid w:val="00107804"/>
    <w:rsid w:val="00107884"/>
    <w:rsid w:val="001078F3"/>
    <w:rsid w:val="001078F6"/>
    <w:rsid w:val="00107BA4"/>
    <w:rsid w:val="00107D59"/>
    <w:rsid w:val="00107F1E"/>
    <w:rsid w:val="001102A8"/>
    <w:rsid w:val="001103C7"/>
    <w:rsid w:val="00110BF3"/>
    <w:rsid w:val="00111068"/>
    <w:rsid w:val="0011141C"/>
    <w:rsid w:val="0011163D"/>
    <w:rsid w:val="001118E4"/>
    <w:rsid w:val="0011194B"/>
    <w:rsid w:val="00111B83"/>
    <w:rsid w:val="00111D97"/>
    <w:rsid w:val="00112131"/>
    <w:rsid w:val="0011224A"/>
    <w:rsid w:val="00112269"/>
    <w:rsid w:val="00112375"/>
    <w:rsid w:val="00112722"/>
    <w:rsid w:val="00112725"/>
    <w:rsid w:val="00112920"/>
    <w:rsid w:val="00112D87"/>
    <w:rsid w:val="0011303E"/>
    <w:rsid w:val="0011318E"/>
    <w:rsid w:val="001137C1"/>
    <w:rsid w:val="00113AF1"/>
    <w:rsid w:val="00113E46"/>
    <w:rsid w:val="00113F0D"/>
    <w:rsid w:val="00113F41"/>
    <w:rsid w:val="0011419A"/>
    <w:rsid w:val="001142DC"/>
    <w:rsid w:val="0011466E"/>
    <w:rsid w:val="00114A42"/>
    <w:rsid w:val="00114CA4"/>
    <w:rsid w:val="00115224"/>
    <w:rsid w:val="001153A0"/>
    <w:rsid w:val="001153DE"/>
    <w:rsid w:val="00115518"/>
    <w:rsid w:val="001158D5"/>
    <w:rsid w:val="00115B3B"/>
    <w:rsid w:val="00115BD3"/>
    <w:rsid w:val="0011618A"/>
    <w:rsid w:val="00116A3C"/>
    <w:rsid w:val="00116A65"/>
    <w:rsid w:val="00116AEF"/>
    <w:rsid w:val="00116F5A"/>
    <w:rsid w:val="001172CC"/>
    <w:rsid w:val="00117488"/>
    <w:rsid w:val="001176AD"/>
    <w:rsid w:val="001178CA"/>
    <w:rsid w:val="001179DB"/>
    <w:rsid w:val="00117B11"/>
    <w:rsid w:val="00117D65"/>
    <w:rsid w:val="00117F35"/>
    <w:rsid w:val="0012021B"/>
    <w:rsid w:val="00120603"/>
    <w:rsid w:val="0012065E"/>
    <w:rsid w:val="0012067D"/>
    <w:rsid w:val="001208A2"/>
    <w:rsid w:val="001209EF"/>
    <w:rsid w:val="00120E91"/>
    <w:rsid w:val="001217AF"/>
    <w:rsid w:val="00121835"/>
    <w:rsid w:val="001219D2"/>
    <w:rsid w:val="00121D44"/>
    <w:rsid w:val="00122114"/>
    <w:rsid w:val="001221FA"/>
    <w:rsid w:val="00122503"/>
    <w:rsid w:val="00122827"/>
    <w:rsid w:val="001229E8"/>
    <w:rsid w:val="00122A4D"/>
    <w:rsid w:val="00122B81"/>
    <w:rsid w:val="0012358B"/>
    <w:rsid w:val="001236E4"/>
    <w:rsid w:val="00123B0A"/>
    <w:rsid w:val="00123C6A"/>
    <w:rsid w:val="00123FBD"/>
    <w:rsid w:val="001241DD"/>
    <w:rsid w:val="0012423B"/>
    <w:rsid w:val="001243DB"/>
    <w:rsid w:val="00124720"/>
    <w:rsid w:val="00124723"/>
    <w:rsid w:val="001249CD"/>
    <w:rsid w:val="00124C66"/>
    <w:rsid w:val="00124D07"/>
    <w:rsid w:val="001250F6"/>
    <w:rsid w:val="00125277"/>
    <w:rsid w:val="00125680"/>
    <w:rsid w:val="00125C50"/>
    <w:rsid w:val="0012606F"/>
    <w:rsid w:val="00126222"/>
    <w:rsid w:val="00126655"/>
    <w:rsid w:val="00126710"/>
    <w:rsid w:val="00126788"/>
    <w:rsid w:val="00126C47"/>
    <w:rsid w:val="00126C72"/>
    <w:rsid w:val="00126E1B"/>
    <w:rsid w:val="0012713F"/>
    <w:rsid w:val="00127478"/>
    <w:rsid w:val="001274E9"/>
    <w:rsid w:val="001279B9"/>
    <w:rsid w:val="00127C5E"/>
    <w:rsid w:val="001301C4"/>
    <w:rsid w:val="001305B4"/>
    <w:rsid w:val="00130652"/>
    <w:rsid w:val="0013070B"/>
    <w:rsid w:val="00130725"/>
    <w:rsid w:val="00130AAB"/>
    <w:rsid w:val="00130B66"/>
    <w:rsid w:val="00130C7C"/>
    <w:rsid w:val="00130CCE"/>
    <w:rsid w:val="001317A8"/>
    <w:rsid w:val="001317E1"/>
    <w:rsid w:val="001319C0"/>
    <w:rsid w:val="00131C0E"/>
    <w:rsid w:val="00131E71"/>
    <w:rsid w:val="00131ECD"/>
    <w:rsid w:val="0013235E"/>
    <w:rsid w:val="0013264A"/>
    <w:rsid w:val="00132D57"/>
    <w:rsid w:val="00132E2B"/>
    <w:rsid w:val="0013346B"/>
    <w:rsid w:val="0013368E"/>
    <w:rsid w:val="001337FF"/>
    <w:rsid w:val="00133BB1"/>
    <w:rsid w:val="001341D8"/>
    <w:rsid w:val="0013425A"/>
    <w:rsid w:val="00134C04"/>
    <w:rsid w:val="00134F4A"/>
    <w:rsid w:val="001350E0"/>
    <w:rsid w:val="001357C5"/>
    <w:rsid w:val="001358C3"/>
    <w:rsid w:val="0013618E"/>
    <w:rsid w:val="001364C9"/>
    <w:rsid w:val="001366F6"/>
    <w:rsid w:val="00136769"/>
    <w:rsid w:val="00136A25"/>
    <w:rsid w:val="00136CC4"/>
    <w:rsid w:val="00136E08"/>
    <w:rsid w:val="00136FDE"/>
    <w:rsid w:val="00137227"/>
    <w:rsid w:val="0014072D"/>
    <w:rsid w:val="001407D7"/>
    <w:rsid w:val="00140C5F"/>
    <w:rsid w:val="00140EB8"/>
    <w:rsid w:val="00141032"/>
    <w:rsid w:val="00141226"/>
    <w:rsid w:val="001413FA"/>
    <w:rsid w:val="001415E5"/>
    <w:rsid w:val="00141812"/>
    <w:rsid w:val="00141AB2"/>
    <w:rsid w:val="00141CC5"/>
    <w:rsid w:val="001421AA"/>
    <w:rsid w:val="00142237"/>
    <w:rsid w:val="001423A7"/>
    <w:rsid w:val="0014242E"/>
    <w:rsid w:val="00142C2F"/>
    <w:rsid w:val="00142C7D"/>
    <w:rsid w:val="00142EDD"/>
    <w:rsid w:val="00142F74"/>
    <w:rsid w:val="001434E3"/>
    <w:rsid w:val="00143A35"/>
    <w:rsid w:val="00143C6D"/>
    <w:rsid w:val="00143D36"/>
    <w:rsid w:val="001441E6"/>
    <w:rsid w:val="001443EC"/>
    <w:rsid w:val="00144772"/>
    <w:rsid w:val="00144BEA"/>
    <w:rsid w:val="0014504D"/>
    <w:rsid w:val="00145121"/>
    <w:rsid w:val="0014549B"/>
    <w:rsid w:val="0014552D"/>
    <w:rsid w:val="00145B07"/>
    <w:rsid w:val="00146046"/>
    <w:rsid w:val="0014604F"/>
    <w:rsid w:val="00146074"/>
    <w:rsid w:val="00146414"/>
    <w:rsid w:val="00146823"/>
    <w:rsid w:val="001469F2"/>
    <w:rsid w:val="00146A50"/>
    <w:rsid w:val="00146B7B"/>
    <w:rsid w:val="00146E3E"/>
    <w:rsid w:val="001470FF"/>
    <w:rsid w:val="00147AD8"/>
    <w:rsid w:val="00150123"/>
    <w:rsid w:val="00150148"/>
    <w:rsid w:val="00150470"/>
    <w:rsid w:val="00150ADA"/>
    <w:rsid w:val="00150D46"/>
    <w:rsid w:val="00151286"/>
    <w:rsid w:val="001512A7"/>
    <w:rsid w:val="001512AF"/>
    <w:rsid w:val="0015160C"/>
    <w:rsid w:val="00151623"/>
    <w:rsid w:val="001516FD"/>
    <w:rsid w:val="00151738"/>
    <w:rsid w:val="001518B9"/>
    <w:rsid w:val="001519D7"/>
    <w:rsid w:val="00151ACD"/>
    <w:rsid w:val="00151D08"/>
    <w:rsid w:val="00151D61"/>
    <w:rsid w:val="00151DD8"/>
    <w:rsid w:val="001520D4"/>
    <w:rsid w:val="00152170"/>
    <w:rsid w:val="00152433"/>
    <w:rsid w:val="00152827"/>
    <w:rsid w:val="00152992"/>
    <w:rsid w:val="00152BC3"/>
    <w:rsid w:val="00152C01"/>
    <w:rsid w:val="00152DF4"/>
    <w:rsid w:val="00152EDB"/>
    <w:rsid w:val="00153080"/>
    <w:rsid w:val="001532EF"/>
    <w:rsid w:val="001534B7"/>
    <w:rsid w:val="00153796"/>
    <w:rsid w:val="0015379D"/>
    <w:rsid w:val="001537E0"/>
    <w:rsid w:val="001539C1"/>
    <w:rsid w:val="00153AAE"/>
    <w:rsid w:val="00153EDC"/>
    <w:rsid w:val="00154139"/>
    <w:rsid w:val="001544E0"/>
    <w:rsid w:val="00154971"/>
    <w:rsid w:val="001549DE"/>
    <w:rsid w:val="00154AF1"/>
    <w:rsid w:val="00154C7A"/>
    <w:rsid w:val="0015523F"/>
    <w:rsid w:val="001552FF"/>
    <w:rsid w:val="00155B6D"/>
    <w:rsid w:val="001562EA"/>
    <w:rsid w:val="00156C62"/>
    <w:rsid w:val="00156EB8"/>
    <w:rsid w:val="00156F38"/>
    <w:rsid w:val="00157019"/>
    <w:rsid w:val="001574BA"/>
    <w:rsid w:val="00157500"/>
    <w:rsid w:val="00157770"/>
    <w:rsid w:val="00157846"/>
    <w:rsid w:val="0016005F"/>
    <w:rsid w:val="00160311"/>
    <w:rsid w:val="001608EC"/>
    <w:rsid w:val="00160A20"/>
    <w:rsid w:val="00160B18"/>
    <w:rsid w:val="00160EC4"/>
    <w:rsid w:val="0016105B"/>
    <w:rsid w:val="00161645"/>
    <w:rsid w:val="00161A1B"/>
    <w:rsid w:val="00162111"/>
    <w:rsid w:val="00162A38"/>
    <w:rsid w:val="001631EC"/>
    <w:rsid w:val="00163381"/>
    <w:rsid w:val="001634F7"/>
    <w:rsid w:val="00163B40"/>
    <w:rsid w:val="00163DEC"/>
    <w:rsid w:val="001641D1"/>
    <w:rsid w:val="0016497C"/>
    <w:rsid w:val="00164BA4"/>
    <w:rsid w:val="00164C2F"/>
    <w:rsid w:val="00164C5B"/>
    <w:rsid w:val="00164E8B"/>
    <w:rsid w:val="0016531B"/>
    <w:rsid w:val="00165882"/>
    <w:rsid w:val="001658D7"/>
    <w:rsid w:val="00165AAB"/>
    <w:rsid w:val="00165C9B"/>
    <w:rsid w:val="00166243"/>
    <w:rsid w:val="00166330"/>
    <w:rsid w:val="001667D0"/>
    <w:rsid w:val="001667E1"/>
    <w:rsid w:val="001668AD"/>
    <w:rsid w:val="001669F4"/>
    <w:rsid w:val="00166BC6"/>
    <w:rsid w:val="00166CAE"/>
    <w:rsid w:val="00166DC0"/>
    <w:rsid w:val="00166EBD"/>
    <w:rsid w:val="001671CE"/>
    <w:rsid w:val="001673F5"/>
    <w:rsid w:val="00167475"/>
    <w:rsid w:val="00167C51"/>
    <w:rsid w:val="00167DB9"/>
    <w:rsid w:val="0017019D"/>
    <w:rsid w:val="00170289"/>
    <w:rsid w:val="001703C8"/>
    <w:rsid w:val="001707BB"/>
    <w:rsid w:val="00170C76"/>
    <w:rsid w:val="00171041"/>
    <w:rsid w:val="00171211"/>
    <w:rsid w:val="0017167A"/>
    <w:rsid w:val="001718DE"/>
    <w:rsid w:val="001718E9"/>
    <w:rsid w:val="00171951"/>
    <w:rsid w:val="00171EA7"/>
    <w:rsid w:val="00172087"/>
    <w:rsid w:val="001720C2"/>
    <w:rsid w:val="0017228E"/>
    <w:rsid w:val="0017260D"/>
    <w:rsid w:val="001726C4"/>
    <w:rsid w:val="0017278B"/>
    <w:rsid w:val="00172A8B"/>
    <w:rsid w:val="00172B3B"/>
    <w:rsid w:val="0017339D"/>
    <w:rsid w:val="001738C0"/>
    <w:rsid w:val="00173A00"/>
    <w:rsid w:val="00173F90"/>
    <w:rsid w:val="001749E6"/>
    <w:rsid w:val="00174CBB"/>
    <w:rsid w:val="00174F04"/>
    <w:rsid w:val="00175338"/>
    <w:rsid w:val="0017546C"/>
    <w:rsid w:val="00175538"/>
    <w:rsid w:val="001756A1"/>
    <w:rsid w:val="00175B84"/>
    <w:rsid w:val="00175BB6"/>
    <w:rsid w:val="00175E40"/>
    <w:rsid w:val="00175EC8"/>
    <w:rsid w:val="00176099"/>
    <w:rsid w:val="0017641E"/>
    <w:rsid w:val="001765BC"/>
    <w:rsid w:val="00176773"/>
    <w:rsid w:val="0017696A"/>
    <w:rsid w:val="0017697E"/>
    <w:rsid w:val="00176F6E"/>
    <w:rsid w:val="0017701D"/>
    <w:rsid w:val="0017733E"/>
    <w:rsid w:val="001777C9"/>
    <w:rsid w:val="00177CE3"/>
    <w:rsid w:val="00177EB8"/>
    <w:rsid w:val="00177F17"/>
    <w:rsid w:val="001801E7"/>
    <w:rsid w:val="0018032A"/>
    <w:rsid w:val="00180472"/>
    <w:rsid w:val="00180950"/>
    <w:rsid w:val="00180A24"/>
    <w:rsid w:val="00180A55"/>
    <w:rsid w:val="00180BFF"/>
    <w:rsid w:val="00180C26"/>
    <w:rsid w:val="00180D58"/>
    <w:rsid w:val="00180E3E"/>
    <w:rsid w:val="00181022"/>
    <w:rsid w:val="00181716"/>
    <w:rsid w:val="00181872"/>
    <w:rsid w:val="001818C1"/>
    <w:rsid w:val="00181EE8"/>
    <w:rsid w:val="00182DF2"/>
    <w:rsid w:val="00182DFF"/>
    <w:rsid w:val="00182F57"/>
    <w:rsid w:val="00182FC5"/>
    <w:rsid w:val="001831B3"/>
    <w:rsid w:val="00183268"/>
    <w:rsid w:val="00183415"/>
    <w:rsid w:val="00183614"/>
    <w:rsid w:val="00183688"/>
    <w:rsid w:val="00183790"/>
    <w:rsid w:val="00183BAB"/>
    <w:rsid w:val="00183C62"/>
    <w:rsid w:val="00183D9D"/>
    <w:rsid w:val="0018513B"/>
    <w:rsid w:val="00185271"/>
    <w:rsid w:val="001852D7"/>
    <w:rsid w:val="001853BB"/>
    <w:rsid w:val="001856FA"/>
    <w:rsid w:val="0018587D"/>
    <w:rsid w:val="00185913"/>
    <w:rsid w:val="00185E10"/>
    <w:rsid w:val="00185F74"/>
    <w:rsid w:val="00185F9C"/>
    <w:rsid w:val="001862CB"/>
    <w:rsid w:val="001862ED"/>
    <w:rsid w:val="001863F7"/>
    <w:rsid w:val="00186467"/>
    <w:rsid w:val="001864A8"/>
    <w:rsid w:val="001865B7"/>
    <w:rsid w:val="00186B65"/>
    <w:rsid w:val="00186E08"/>
    <w:rsid w:val="00186E56"/>
    <w:rsid w:val="00186FAB"/>
    <w:rsid w:val="00186FD5"/>
    <w:rsid w:val="00187291"/>
    <w:rsid w:val="0018758C"/>
    <w:rsid w:val="00187BE4"/>
    <w:rsid w:val="00187E12"/>
    <w:rsid w:val="00190013"/>
    <w:rsid w:val="001904C1"/>
    <w:rsid w:val="00190573"/>
    <w:rsid w:val="00190650"/>
    <w:rsid w:val="00190DC8"/>
    <w:rsid w:val="00191490"/>
    <w:rsid w:val="00191617"/>
    <w:rsid w:val="00191666"/>
    <w:rsid w:val="001919D6"/>
    <w:rsid w:val="00191C83"/>
    <w:rsid w:val="00191E50"/>
    <w:rsid w:val="0019292E"/>
    <w:rsid w:val="00192A38"/>
    <w:rsid w:val="00192B20"/>
    <w:rsid w:val="00192B4E"/>
    <w:rsid w:val="00192B6B"/>
    <w:rsid w:val="00192E94"/>
    <w:rsid w:val="00193012"/>
    <w:rsid w:val="0019309B"/>
    <w:rsid w:val="001930FD"/>
    <w:rsid w:val="001931EA"/>
    <w:rsid w:val="001932A9"/>
    <w:rsid w:val="00193658"/>
    <w:rsid w:val="00193938"/>
    <w:rsid w:val="00193B52"/>
    <w:rsid w:val="00193BFA"/>
    <w:rsid w:val="00193C3E"/>
    <w:rsid w:val="001941A9"/>
    <w:rsid w:val="0019450D"/>
    <w:rsid w:val="00194CE6"/>
    <w:rsid w:val="00194F4E"/>
    <w:rsid w:val="0019506C"/>
    <w:rsid w:val="001951D4"/>
    <w:rsid w:val="001956C0"/>
    <w:rsid w:val="00195790"/>
    <w:rsid w:val="001957F4"/>
    <w:rsid w:val="00195B81"/>
    <w:rsid w:val="00195E0A"/>
    <w:rsid w:val="0019603A"/>
    <w:rsid w:val="001960DD"/>
    <w:rsid w:val="00196159"/>
    <w:rsid w:val="00196256"/>
    <w:rsid w:val="00196AE8"/>
    <w:rsid w:val="00197471"/>
    <w:rsid w:val="00197521"/>
    <w:rsid w:val="001975ED"/>
    <w:rsid w:val="00197828"/>
    <w:rsid w:val="001978BD"/>
    <w:rsid w:val="00197A70"/>
    <w:rsid w:val="00197EF2"/>
    <w:rsid w:val="001A0083"/>
    <w:rsid w:val="001A03A3"/>
    <w:rsid w:val="001A03FA"/>
    <w:rsid w:val="001A05F7"/>
    <w:rsid w:val="001A088E"/>
    <w:rsid w:val="001A0C62"/>
    <w:rsid w:val="001A0DE7"/>
    <w:rsid w:val="001A0FE1"/>
    <w:rsid w:val="001A1607"/>
    <w:rsid w:val="001A1641"/>
    <w:rsid w:val="001A1693"/>
    <w:rsid w:val="001A1B4C"/>
    <w:rsid w:val="001A1CC5"/>
    <w:rsid w:val="001A1CE2"/>
    <w:rsid w:val="001A1D58"/>
    <w:rsid w:val="001A1DE2"/>
    <w:rsid w:val="001A2035"/>
    <w:rsid w:val="001A20CF"/>
    <w:rsid w:val="001A25CB"/>
    <w:rsid w:val="001A2AF1"/>
    <w:rsid w:val="001A2B59"/>
    <w:rsid w:val="001A2C0E"/>
    <w:rsid w:val="001A3075"/>
    <w:rsid w:val="001A33D6"/>
    <w:rsid w:val="001A35BC"/>
    <w:rsid w:val="001A3973"/>
    <w:rsid w:val="001A3D88"/>
    <w:rsid w:val="001A3F2B"/>
    <w:rsid w:val="001A42FD"/>
    <w:rsid w:val="001A43BC"/>
    <w:rsid w:val="001A471B"/>
    <w:rsid w:val="001A4B47"/>
    <w:rsid w:val="001A4DFA"/>
    <w:rsid w:val="001A5029"/>
    <w:rsid w:val="001A563A"/>
    <w:rsid w:val="001A5AB3"/>
    <w:rsid w:val="001A5AFC"/>
    <w:rsid w:val="001A61DD"/>
    <w:rsid w:val="001A6573"/>
    <w:rsid w:val="001A67A1"/>
    <w:rsid w:val="001A6FAD"/>
    <w:rsid w:val="001A7023"/>
    <w:rsid w:val="001A7185"/>
    <w:rsid w:val="001A7244"/>
    <w:rsid w:val="001A736E"/>
    <w:rsid w:val="001A73BD"/>
    <w:rsid w:val="001A73C6"/>
    <w:rsid w:val="001A75FD"/>
    <w:rsid w:val="001A78CD"/>
    <w:rsid w:val="001A7AC6"/>
    <w:rsid w:val="001A7C0B"/>
    <w:rsid w:val="001A7CED"/>
    <w:rsid w:val="001A7D05"/>
    <w:rsid w:val="001A7F67"/>
    <w:rsid w:val="001B010E"/>
    <w:rsid w:val="001B021B"/>
    <w:rsid w:val="001B042B"/>
    <w:rsid w:val="001B05C8"/>
    <w:rsid w:val="001B0628"/>
    <w:rsid w:val="001B0C19"/>
    <w:rsid w:val="001B166E"/>
    <w:rsid w:val="001B166F"/>
    <w:rsid w:val="001B19AF"/>
    <w:rsid w:val="001B1F79"/>
    <w:rsid w:val="001B1FE9"/>
    <w:rsid w:val="001B1FF8"/>
    <w:rsid w:val="001B22E8"/>
    <w:rsid w:val="001B247F"/>
    <w:rsid w:val="001B2778"/>
    <w:rsid w:val="001B2C6D"/>
    <w:rsid w:val="001B2D0E"/>
    <w:rsid w:val="001B2DF9"/>
    <w:rsid w:val="001B31DA"/>
    <w:rsid w:val="001B3286"/>
    <w:rsid w:val="001B362D"/>
    <w:rsid w:val="001B39D8"/>
    <w:rsid w:val="001B3D44"/>
    <w:rsid w:val="001B3E79"/>
    <w:rsid w:val="001B3E8A"/>
    <w:rsid w:val="001B3FA2"/>
    <w:rsid w:val="001B4184"/>
    <w:rsid w:val="001B4393"/>
    <w:rsid w:val="001B49F3"/>
    <w:rsid w:val="001B4FB2"/>
    <w:rsid w:val="001B4FE1"/>
    <w:rsid w:val="001B50BD"/>
    <w:rsid w:val="001B511C"/>
    <w:rsid w:val="001B51B3"/>
    <w:rsid w:val="001B56C3"/>
    <w:rsid w:val="001B57EB"/>
    <w:rsid w:val="001B58DB"/>
    <w:rsid w:val="001B59BA"/>
    <w:rsid w:val="001B59F1"/>
    <w:rsid w:val="001B5A81"/>
    <w:rsid w:val="001B5F78"/>
    <w:rsid w:val="001B6456"/>
    <w:rsid w:val="001B6541"/>
    <w:rsid w:val="001B6608"/>
    <w:rsid w:val="001B696F"/>
    <w:rsid w:val="001B6A0E"/>
    <w:rsid w:val="001B6AE1"/>
    <w:rsid w:val="001B7142"/>
    <w:rsid w:val="001B760A"/>
    <w:rsid w:val="001B79F8"/>
    <w:rsid w:val="001B7B99"/>
    <w:rsid w:val="001B7BD4"/>
    <w:rsid w:val="001B7D2D"/>
    <w:rsid w:val="001B7E4F"/>
    <w:rsid w:val="001C0025"/>
    <w:rsid w:val="001C00DD"/>
    <w:rsid w:val="001C0101"/>
    <w:rsid w:val="001C0223"/>
    <w:rsid w:val="001C02BC"/>
    <w:rsid w:val="001C091A"/>
    <w:rsid w:val="001C0970"/>
    <w:rsid w:val="001C09D4"/>
    <w:rsid w:val="001C0FD6"/>
    <w:rsid w:val="001C103A"/>
    <w:rsid w:val="001C110C"/>
    <w:rsid w:val="001C1573"/>
    <w:rsid w:val="001C1A28"/>
    <w:rsid w:val="001C1F8E"/>
    <w:rsid w:val="001C22FC"/>
    <w:rsid w:val="001C2B23"/>
    <w:rsid w:val="001C2E85"/>
    <w:rsid w:val="001C2EE0"/>
    <w:rsid w:val="001C2FBB"/>
    <w:rsid w:val="001C3057"/>
    <w:rsid w:val="001C313C"/>
    <w:rsid w:val="001C3BEA"/>
    <w:rsid w:val="001C3BEF"/>
    <w:rsid w:val="001C3C15"/>
    <w:rsid w:val="001C3D03"/>
    <w:rsid w:val="001C423A"/>
    <w:rsid w:val="001C444B"/>
    <w:rsid w:val="001C4AD3"/>
    <w:rsid w:val="001C4D54"/>
    <w:rsid w:val="001C4FF3"/>
    <w:rsid w:val="001C5602"/>
    <w:rsid w:val="001C5AB5"/>
    <w:rsid w:val="001C5DE1"/>
    <w:rsid w:val="001C5EB1"/>
    <w:rsid w:val="001C6335"/>
    <w:rsid w:val="001C678D"/>
    <w:rsid w:val="001C6BBF"/>
    <w:rsid w:val="001C6BFC"/>
    <w:rsid w:val="001C6F06"/>
    <w:rsid w:val="001C6FB2"/>
    <w:rsid w:val="001C792E"/>
    <w:rsid w:val="001C7C56"/>
    <w:rsid w:val="001D0170"/>
    <w:rsid w:val="001D070E"/>
    <w:rsid w:val="001D1329"/>
    <w:rsid w:val="001D1DBE"/>
    <w:rsid w:val="001D2198"/>
    <w:rsid w:val="001D2559"/>
    <w:rsid w:val="001D264B"/>
    <w:rsid w:val="001D3041"/>
    <w:rsid w:val="001D3474"/>
    <w:rsid w:val="001D354F"/>
    <w:rsid w:val="001D3845"/>
    <w:rsid w:val="001D3B0D"/>
    <w:rsid w:val="001D42B9"/>
    <w:rsid w:val="001D4752"/>
    <w:rsid w:val="001D487D"/>
    <w:rsid w:val="001D4F22"/>
    <w:rsid w:val="001D528A"/>
    <w:rsid w:val="001D55C2"/>
    <w:rsid w:val="001D5CFB"/>
    <w:rsid w:val="001D6019"/>
    <w:rsid w:val="001D63CF"/>
    <w:rsid w:val="001D63F5"/>
    <w:rsid w:val="001D6650"/>
    <w:rsid w:val="001D6C57"/>
    <w:rsid w:val="001D70C2"/>
    <w:rsid w:val="001D7164"/>
    <w:rsid w:val="001D7241"/>
    <w:rsid w:val="001D743B"/>
    <w:rsid w:val="001D7927"/>
    <w:rsid w:val="001D795B"/>
    <w:rsid w:val="001D7ACF"/>
    <w:rsid w:val="001D7CFF"/>
    <w:rsid w:val="001D7F63"/>
    <w:rsid w:val="001E0439"/>
    <w:rsid w:val="001E0A38"/>
    <w:rsid w:val="001E0E87"/>
    <w:rsid w:val="001E10A2"/>
    <w:rsid w:val="001E155B"/>
    <w:rsid w:val="001E1983"/>
    <w:rsid w:val="001E2130"/>
    <w:rsid w:val="001E218A"/>
    <w:rsid w:val="001E21B6"/>
    <w:rsid w:val="001E29A3"/>
    <w:rsid w:val="001E301B"/>
    <w:rsid w:val="001E3046"/>
    <w:rsid w:val="001E3179"/>
    <w:rsid w:val="001E36A3"/>
    <w:rsid w:val="001E3E17"/>
    <w:rsid w:val="001E406E"/>
    <w:rsid w:val="001E40E8"/>
    <w:rsid w:val="001E4314"/>
    <w:rsid w:val="001E4351"/>
    <w:rsid w:val="001E46EE"/>
    <w:rsid w:val="001E4717"/>
    <w:rsid w:val="001E47DD"/>
    <w:rsid w:val="001E498F"/>
    <w:rsid w:val="001E5174"/>
    <w:rsid w:val="001E53F3"/>
    <w:rsid w:val="001E59F9"/>
    <w:rsid w:val="001E5A55"/>
    <w:rsid w:val="001E5A7B"/>
    <w:rsid w:val="001E618B"/>
    <w:rsid w:val="001E643A"/>
    <w:rsid w:val="001E662F"/>
    <w:rsid w:val="001E6859"/>
    <w:rsid w:val="001E686B"/>
    <w:rsid w:val="001E6A9F"/>
    <w:rsid w:val="001E6AF4"/>
    <w:rsid w:val="001E6B72"/>
    <w:rsid w:val="001E6DE8"/>
    <w:rsid w:val="001E7007"/>
    <w:rsid w:val="001E7069"/>
    <w:rsid w:val="001E76E7"/>
    <w:rsid w:val="001E774B"/>
    <w:rsid w:val="001E7A8F"/>
    <w:rsid w:val="001E7BD2"/>
    <w:rsid w:val="001E7D29"/>
    <w:rsid w:val="001E7ECC"/>
    <w:rsid w:val="001F07AA"/>
    <w:rsid w:val="001F166B"/>
    <w:rsid w:val="001F18BE"/>
    <w:rsid w:val="001F1AE0"/>
    <w:rsid w:val="001F1CAA"/>
    <w:rsid w:val="001F1D51"/>
    <w:rsid w:val="001F24D9"/>
    <w:rsid w:val="001F2551"/>
    <w:rsid w:val="001F258B"/>
    <w:rsid w:val="001F26C8"/>
    <w:rsid w:val="001F27FA"/>
    <w:rsid w:val="001F2846"/>
    <w:rsid w:val="001F2859"/>
    <w:rsid w:val="001F2A38"/>
    <w:rsid w:val="001F337E"/>
    <w:rsid w:val="001F37DA"/>
    <w:rsid w:val="001F3ACB"/>
    <w:rsid w:val="001F3C75"/>
    <w:rsid w:val="001F3DC3"/>
    <w:rsid w:val="001F4038"/>
    <w:rsid w:val="001F47AA"/>
    <w:rsid w:val="001F48DD"/>
    <w:rsid w:val="001F4BDB"/>
    <w:rsid w:val="001F4E9B"/>
    <w:rsid w:val="001F510F"/>
    <w:rsid w:val="001F5176"/>
    <w:rsid w:val="001F51A0"/>
    <w:rsid w:val="001F5A18"/>
    <w:rsid w:val="001F5AAE"/>
    <w:rsid w:val="001F5ACE"/>
    <w:rsid w:val="001F5B72"/>
    <w:rsid w:val="001F5BCC"/>
    <w:rsid w:val="001F5CC6"/>
    <w:rsid w:val="001F5EDC"/>
    <w:rsid w:val="001F6026"/>
    <w:rsid w:val="001F6201"/>
    <w:rsid w:val="001F62B2"/>
    <w:rsid w:val="001F62F6"/>
    <w:rsid w:val="001F633D"/>
    <w:rsid w:val="001F67BB"/>
    <w:rsid w:val="001F67FA"/>
    <w:rsid w:val="001F699C"/>
    <w:rsid w:val="001F6F09"/>
    <w:rsid w:val="001F6FC6"/>
    <w:rsid w:val="001F70B4"/>
    <w:rsid w:val="001F77B3"/>
    <w:rsid w:val="001F7846"/>
    <w:rsid w:val="001F7B9A"/>
    <w:rsid w:val="001F7D59"/>
    <w:rsid w:val="001F7D79"/>
    <w:rsid w:val="001F7E64"/>
    <w:rsid w:val="001F7F7C"/>
    <w:rsid w:val="00200033"/>
    <w:rsid w:val="002004D2"/>
    <w:rsid w:val="002004E5"/>
    <w:rsid w:val="00200730"/>
    <w:rsid w:val="00200801"/>
    <w:rsid w:val="002008CE"/>
    <w:rsid w:val="00200A53"/>
    <w:rsid w:val="00200FBF"/>
    <w:rsid w:val="002010D9"/>
    <w:rsid w:val="0020127E"/>
    <w:rsid w:val="00201A58"/>
    <w:rsid w:val="00201AD3"/>
    <w:rsid w:val="00202BC3"/>
    <w:rsid w:val="00202C30"/>
    <w:rsid w:val="00202C95"/>
    <w:rsid w:val="00202CE4"/>
    <w:rsid w:val="00202D05"/>
    <w:rsid w:val="00202DED"/>
    <w:rsid w:val="00202FA6"/>
    <w:rsid w:val="00203509"/>
    <w:rsid w:val="002037E6"/>
    <w:rsid w:val="00203911"/>
    <w:rsid w:val="00203AF0"/>
    <w:rsid w:val="002041BA"/>
    <w:rsid w:val="002044D6"/>
    <w:rsid w:val="002050B1"/>
    <w:rsid w:val="002054C6"/>
    <w:rsid w:val="0020597D"/>
    <w:rsid w:val="00205CE2"/>
    <w:rsid w:val="00205F13"/>
    <w:rsid w:val="002061CC"/>
    <w:rsid w:val="002062D5"/>
    <w:rsid w:val="00206B00"/>
    <w:rsid w:val="00206B2C"/>
    <w:rsid w:val="00206FFA"/>
    <w:rsid w:val="00207131"/>
    <w:rsid w:val="00207158"/>
    <w:rsid w:val="002072CF"/>
    <w:rsid w:val="00207808"/>
    <w:rsid w:val="00207A9A"/>
    <w:rsid w:val="00207BAA"/>
    <w:rsid w:val="00210290"/>
    <w:rsid w:val="002108DC"/>
    <w:rsid w:val="00210BCD"/>
    <w:rsid w:val="00210C58"/>
    <w:rsid w:val="00210CB0"/>
    <w:rsid w:val="00210CD0"/>
    <w:rsid w:val="00210EAB"/>
    <w:rsid w:val="00211765"/>
    <w:rsid w:val="0021210D"/>
    <w:rsid w:val="002121B3"/>
    <w:rsid w:val="002121D6"/>
    <w:rsid w:val="0021239C"/>
    <w:rsid w:val="00212833"/>
    <w:rsid w:val="0021283D"/>
    <w:rsid w:val="00212A35"/>
    <w:rsid w:val="00212CC6"/>
    <w:rsid w:val="0021305B"/>
    <w:rsid w:val="00213456"/>
    <w:rsid w:val="00213526"/>
    <w:rsid w:val="0021366A"/>
    <w:rsid w:val="002136E7"/>
    <w:rsid w:val="0021399D"/>
    <w:rsid w:val="00213B77"/>
    <w:rsid w:val="00213D1A"/>
    <w:rsid w:val="00213D37"/>
    <w:rsid w:val="00214234"/>
    <w:rsid w:val="002143F5"/>
    <w:rsid w:val="00214B5E"/>
    <w:rsid w:val="00214E5F"/>
    <w:rsid w:val="00215361"/>
    <w:rsid w:val="002155F6"/>
    <w:rsid w:val="00216032"/>
    <w:rsid w:val="002160B0"/>
    <w:rsid w:val="00216112"/>
    <w:rsid w:val="002168E4"/>
    <w:rsid w:val="00216A68"/>
    <w:rsid w:val="00216C5F"/>
    <w:rsid w:val="00216C62"/>
    <w:rsid w:val="00216CCB"/>
    <w:rsid w:val="00216F21"/>
    <w:rsid w:val="00216FB7"/>
    <w:rsid w:val="00217112"/>
    <w:rsid w:val="00217155"/>
    <w:rsid w:val="002171E6"/>
    <w:rsid w:val="002171FD"/>
    <w:rsid w:val="00217265"/>
    <w:rsid w:val="002173D7"/>
    <w:rsid w:val="00217409"/>
    <w:rsid w:val="0021753F"/>
    <w:rsid w:val="00217725"/>
    <w:rsid w:val="0021778F"/>
    <w:rsid w:val="0021787A"/>
    <w:rsid w:val="0021792D"/>
    <w:rsid w:val="00217A99"/>
    <w:rsid w:val="00217F4A"/>
    <w:rsid w:val="002204C4"/>
    <w:rsid w:val="00220622"/>
    <w:rsid w:val="002206DB"/>
    <w:rsid w:val="002209A5"/>
    <w:rsid w:val="0022182D"/>
    <w:rsid w:val="0022189D"/>
    <w:rsid w:val="00221F00"/>
    <w:rsid w:val="002220BD"/>
    <w:rsid w:val="002220F8"/>
    <w:rsid w:val="00222386"/>
    <w:rsid w:val="002227BE"/>
    <w:rsid w:val="00222AE3"/>
    <w:rsid w:val="00222D7A"/>
    <w:rsid w:val="00223299"/>
    <w:rsid w:val="0022375F"/>
    <w:rsid w:val="00223BDA"/>
    <w:rsid w:val="002241B3"/>
    <w:rsid w:val="00224311"/>
    <w:rsid w:val="002244EF"/>
    <w:rsid w:val="002245ED"/>
    <w:rsid w:val="00224859"/>
    <w:rsid w:val="00224A92"/>
    <w:rsid w:val="00224CA5"/>
    <w:rsid w:val="00224F5E"/>
    <w:rsid w:val="00225383"/>
    <w:rsid w:val="0022550E"/>
    <w:rsid w:val="00225533"/>
    <w:rsid w:val="00225608"/>
    <w:rsid w:val="00225697"/>
    <w:rsid w:val="00225816"/>
    <w:rsid w:val="00225879"/>
    <w:rsid w:val="0022593E"/>
    <w:rsid w:val="00225A12"/>
    <w:rsid w:val="00225A79"/>
    <w:rsid w:val="00225AE2"/>
    <w:rsid w:val="00225B4B"/>
    <w:rsid w:val="00225C86"/>
    <w:rsid w:val="00225E4D"/>
    <w:rsid w:val="00225EE2"/>
    <w:rsid w:val="00225EF8"/>
    <w:rsid w:val="002261B3"/>
    <w:rsid w:val="002261C2"/>
    <w:rsid w:val="002268C9"/>
    <w:rsid w:val="00226B09"/>
    <w:rsid w:val="00226B6D"/>
    <w:rsid w:val="00226B88"/>
    <w:rsid w:val="00226F87"/>
    <w:rsid w:val="00226FEE"/>
    <w:rsid w:val="002272DB"/>
    <w:rsid w:val="0022746C"/>
    <w:rsid w:val="0022756A"/>
    <w:rsid w:val="0022785B"/>
    <w:rsid w:val="002278E3"/>
    <w:rsid w:val="00227DB3"/>
    <w:rsid w:val="00227FD3"/>
    <w:rsid w:val="00230005"/>
    <w:rsid w:val="002300BD"/>
    <w:rsid w:val="00230736"/>
    <w:rsid w:val="002308F3"/>
    <w:rsid w:val="00230A71"/>
    <w:rsid w:val="00230E49"/>
    <w:rsid w:val="00230ECA"/>
    <w:rsid w:val="00230F1D"/>
    <w:rsid w:val="00231387"/>
    <w:rsid w:val="00231520"/>
    <w:rsid w:val="00231791"/>
    <w:rsid w:val="002318B6"/>
    <w:rsid w:val="00231E39"/>
    <w:rsid w:val="00231FD0"/>
    <w:rsid w:val="0023214D"/>
    <w:rsid w:val="002322FD"/>
    <w:rsid w:val="0023272E"/>
    <w:rsid w:val="00232792"/>
    <w:rsid w:val="002329B3"/>
    <w:rsid w:val="00232BCF"/>
    <w:rsid w:val="0023315E"/>
    <w:rsid w:val="0023317D"/>
    <w:rsid w:val="0023354A"/>
    <w:rsid w:val="00233599"/>
    <w:rsid w:val="00233603"/>
    <w:rsid w:val="002336D9"/>
    <w:rsid w:val="002337DC"/>
    <w:rsid w:val="00233CEF"/>
    <w:rsid w:val="00233FD0"/>
    <w:rsid w:val="002343AA"/>
    <w:rsid w:val="00234D87"/>
    <w:rsid w:val="00234F4A"/>
    <w:rsid w:val="002352B0"/>
    <w:rsid w:val="002353D0"/>
    <w:rsid w:val="002354E4"/>
    <w:rsid w:val="0023553E"/>
    <w:rsid w:val="00235858"/>
    <w:rsid w:val="00236433"/>
    <w:rsid w:val="00236591"/>
    <w:rsid w:val="00236CDC"/>
    <w:rsid w:val="00236CF2"/>
    <w:rsid w:val="00236EDF"/>
    <w:rsid w:val="00237418"/>
    <w:rsid w:val="0023771C"/>
    <w:rsid w:val="002378E0"/>
    <w:rsid w:val="00237A6D"/>
    <w:rsid w:val="0024014A"/>
    <w:rsid w:val="00240493"/>
    <w:rsid w:val="00240584"/>
    <w:rsid w:val="00240818"/>
    <w:rsid w:val="0024083D"/>
    <w:rsid w:val="00240900"/>
    <w:rsid w:val="00240E48"/>
    <w:rsid w:val="002411CA"/>
    <w:rsid w:val="002412FE"/>
    <w:rsid w:val="002415B5"/>
    <w:rsid w:val="002415D5"/>
    <w:rsid w:val="002416D6"/>
    <w:rsid w:val="00241A66"/>
    <w:rsid w:val="00241ACF"/>
    <w:rsid w:val="00241D41"/>
    <w:rsid w:val="00241E54"/>
    <w:rsid w:val="00242158"/>
    <w:rsid w:val="0024251C"/>
    <w:rsid w:val="0024257F"/>
    <w:rsid w:val="002425D0"/>
    <w:rsid w:val="00242626"/>
    <w:rsid w:val="002426FF"/>
    <w:rsid w:val="00242908"/>
    <w:rsid w:val="0024357B"/>
    <w:rsid w:val="00243942"/>
    <w:rsid w:val="00243A0C"/>
    <w:rsid w:val="00243CF9"/>
    <w:rsid w:val="00243DE8"/>
    <w:rsid w:val="00243EE3"/>
    <w:rsid w:val="002441D3"/>
    <w:rsid w:val="00244220"/>
    <w:rsid w:val="00244269"/>
    <w:rsid w:val="002442E0"/>
    <w:rsid w:val="00244328"/>
    <w:rsid w:val="0024432B"/>
    <w:rsid w:val="002445E3"/>
    <w:rsid w:val="002447B4"/>
    <w:rsid w:val="0024493E"/>
    <w:rsid w:val="00244A34"/>
    <w:rsid w:val="00244C10"/>
    <w:rsid w:val="00244FBB"/>
    <w:rsid w:val="00245110"/>
    <w:rsid w:val="00245369"/>
    <w:rsid w:val="002455D9"/>
    <w:rsid w:val="00245E61"/>
    <w:rsid w:val="00245F92"/>
    <w:rsid w:val="002460B1"/>
    <w:rsid w:val="0024618D"/>
    <w:rsid w:val="002464DC"/>
    <w:rsid w:val="002464E8"/>
    <w:rsid w:val="00246638"/>
    <w:rsid w:val="00246746"/>
    <w:rsid w:val="00246927"/>
    <w:rsid w:val="00246A9C"/>
    <w:rsid w:val="00246EC6"/>
    <w:rsid w:val="0024710A"/>
    <w:rsid w:val="0024710C"/>
    <w:rsid w:val="002471BB"/>
    <w:rsid w:val="002475E9"/>
    <w:rsid w:val="00247678"/>
    <w:rsid w:val="002479D4"/>
    <w:rsid w:val="00247A47"/>
    <w:rsid w:val="00247F78"/>
    <w:rsid w:val="00247FDB"/>
    <w:rsid w:val="002501DB"/>
    <w:rsid w:val="002504C8"/>
    <w:rsid w:val="0025064A"/>
    <w:rsid w:val="002511ED"/>
    <w:rsid w:val="0025137C"/>
    <w:rsid w:val="00252B19"/>
    <w:rsid w:val="00252C8F"/>
    <w:rsid w:val="00252CCB"/>
    <w:rsid w:val="00252D08"/>
    <w:rsid w:val="00253030"/>
    <w:rsid w:val="00253095"/>
    <w:rsid w:val="002533A7"/>
    <w:rsid w:val="00253406"/>
    <w:rsid w:val="00253478"/>
    <w:rsid w:val="00253550"/>
    <w:rsid w:val="00253583"/>
    <w:rsid w:val="0025358C"/>
    <w:rsid w:val="00253776"/>
    <w:rsid w:val="0025379F"/>
    <w:rsid w:val="002537CF"/>
    <w:rsid w:val="002538A9"/>
    <w:rsid w:val="00253A50"/>
    <w:rsid w:val="00253D21"/>
    <w:rsid w:val="0025415F"/>
    <w:rsid w:val="00254334"/>
    <w:rsid w:val="00254846"/>
    <w:rsid w:val="002548FD"/>
    <w:rsid w:val="00254AEE"/>
    <w:rsid w:val="00255417"/>
    <w:rsid w:val="0025574C"/>
    <w:rsid w:val="00255800"/>
    <w:rsid w:val="00255840"/>
    <w:rsid w:val="002559C4"/>
    <w:rsid w:val="00255EB7"/>
    <w:rsid w:val="00255F04"/>
    <w:rsid w:val="00255F41"/>
    <w:rsid w:val="002563AF"/>
    <w:rsid w:val="002566F8"/>
    <w:rsid w:val="002570B2"/>
    <w:rsid w:val="00257244"/>
    <w:rsid w:val="00257421"/>
    <w:rsid w:val="00257989"/>
    <w:rsid w:val="00257B19"/>
    <w:rsid w:val="0026013E"/>
    <w:rsid w:val="0026034C"/>
    <w:rsid w:val="0026034D"/>
    <w:rsid w:val="00260517"/>
    <w:rsid w:val="002605F9"/>
    <w:rsid w:val="0026074C"/>
    <w:rsid w:val="0026093C"/>
    <w:rsid w:val="00260AEC"/>
    <w:rsid w:val="00260CBE"/>
    <w:rsid w:val="00260FA2"/>
    <w:rsid w:val="00261210"/>
    <w:rsid w:val="0026130E"/>
    <w:rsid w:val="00261385"/>
    <w:rsid w:val="002615F5"/>
    <w:rsid w:val="00261629"/>
    <w:rsid w:val="002617D7"/>
    <w:rsid w:val="00261B9E"/>
    <w:rsid w:val="00261CD3"/>
    <w:rsid w:val="00261D71"/>
    <w:rsid w:val="00262102"/>
    <w:rsid w:val="00262111"/>
    <w:rsid w:val="002621D6"/>
    <w:rsid w:val="002622E7"/>
    <w:rsid w:val="002624DA"/>
    <w:rsid w:val="00262912"/>
    <w:rsid w:val="0026297F"/>
    <w:rsid w:val="002629CF"/>
    <w:rsid w:val="00262FED"/>
    <w:rsid w:val="00263086"/>
    <w:rsid w:val="002636A9"/>
    <w:rsid w:val="0026376B"/>
    <w:rsid w:val="00263EBA"/>
    <w:rsid w:val="00264124"/>
    <w:rsid w:val="00264381"/>
    <w:rsid w:val="002648FF"/>
    <w:rsid w:val="00264C35"/>
    <w:rsid w:val="00264E2D"/>
    <w:rsid w:val="00264E3E"/>
    <w:rsid w:val="0026558F"/>
    <w:rsid w:val="00265632"/>
    <w:rsid w:val="00265D49"/>
    <w:rsid w:val="00265EA1"/>
    <w:rsid w:val="002664E0"/>
    <w:rsid w:val="002666ED"/>
    <w:rsid w:val="00266735"/>
    <w:rsid w:val="002669CF"/>
    <w:rsid w:val="00266CA6"/>
    <w:rsid w:val="00266D07"/>
    <w:rsid w:val="00266F7D"/>
    <w:rsid w:val="002671EF"/>
    <w:rsid w:val="002671F7"/>
    <w:rsid w:val="0026728A"/>
    <w:rsid w:val="00267328"/>
    <w:rsid w:val="0026746B"/>
    <w:rsid w:val="002674BA"/>
    <w:rsid w:val="002676D7"/>
    <w:rsid w:val="002703A2"/>
    <w:rsid w:val="0027048D"/>
    <w:rsid w:val="00270683"/>
    <w:rsid w:val="002706C2"/>
    <w:rsid w:val="002706E6"/>
    <w:rsid w:val="00270904"/>
    <w:rsid w:val="00270C49"/>
    <w:rsid w:val="00270CDE"/>
    <w:rsid w:val="00270EB9"/>
    <w:rsid w:val="00270F58"/>
    <w:rsid w:val="0027112A"/>
    <w:rsid w:val="00271224"/>
    <w:rsid w:val="0027128F"/>
    <w:rsid w:val="00271338"/>
    <w:rsid w:val="0027153F"/>
    <w:rsid w:val="002715F6"/>
    <w:rsid w:val="00271731"/>
    <w:rsid w:val="002719EC"/>
    <w:rsid w:val="00271AF7"/>
    <w:rsid w:val="00271F2F"/>
    <w:rsid w:val="00271F49"/>
    <w:rsid w:val="00271F56"/>
    <w:rsid w:val="0027217B"/>
    <w:rsid w:val="00272200"/>
    <w:rsid w:val="00272F6F"/>
    <w:rsid w:val="00272F9D"/>
    <w:rsid w:val="00272F9E"/>
    <w:rsid w:val="002731B1"/>
    <w:rsid w:val="0027337B"/>
    <w:rsid w:val="002736E3"/>
    <w:rsid w:val="002736EA"/>
    <w:rsid w:val="002738C0"/>
    <w:rsid w:val="00273938"/>
    <w:rsid w:val="00273B3F"/>
    <w:rsid w:val="00273C50"/>
    <w:rsid w:val="0027413A"/>
    <w:rsid w:val="002741E3"/>
    <w:rsid w:val="002745CF"/>
    <w:rsid w:val="00274963"/>
    <w:rsid w:val="00274C01"/>
    <w:rsid w:val="00274F37"/>
    <w:rsid w:val="00275774"/>
    <w:rsid w:val="002758AF"/>
    <w:rsid w:val="00275920"/>
    <w:rsid w:val="00275A7F"/>
    <w:rsid w:val="00275D28"/>
    <w:rsid w:val="00275DC6"/>
    <w:rsid w:val="00275E73"/>
    <w:rsid w:val="00276227"/>
    <w:rsid w:val="002766D0"/>
    <w:rsid w:val="002766E4"/>
    <w:rsid w:val="00276787"/>
    <w:rsid w:val="00276F3D"/>
    <w:rsid w:val="0027750D"/>
    <w:rsid w:val="00277ACE"/>
    <w:rsid w:val="00277B53"/>
    <w:rsid w:val="00280269"/>
    <w:rsid w:val="002804C3"/>
    <w:rsid w:val="00280F2A"/>
    <w:rsid w:val="00280F66"/>
    <w:rsid w:val="002813E5"/>
    <w:rsid w:val="0028176A"/>
    <w:rsid w:val="002817CE"/>
    <w:rsid w:val="002818E1"/>
    <w:rsid w:val="00281D9E"/>
    <w:rsid w:val="00282551"/>
    <w:rsid w:val="0028255B"/>
    <w:rsid w:val="002826E9"/>
    <w:rsid w:val="00282796"/>
    <w:rsid w:val="0028282F"/>
    <w:rsid w:val="00282C07"/>
    <w:rsid w:val="00282D4B"/>
    <w:rsid w:val="00282E14"/>
    <w:rsid w:val="00282F1C"/>
    <w:rsid w:val="00282FAD"/>
    <w:rsid w:val="00283255"/>
    <w:rsid w:val="00283704"/>
    <w:rsid w:val="00283931"/>
    <w:rsid w:val="00283AA6"/>
    <w:rsid w:val="00283AE5"/>
    <w:rsid w:val="0028432C"/>
    <w:rsid w:val="00284421"/>
    <w:rsid w:val="00284737"/>
    <w:rsid w:val="00284961"/>
    <w:rsid w:val="00284AF8"/>
    <w:rsid w:val="00284E46"/>
    <w:rsid w:val="00284EDA"/>
    <w:rsid w:val="00285213"/>
    <w:rsid w:val="0028528B"/>
    <w:rsid w:val="002853BD"/>
    <w:rsid w:val="002856AA"/>
    <w:rsid w:val="002856C3"/>
    <w:rsid w:val="002857E2"/>
    <w:rsid w:val="00285AF7"/>
    <w:rsid w:val="00285B25"/>
    <w:rsid w:val="00285DCC"/>
    <w:rsid w:val="00286711"/>
    <w:rsid w:val="002869A7"/>
    <w:rsid w:val="002869F9"/>
    <w:rsid w:val="00286A1C"/>
    <w:rsid w:val="00286A53"/>
    <w:rsid w:val="00286A61"/>
    <w:rsid w:val="00286C00"/>
    <w:rsid w:val="00286C56"/>
    <w:rsid w:val="00286EA2"/>
    <w:rsid w:val="002870A9"/>
    <w:rsid w:val="0028730D"/>
    <w:rsid w:val="002874DA"/>
    <w:rsid w:val="0028776A"/>
    <w:rsid w:val="002879FF"/>
    <w:rsid w:val="00287AEF"/>
    <w:rsid w:val="00287C4C"/>
    <w:rsid w:val="00290414"/>
    <w:rsid w:val="00290530"/>
    <w:rsid w:val="00290603"/>
    <w:rsid w:val="002908A5"/>
    <w:rsid w:val="00290ABD"/>
    <w:rsid w:val="00290C45"/>
    <w:rsid w:val="00290DB4"/>
    <w:rsid w:val="00290F98"/>
    <w:rsid w:val="00290FC3"/>
    <w:rsid w:val="0029106C"/>
    <w:rsid w:val="002911B4"/>
    <w:rsid w:val="002912E4"/>
    <w:rsid w:val="0029157F"/>
    <w:rsid w:val="00291909"/>
    <w:rsid w:val="00291AC0"/>
    <w:rsid w:val="00291C2B"/>
    <w:rsid w:val="00291CE1"/>
    <w:rsid w:val="00291ECC"/>
    <w:rsid w:val="00292120"/>
    <w:rsid w:val="00292129"/>
    <w:rsid w:val="00292919"/>
    <w:rsid w:val="0029298C"/>
    <w:rsid w:val="00292D11"/>
    <w:rsid w:val="00292DAB"/>
    <w:rsid w:val="00293092"/>
    <w:rsid w:val="002931FD"/>
    <w:rsid w:val="002932A1"/>
    <w:rsid w:val="00293501"/>
    <w:rsid w:val="002938A2"/>
    <w:rsid w:val="00293AA5"/>
    <w:rsid w:val="00293B6B"/>
    <w:rsid w:val="00293E05"/>
    <w:rsid w:val="00294282"/>
    <w:rsid w:val="002942B3"/>
    <w:rsid w:val="0029491F"/>
    <w:rsid w:val="00294A67"/>
    <w:rsid w:val="0029539D"/>
    <w:rsid w:val="0029553E"/>
    <w:rsid w:val="002956ED"/>
    <w:rsid w:val="00295854"/>
    <w:rsid w:val="00295951"/>
    <w:rsid w:val="00295968"/>
    <w:rsid w:val="002959D6"/>
    <w:rsid w:val="002964AE"/>
    <w:rsid w:val="00296662"/>
    <w:rsid w:val="00296A86"/>
    <w:rsid w:val="00296CC0"/>
    <w:rsid w:val="002973E5"/>
    <w:rsid w:val="00297BDF"/>
    <w:rsid w:val="00297D4C"/>
    <w:rsid w:val="002A082A"/>
    <w:rsid w:val="002A0B4A"/>
    <w:rsid w:val="002A0FD4"/>
    <w:rsid w:val="002A119B"/>
    <w:rsid w:val="002A11D1"/>
    <w:rsid w:val="002A1311"/>
    <w:rsid w:val="002A13CB"/>
    <w:rsid w:val="002A14CC"/>
    <w:rsid w:val="002A18F2"/>
    <w:rsid w:val="002A1953"/>
    <w:rsid w:val="002A1E3A"/>
    <w:rsid w:val="002A2683"/>
    <w:rsid w:val="002A2A60"/>
    <w:rsid w:val="002A306F"/>
    <w:rsid w:val="002A3073"/>
    <w:rsid w:val="002A30AA"/>
    <w:rsid w:val="002A34C1"/>
    <w:rsid w:val="002A3653"/>
    <w:rsid w:val="002A373F"/>
    <w:rsid w:val="002A3B24"/>
    <w:rsid w:val="002A412A"/>
    <w:rsid w:val="002A435A"/>
    <w:rsid w:val="002A4546"/>
    <w:rsid w:val="002A466C"/>
    <w:rsid w:val="002A4776"/>
    <w:rsid w:val="002A48D1"/>
    <w:rsid w:val="002A4E62"/>
    <w:rsid w:val="002A4FFC"/>
    <w:rsid w:val="002A5B37"/>
    <w:rsid w:val="002A5C43"/>
    <w:rsid w:val="002A5FF5"/>
    <w:rsid w:val="002A608C"/>
    <w:rsid w:val="002A646A"/>
    <w:rsid w:val="002A6636"/>
    <w:rsid w:val="002A6916"/>
    <w:rsid w:val="002A6E11"/>
    <w:rsid w:val="002A7180"/>
    <w:rsid w:val="002A729E"/>
    <w:rsid w:val="002A72B5"/>
    <w:rsid w:val="002A745A"/>
    <w:rsid w:val="002A753D"/>
    <w:rsid w:val="002A766C"/>
    <w:rsid w:val="002A7AF2"/>
    <w:rsid w:val="002A7B50"/>
    <w:rsid w:val="002A7FB5"/>
    <w:rsid w:val="002B0095"/>
    <w:rsid w:val="002B01E5"/>
    <w:rsid w:val="002B0337"/>
    <w:rsid w:val="002B0676"/>
    <w:rsid w:val="002B0863"/>
    <w:rsid w:val="002B0F28"/>
    <w:rsid w:val="002B0FE1"/>
    <w:rsid w:val="002B109D"/>
    <w:rsid w:val="002B14E2"/>
    <w:rsid w:val="002B151B"/>
    <w:rsid w:val="002B15AC"/>
    <w:rsid w:val="002B15E5"/>
    <w:rsid w:val="002B16DD"/>
    <w:rsid w:val="002B17AE"/>
    <w:rsid w:val="002B1961"/>
    <w:rsid w:val="002B1FCB"/>
    <w:rsid w:val="002B23BB"/>
    <w:rsid w:val="002B24C4"/>
    <w:rsid w:val="002B262D"/>
    <w:rsid w:val="002B2673"/>
    <w:rsid w:val="002B2CD4"/>
    <w:rsid w:val="002B2F17"/>
    <w:rsid w:val="002B2FD7"/>
    <w:rsid w:val="002B3209"/>
    <w:rsid w:val="002B35AC"/>
    <w:rsid w:val="002B35F2"/>
    <w:rsid w:val="002B383C"/>
    <w:rsid w:val="002B3F05"/>
    <w:rsid w:val="002B43E3"/>
    <w:rsid w:val="002B43F7"/>
    <w:rsid w:val="002B500B"/>
    <w:rsid w:val="002B5115"/>
    <w:rsid w:val="002B5538"/>
    <w:rsid w:val="002B5A22"/>
    <w:rsid w:val="002B5D89"/>
    <w:rsid w:val="002B6125"/>
    <w:rsid w:val="002B613D"/>
    <w:rsid w:val="002B6AB9"/>
    <w:rsid w:val="002B6B68"/>
    <w:rsid w:val="002B6D35"/>
    <w:rsid w:val="002B6E97"/>
    <w:rsid w:val="002B702D"/>
    <w:rsid w:val="002B70AE"/>
    <w:rsid w:val="002B7102"/>
    <w:rsid w:val="002B7433"/>
    <w:rsid w:val="002B7456"/>
    <w:rsid w:val="002B7569"/>
    <w:rsid w:val="002B75BB"/>
    <w:rsid w:val="002B7AB1"/>
    <w:rsid w:val="002B7DCB"/>
    <w:rsid w:val="002B7E0A"/>
    <w:rsid w:val="002C034A"/>
    <w:rsid w:val="002C050D"/>
    <w:rsid w:val="002C096E"/>
    <w:rsid w:val="002C0AB1"/>
    <w:rsid w:val="002C0B4E"/>
    <w:rsid w:val="002C0D0A"/>
    <w:rsid w:val="002C0DB7"/>
    <w:rsid w:val="002C10AD"/>
    <w:rsid w:val="002C144D"/>
    <w:rsid w:val="002C1473"/>
    <w:rsid w:val="002C1818"/>
    <w:rsid w:val="002C1853"/>
    <w:rsid w:val="002C1A65"/>
    <w:rsid w:val="002C1B7C"/>
    <w:rsid w:val="002C1C17"/>
    <w:rsid w:val="002C1D5F"/>
    <w:rsid w:val="002C1F26"/>
    <w:rsid w:val="002C2443"/>
    <w:rsid w:val="002C28BE"/>
    <w:rsid w:val="002C290C"/>
    <w:rsid w:val="002C2BA3"/>
    <w:rsid w:val="002C2E0E"/>
    <w:rsid w:val="002C2F95"/>
    <w:rsid w:val="002C3743"/>
    <w:rsid w:val="002C3A29"/>
    <w:rsid w:val="002C414F"/>
    <w:rsid w:val="002C47E6"/>
    <w:rsid w:val="002C4C52"/>
    <w:rsid w:val="002C4E68"/>
    <w:rsid w:val="002C5093"/>
    <w:rsid w:val="002C5136"/>
    <w:rsid w:val="002C57E5"/>
    <w:rsid w:val="002C588E"/>
    <w:rsid w:val="002C5BCB"/>
    <w:rsid w:val="002C66F1"/>
    <w:rsid w:val="002C6781"/>
    <w:rsid w:val="002C6B99"/>
    <w:rsid w:val="002C6F14"/>
    <w:rsid w:val="002C6FFE"/>
    <w:rsid w:val="002C7371"/>
    <w:rsid w:val="002C7704"/>
    <w:rsid w:val="002C7973"/>
    <w:rsid w:val="002C7A67"/>
    <w:rsid w:val="002C7F13"/>
    <w:rsid w:val="002D0449"/>
    <w:rsid w:val="002D055A"/>
    <w:rsid w:val="002D0607"/>
    <w:rsid w:val="002D07B4"/>
    <w:rsid w:val="002D0A03"/>
    <w:rsid w:val="002D0BA3"/>
    <w:rsid w:val="002D1528"/>
    <w:rsid w:val="002D1665"/>
    <w:rsid w:val="002D1A70"/>
    <w:rsid w:val="002D206A"/>
    <w:rsid w:val="002D20A7"/>
    <w:rsid w:val="002D20FF"/>
    <w:rsid w:val="002D211B"/>
    <w:rsid w:val="002D2233"/>
    <w:rsid w:val="002D2639"/>
    <w:rsid w:val="002D270A"/>
    <w:rsid w:val="002D2D75"/>
    <w:rsid w:val="002D332B"/>
    <w:rsid w:val="002D33AB"/>
    <w:rsid w:val="002D355F"/>
    <w:rsid w:val="002D358E"/>
    <w:rsid w:val="002D3698"/>
    <w:rsid w:val="002D3925"/>
    <w:rsid w:val="002D3D49"/>
    <w:rsid w:val="002D3F46"/>
    <w:rsid w:val="002D3FE1"/>
    <w:rsid w:val="002D4002"/>
    <w:rsid w:val="002D4224"/>
    <w:rsid w:val="002D4B58"/>
    <w:rsid w:val="002D5022"/>
    <w:rsid w:val="002D5089"/>
    <w:rsid w:val="002D51EE"/>
    <w:rsid w:val="002D5280"/>
    <w:rsid w:val="002D528F"/>
    <w:rsid w:val="002D52EC"/>
    <w:rsid w:val="002D5654"/>
    <w:rsid w:val="002D568A"/>
    <w:rsid w:val="002D5D3C"/>
    <w:rsid w:val="002D5E18"/>
    <w:rsid w:val="002D5E80"/>
    <w:rsid w:val="002D5F07"/>
    <w:rsid w:val="002D65B3"/>
    <w:rsid w:val="002D6709"/>
    <w:rsid w:val="002D6F0F"/>
    <w:rsid w:val="002D6FFC"/>
    <w:rsid w:val="002D71AC"/>
    <w:rsid w:val="002D72D1"/>
    <w:rsid w:val="002D7386"/>
    <w:rsid w:val="002D7473"/>
    <w:rsid w:val="002D74E2"/>
    <w:rsid w:val="002D766F"/>
    <w:rsid w:val="002D791E"/>
    <w:rsid w:val="002D7D6B"/>
    <w:rsid w:val="002E01CA"/>
    <w:rsid w:val="002E02D9"/>
    <w:rsid w:val="002E034C"/>
    <w:rsid w:val="002E04A1"/>
    <w:rsid w:val="002E078F"/>
    <w:rsid w:val="002E09B9"/>
    <w:rsid w:val="002E1669"/>
    <w:rsid w:val="002E2045"/>
    <w:rsid w:val="002E223E"/>
    <w:rsid w:val="002E2247"/>
    <w:rsid w:val="002E2638"/>
    <w:rsid w:val="002E28C4"/>
    <w:rsid w:val="002E291E"/>
    <w:rsid w:val="002E2969"/>
    <w:rsid w:val="002E2CAF"/>
    <w:rsid w:val="002E33A2"/>
    <w:rsid w:val="002E33D0"/>
    <w:rsid w:val="002E3544"/>
    <w:rsid w:val="002E3A56"/>
    <w:rsid w:val="002E3AC3"/>
    <w:rsid w:val="002E3DB7"/>
    <w:rsid w:val="002E4339"/>
    <w:rsid w:val="002E448D"/>
    <w:rsid w:val="002E44A6"/>
    <w:rsid w:val="002E4AEC"/>
    <w:rsid w:val="002E4BB9"/>
    <w:rsid w:val="002E4DC7"/>
    <w:rsid w:val="002E4E8A"/>
    <w:rsid w:val="002E506E"/>
    <w:rsid w:val="002E5153"/>
    <w:rsid w:val="002E518B"/>
    <w:rsid w:val="002E5823"/>
    <w:rsid w:val="002E5F7A"/>
    <w:rsid w:val="002E60B2"/>
    <w:rsid w:val="002E62B3"/>
    <w:rsid w:val="002E6362"/>
    <w:rsid w:val="002E69BB"/>
    <w:rsid w:val="002E6B90"/>
    <w:rsid w:val="002E6BD0"/>
    <w:rsid w:val="002E6CAB"/>
    <w:rsid w:val="002E70D9"/>
    <w:rsid w:val="002E73B9"/>
    <w:rsid w:val="002E75EE"/>
    <w:rsid w:val="002E7790"/>
    <w:rsid w:val="002E7B7C"/>
    <w:rsid w:val="002F0143"/>
    <w:rsid w:val="002F04B0"/>
    <w:rsid w:val="002F08DF"/>
    <w:rsid w:val="002F0B39"/>
    <w:rsid w:val="002F0BEA"/>
    <w:rsid w:val="002F0DA8"/>
    <w:rsid w:val="002F0F48"/>
    <w:rsid w:val="002F1001"/>
    <w:rsid w:val="002F1532"/>
    <w:rsid w:val="002F16A3"/>
    <w:rsid w:val="002F1A30"/>
    <w:rsid w:val="002F1F24"/>
    <w:rsid w:val="002F21B9"/>
    <w:rsid w:val="002F221E"/>
    <w:rsid w:val="002F272A"/>
    <w:rsid w:val="002F2740"/>
    <w:rsid w:val="002F2A35"/>
    <w:rsid w:val="002F2A85"/>
    <w:rsid w:val="002F313A"/>
    <w:rsid w:val="002F327E"/>
    <w:rsid w:val="002F346D"/>
    <w:rsid w:val="002F35FB"/>
    <w:rsid w:val="002F3674"/>
    <w:rsid w:val="002F3792"/>
    <w:rsid w:val="002F380C"/>
    <w:rsid w:val="002F384C"/>
    <w:rsid w:val="002F3970"/>
    <w:rsid w:val="002F3A3F"/>
    <w:rsid w:val="002F3D06"/>
    <w:rsid w:val="002F3F7E"/>
    <w:rsid w:val="002F48C9"/>
    <w:rsid w:val="002F4C4B"/>
    <w:rsid w:val="002F4E34"/>
    <w:rsid w:val="002F4E55"/>
    <w:rsid w:val="002F4FE9"/>
    <w:rsid w:val="002F52A9"/>
    <w:rsid w:val="002F54F1"/>
    <w:rsid w:val="002F5505"/>
    <w:rsid w:val="002F56B9"/>
    <w:rsid w:val="002F598A"/>
    <w:rsid w:val="002F5BA7"/>
    <w:rsid w:val="002F5EBD"/>
    <w:rsid w:val="002F60EC"/>
    <w:rsid w:val="002F6173"/>
    <w:rsid w:val="002F640E"/>
    <w:rsid w:val="002F6D11"/>
    <w:rsid w:val="002F6F17"/>
    <w:rsid w:val="002F7072"/>
    <w:rsid w:val="002F7212"/>
    <w:rsid w:val="002F7532"/>
    <w:rsid w:val="002F76FE"/>
    <w:rsid w:val="002F779A"/>
    <w:rsid w:val="002F7E1D"/>
    <w:rsid w:val="003003F9"/>
    <w:rsid w:val="00300429"/>
    <w:rsid w:val="00300DBC"/>
    <w:rsid w:val="00301040"/>
    <w:rsid w:val="00301270"/>
    <w:rsid w:val="0030138B"/>
    <w:rsid w:val="003014EA"/>
    <w:rsid w:val="00301992"/>
    <w:rsid w:val="003019F0"/>
    <w:rsid w:val="00301A3C"/>
    <w:rsid w:val="00301D68"/>
    <w:rsid w:val="00301EB0"/>
    <w:rsid w:val="00302085"/>
    <w:rsid w:val="003022EE"/>
    <w:rsid w:val="00302459"/>
    <w:rsid w:val="0030257C"/>
    <w:rsid w:val="00302659"/>
    <w:rsid w:val="0030277D"/>
    <w:rsid w:val="0030282C"/>
    <w:rsid w:val="00302BB4"/>
    <w:rsid w:val="00302C46"/>
    <w:rsid w:val="00302F01"/>
    <w:rsid w:val="003031CF"/>
    <w:rsid w:val="003031DA"/>
    <w:rsid w:val="00303307"/>
    <w:rsid w:val="0030376B"/>
    <w:rsid w:val="00303EBF"/>
    <w:rsid w:val="00304421"/>
    <w:rsid w:val="00304605"/>
    <w:rsid w:val="0030463B"/>
    <w:rsid w:val="00304A84"/>
    <w:rsid w:val="003050EE"/>
    <w:rsid w:val="0030527D"/>
    <w:rsid w:val="00305322"/>
    <w:rsid w:val="003057B8"/>
    <w:rsid w:val="003058AB"/>
    <w:rsid w:val="003059A8"/>
    <w:rsid w:val="00305A2A"/>
    <w:rsid w:val="00306141"/>
    <w:rsid w:val="003063E3"/>
    <w:rsid w:val="003066D0"/>
    <w:rsid w:val="00306BFF"/>
    <w:rsid w:val="00306C74"/>
    <w:rsid w:val="00307329"/>
    <w:rsid w:val="003075B7"/>
    <w:rsid w:val="003076AF"/>
    <w:rsid w:val="00307AC2"/>
    <w:rsid w:val="00310174"/>
    <w:rsid w:val="003102E8"/>
    <w:rsid w:val="0031081F"/>
    <w:rsid w:val="0031088F"/>
    <w:rsid w:val="00310D7E"/>
    <w:rsid w:val="0031110E"/>
    <w:rsid w:val="003111F1"/>
    <w:rsid w:val="00311643"/>
    <w:rsid w:val="003117CF"/>
    <w:rsid w:val="00311CAC"/>
    <w:rsid w:val="00312326"/>
    <w:rsid w:val="0031263C"/>
    <w:rsid w:val="00312651"/>
    <w:rsid w:val="0031267E"/>
    <w:rsid w:val="00312752"/>
    <w:rsid w:val="00312A3E"/>
    <w:rsid w:val="00312E16"/>
    <w:rsid w:val="00312EF4"/>
    <w:rsid w:val="003131E9"/>
    <w:rsid w:val="00313634"/>
    <w:rsid w:val="00313880"/>
    <w:rsid w:val="00313CDB"/>
    <w:rsid w:val="00313D1B"/>
    <w:rsid w:val="00313ED7"/>
    <w:rsid w:val="00314092"/>
    <w:rsid w:val="0031425A"/>
    <w:rsid w:val="00314713"/>
    <w:rsid w:val="0031496C"/>
    <w:rsid w:val="00314CDC"/>
    <w:rsid w:val="00314EB5"/>
    <w:rsid w:val="003150BA"/>
    <w:rsid w:val="003155B4"/>
    <w:rsid w:val="003155FB"/>
    <w:rsid w:val="0031597C"/>
    <w:rsid w:val="00315BBF"/>
    <w:rsid w:val="00315BE1"/>
    <w:rsid w:val="00315DFD"/>
    <w:rsid w:val="0031623F"/>
    <w:rsid w:val="0031625A"/>
    <w:rsid w:val="003163EA"/>
    <w:rsid w:val="00316AA7"/>
    <w:rsid w:val="00316BDD"/>
    <w:rsid w:val="00316C40"/>
    <w:rsid w:val="00316E35"/>
    <w:rsid w:val="00316FF5"/>
    <w:rsid w:val="003170BC"/>
    <w:rsid w:val="003175CB"/>
    <w:rsid w:val="003176B0"/>
    <w:rsid w:val="003177F6"/>
    <w:rsid w:val="00317970"/>
    <w:rsid w:val="003179D2"/>
    <w:rsid w:val="00317FB3"/>
    <w:rsid w:val="00320A65"/>
    <w:rsid w:val="00320E35"/>
    <w:rsid w:val="00320FCD"/>
    <w:rsid w:val="00321007"/>
    <w:rsid w:val="0032105B"/>
    <w:rsid w:val="003212D2"/>
    <w:rsid w:val="0032145C"/>
    <w:rsid w:val="003215BE"/>
    <w:rsid w:val="0032174A"/>
    <w:rsid w:val="00321980"/>
    <w:rsid w:val="00321A18"/>
    <w:rsid w:val="00321C89"/>
    <w:rsid w:val="00321D99"/>
    <w:rsid w:val="00321FB3"/>
    <w:rsid w:val="0032209E"/>
    <w:rsid w:val="00322327"/>
    <w:rsid w:val="003224D6"/>
    <w:rsid w:val="00322CFF"/>
    <w:rsid w:val="00322D0F"/>
    <w:rsid w:val="00322F05"/>
    <w:rsid w:val="00323163"/>
    <w:rsid w:val="003232F5"/>
    <w:rsid w:val="00323716"/>
    <w:rsid w:val="00323872"/>
    <w:rsid w:val="003238BF"/>
    <w:rsid w:val="00323BF4"/>
    <w:rsid w:val="00323C4D"/>
    <w:rsid w:val="00323D76"/>
    <w:rsid w:val="00323E52"/>
    <w:rsid w:val="00323E68"/>
    <w:rsid w:val="00323FCC"/>
    <w:rsid w:val="0032418B"/>
    <w:rsid w:val="003242DE"/>
    <w:rsid w:val="003242F3"/>
    <w:rsid w:val="0032475D"/>
    <w:rsid w:val="00324BB3"/>
    <w:rsid w:val="00324E7E"/>
    <w:rsid w:val="00324F79"/>
    <w:rsid w:val="0032542B"/>
    <w:rsid w:val="0032553D"/>
    <w:rsid w:val="0032564F"/>
    <w:rsid w:val="0032566B"/>
    <w:rsid w:val="00325707"/>
    <w:rsid w:val="003257AF"/>
    <w:rsid w:val="00325B5D"/>
    <w:rsid w:val="00325B70"/>
    <w:rsid w:val="00325B92"/>
    <w:rsid w:val="00325D2C"/>
    <w:rsid w:val="0032677B"/>
    <w:rsid w:val="00326998"/>
    <w:rsid w:val="00327111"/>
    <w:rsid w:val="00327129"/>
    <w:rsid w:val="00327190"/>
    <w:rsid w:val="003273B8"/>
    <w:rsid w:val="00327401"/>
    <w:rsid w:val="00327470"/>
    <w:rsid w:val="003277C9"/>
    <w:rsid w:val="00327B4B"/>
    <w:rsid w:val="00327D88"/>
    <w:rsid w:val="00327D91"/>
    <w:rsid w:val="00327F84"/>
    <w:rsid w:val="00330899"/>
    <w:rsid w:val="00330A44"/>
    <w:rsid w:val="00330A6B"/>
    <w:rsid w:val="00330A9A"/>
    <w:rsid w:val="00330BD7"/>
    <w:rsid w:val="003310E7"/>
    <w:rsid w:val="00331219"/>
    <w:rsid w:val="0033167C"/>
    <w:rsid w:val="0033197B"/>
    <w:rsid w:val="00331C0D"/>
    <w:rsid w:val="00331FBF"/>
    <w:rsid w:val="003320F6"/>
    <w:rsid w:val="00332130"/>
    <w:rsid w:val="00332200"/>
    <w:rsid w:val="00332A36"/>
    <w:rsid w:val="00332B0F"/>
    <w:rsid w:val="00332DEE"/>
    <w:rsid w:val="0033306D"/>
    <w:rsid w:val="003335D9"/>
    <w:rsid w:val="003338C7"/>
    <w:rsid w:val="00333913"/>
    <w:rsid w:val="00333F98"/>
    <w:rsid w:val="00334023"/>
    <w:rsid w:val="003346EB"/>
    <w:rsid w:val="00334942"/>
    <w:rsid w:val="00334ABC"/>
    <w:rsid w:val="00334D48"/>
    <w:rsid w:val="00334F13"/>
    <w:rsid w:val="00334FFC"/>
    <w:rsid w:val="003350BE"/>
    <w:rsid w:val="0033519D"/>
    <w:rsid w:val="003354AC"/>
    <w:rsid w:val="00335516"/>
    <w:rsid w:val="003355EA"/>
    <w:rsid w:val="00335738"/>
    <w:rsid w:val="003357C4"/>
    <w:rsid w:val="00335933"/>
    <w:rsid w:val="003359D7"/>
    <w:rsid w:val="00335ABD"/>
    <w:rsid w:val="00335CCE"/>
    <w:rsid w:val="00336105"/>
    <w:rsid w:val="00336287"/>
    <w:rsid w:val="0033652A"/>
    <w:rsid w:val="003365E3"/>
    <w:rsid w:val="00336AB0"/>
    <w:rsid w:val="0033703A"/>
    <w:rsid w:val="003370E4"/>
    <w:rsid w:val="003373F6"/>
    <w:rsid w:val="0033741B"/>
    <w:rsid w:val="00337BD1"/>
    <w:rsid w:val="00337DD1"/>
    <w:rsid w:val="00340194"/>
    <w:rsid w:val="003402A7"/>
    <w:rsid w:val="003403B0"/>
    <w:rsid w:val="00340434"/>
    <w:rsid w:val="003404F5"/>
    <w:rsid w:val="003407DC"/>
    <w:rsid w:val="003409F4"/>
    <w:rsid w:val="00340B39"/>
    <w:rsid w:val="00340B44"/>
    <w:rsid w:val="00340E1E"/>
    <w:rsid w:val="00340EC2"/>
    <w:rsid w:val="003410CA"/>
    <w:rsid w:val="00341115"/>
    <w:rsid w:val="00341159"/>
    <w:rsid w:val="00341520"/>
    <w:rsid w:val="0034255C"/>
    <w:rsid w:val="0034295D"/>
    <w:rsid w:val="00342B2F"/>
    <w:rsid w:val="00343223"/>
    <w:rsid w:val="00343487"/>
    <w:rsid w:val="003437BD"/>
    <w:rsid w:val="003438F0"/>
    <w:rsid w:val="00343A94"/>
    <w:rsid w:val="00343D67"/>
    <w:rsid w:val="00344330"/>
    <w:rsid w:val="003444AF"/>
    <w:rsid w:val="003444C1"/>
    <w:rsid w:val="00344596"/>
    <w:rsid w:val="003445F1"/>
    <w:rsid w:val="00344D99"/>
    <w:rsid w:val="0034515A"/>
    <w:rsid w:val="003453C9"/>
    <w:rsid w:val="00345668"/>
    <w:rsid w:val="00345CAB"/>
    <w:rsid w:val="00345E85"/>
    <w:rsid w:val="00345F2E"/>
    <w:rsid w:val="003462A9"/>
    <w:rsid w:val="003462BD"/>
    <w:rsid w:val="003463C6"/>
    <w:rsid w:val="00346491"/>
    <w:rsid w:val="00346652"/>
    <w:rsid w:val="0034676D"/>
    <w:rsid w:val="00346A6C"/>
    <w:rsid w:val="00346E30"/>
    <w:rsid w:val="0034715C"/>
    <w:rsid w:val="0034728A"/>
    <w:rsid w:val="003472B6"/>
    <w:rsid w:val="0034757F"/>
    <w:rsid w:val="00347610"/>
    <w:rsid w:val="00347694"/>
    <w:rsid w:val="00347744"/>
    <w:rsid w:val="003478BD"/>
    <w:rsid w:val="003478CF"/>
    <w:rsid w:val="003478F6"/>
    <w:rsid w:val="00347A7E"/>
    <w:rsid w:val="00347AF0"/>
    <w:rsid w:val="00347D39"/>
    <w:rsid w:val="003501FC"/>
    <w:rsid w:val="00350392"/>
    <w:rsid w:val="00350847"/>
    <w:rsid w:val="00350E98"/>
    <w:rsid w:val="00350FC8"/>
    <w:rsid w:val="003516CA"/>
    <w:rsid w:val="00351A68"/>
    <w:rsid w:val="00351AA2"/>
    <w:rsid w:val="00351E18"/>
    <w:rsid w:val="00351E25"/>
    <w:rsid w:val="00351E4D"/>
    <w:rsid w:val="003520AD"/>
    <w:rsid w:val="00352137"/>
    <w:rsid w:val="003523A5"/>
    <w:rsid w:val="003523B6"/>
    <w:rsid w:val="003524D5"/>
    <w:rsid w:val="00352504"/>
    <w:rsid w:val="00352507"/>
    <w:rsid w:val="00352584"/>
    <w:rsid w:val="00352785"/>
    <w:rsid w:val="00352E4D"/>
    <w:rsid w:val="003531C0"/>
    <w:rsid w:val="00353A71"/>
    <w:rsid w:val="00353BA4"/>
    <w:rsid w:val="00353E99"/>
    <w:rsid w:val="00353FA2"/>
    <w:rsid w:val="0035440A"/>
    <w:rsid w:val="003545D9"/>
    <w:rsid w:val="0035468B"/>
    <w:rsid w:val="00354954"/>
    <w:rsid w:val="00354BFF"/>
    <w:rsid w:val="0035514C"/>
    <w:rsid w:val="00355153"/>
    <w:rsid w:val="00355224"/>
    <w:rsid w:val="0035522D"/>
    <w:rsid w:val="00355312"/>
    <w:rsid w:val="003553B6"/>
    <w:rsid w:val="00355645"/>
    <w:rsid w:val="0035574B"/>
    <w:rsid w:val="0035593E"/>
    <w:rsid w:val="00355970"/>
    <w:rsid w:val="00355DC0"/>
    <w:rsid w:val="003562F6"/>
    <w:rsid w:val="00356532"/>
    <w:rsid w:val="00356733"/>
    <w:rsid w:val="0035705D"/>
    <w:rsid w:val="00357109"/>
    <w:rsid w:val="0035722A"/>
    <w:rsid w:val="00357487"/>
    <w:rsid w:val="00357779"/>
    <w:rsid w:val="003577A6"/>
    <w:rsid w:val="003577F5"/>
    <w:rsid w:val="003578B9"/>
    <w:rsid w:val="00357968"/>
    <w:rsid w:val="00357974"/>
    <w:rsid w:val="00357F8A"/>
    <w:rsid w:val="00360037"/>
    <w:rsid w:val="003601DA"/>
    <w:rsid w:val="003603FE"/>
    <w:rsid w:val="003608E7"/>
    <w:rsid w:val="00360AA1"/>
    <w:rsid w:val="00360EA0"/>
    <w:rsid w:val="0036151E"/>
    <w:rsid w:val="003618E8"/>
    <w:rsid w:val="00361D68"/>
    <w:rsid w:val="00361E1B"/>
    <w:rsid w:val="00362067"/>
    <w:rsid w:val="00362239"/>
    <w:rsid w:val="00362569"/>
    <w:rsid w:val="00362760"/>
    <w:rsid w:val="00362970"/>
    <w:rsid w:val="003629FB"/>
    <w:rsid w:val="00362AA4"/>
    <w:rsid w:val="00362B5D"/>
    <w:rsid w:val="00362DB2"/>
    <w:rsid w:val="00363176"/>
    <w:rsid w:val="0036362F"/>
    <w:rsid w:val="00363972"/>
    <w:rsid w:val="00364334"/>
    <w:rsid w:val="00364495"/>
    <w:rsid w:val="003646A3"/>
    <w:rsid w:val="003649F4"/>
    <w:rsid w:val="00364B51"/>
    <w:rsid w:val="00364C34"/>
    <w:rsid w:val="00364E41"/>
    <w:rsid w:val="00364E6F"/>
    <w:rsid w:val="00364F94"/>
    <w:rsid w:val="0036500A"/>
    <w:rsid w:val="00365146"/>
    <w:rsid w:val="003655A0"/>
    <w:rsid w:val="00365649"/>
    <w:rsid w:val="0036572C"/>
    <w:rsid w:val="00365732"/>
    <w:rsid w:val="00365A6C"/>
    <w:rsid w:val="00365BC3"/>
    <w:rsid w:val="0036618F"/>
    <w:rsid w:val="00366194"/>
    <w:rsid w:val="00366BB1"/>
    <w:rsid w:val="00366C2E"/>
    <w:rsid w:val="00367011"/>
    <w:rsid w:val="00367361"/>
    <w:rsid w:val="0036781E"/>
    <w:rsid w:val="003679CA"/>
    <w:rsid w:val="00367C51"/>
    <w:rsid w:val="00367C59"/>
    <w:rsid w:val="00367EA7"/>
    <w:rsid w:val="00367F22"/>
    <w:rsid w:val="00367F97"/>
    <w:rsid w:val="00370381"/>
    <w:rsid w:val="0037076E"/>
    <w:rsid w:val="0037098C"/>
    <w:rsid w:val="00371393"/>
    <w:rsid w:val="0037149E"/>
    <w:rsid w:val="003715B7"/>
    <w:rsid w:val="00372092"/>
    <w:rsid w:val="00372496"/>
    <w:rsid w:val="003726B9"/>
    <w:rsid w:val="00372754"/>
    <w:rsid w:val="00372B11"/>
    <w:rsid w:val="00372D53"/>
    <w:rsid w:val="00372DE2"/>
    <w:rsid w:val="00372E65"/>
    <w:rsid w:val="00372FD3"/>
    <w:rsid w:val="00373041"/>
    <w:rsid w:val="003731A0"/>
    <w:rsid w:val="00373609"/>
    <w:rsid w:val="003737E8"/>
    <w:rsid w:val="00373A06"/>
    <w:rsid w:val="00373AB6"/>
    <w:rsid w:val="00373CBC"/>
    <w:rsid w:val="00373DB2"/>
    <w:rsid w:val="0037419C"/>
    <w:rsid w:val="003741FD"/>
    <w:rsid w:val="0037423F"/>
    <w:rsid w:val="00374347"/>
    <w:rsid w:val="0037440A"/>
    <w:rsid w:val="00374532"/>
    <w:rsid w:val="003747A9"/>
    <w:rsid w:val="00374856"/>
    <w:rsid w:val="00374868"/>
    <w:rsid w:val="003748ED"/>
    <w:rsid w:val="003749F7"/>
    <w:rsid w:val="00374C3E"/>
    <w:rsid w:val="00374D52"/>
    <w:rsid w:val="00374FE0"/>
    <w:rsid w:val="0037512B"/>
    <w:rsid w:val="0037583A"/>
    <w:rsid w:val="00375935"/>
    <w:rsid w:val="00375B88"/>
    <w:rsid w:val="00375DF4"/>
    <w:rsid w:val="003762B7"/>
    <w:rsid w:val="00376313"/>
    <w:rsid w:val="0037633F"/>
    <w:rsid w:val="003768FB"/>
    <w:rsid w:val="00376977"/>
    <w:rsid w:val="00376981"/>
    <w:rsid w:val="003769C6"/>
    <w:rsid w:val="00376C65"/>
    <w:rsid w:val="00377507"/>
    <w:rsid w:val="003777E2"/>
    <w:rsid w:val="00377C9D"/>
    <w:rsid w:val="00377F21"/>
    <w:rsid w:val="00380077"/>
    <w:rsid w:val="003801B8"/>
    <w:rsid w:val="003801E7"/>
    <w:rsid w:val="003804F6"/>
    <w:rsid w:val="00380A67"/>
    <w:rsid w:val="00380C19"/>
    <w:rsid w:val="00380DBC"/>
    <w:rsid w:val="00380EDC"/>
    <w:rsid w:val="00380F49"/>
    <w:rsid w:val="003810ED"/>
    <w:rsid w:val="003815D7"/>
    <w:rsid w:val="003818CF"/>
    <w:rsid w:val="00381930"/>
    <w:rsid w:val="0038196E"/>
    <w:rsid w:val="0038198E"/>
    <w:rsid w:val="00381B2B"/>
    <w:rsid w:val="00381BD9"/>
    <w:rsid w:val="00381D38"/>
    <w:rsid w:val="00381E2B"/>
    <w:rsid w:val="00381E32"/>
    <w:rsid w:val="00381EB1"/>
    <w:rsid w:val="00381FA0"/>
    <w:rsid w:val="00382138"/>
    <w:rsid w:val="003826C2"/>
    <w:rsid w:val="00382BE0"/>
    <w:rsid w:val="00382C9C"/>
    <w:rsid w:val="00383004"/>
    <w:rsid w:val="003830CE"/>
    <w:rsid w:val="0038335D"/>
    <w:rsid w:val="00383B84"/>
    <w:rsid w:val="00383B8D"/>
    <w:rsid w:val="00383D7F"/>
    <w:rsid w:val="00384297"/>
    <w:rsid w:val="0038449B"/>
    <w:rsid w:val="00384582"/>
    <w:rsid w:val="003845D8"/>
    <w:rsid w:val="00384789"/>
    <w:rsid w:val="00384BA5"/>
    <w:rsid w:val="00384C13"/>
    <w:rsid w:val="00385460"/>
    <w:rsid w:val="0038562C"/>
    <w:rsid w:val="0038570F"/>
    <w:rsid w:val="0038586C"/>
    <w:rsid w:val="003858DE"/>
    <w:rsid w:val="00385BC5"/>
    <w:rsid w:val="00385C3F"/>
    <w:rsid w:val="00385E2D"/>
    <w:rsid w:val="00385EF2"/>
    <w:rsid w:val="003865C2"/>
    <w:rsid w:val="00386908"/>
    <w:rsid w:val="00386B16"/>
    <w:rsid w:val="00386EAC"/>
    <w:rsid w:val="003870F2"/>
    <w:rsid w:val="00387106"/>
    <w:rsid w:val="0038712D"/>
    <w:rsid w:val="00387160"/>
    <w:rsid w:val="003871C8"/>
    <w:rsid w:val="003872D4"/>
    <w:rsid w:val="00387506"/>
    <w:rsid w:val="00387556"/>
    <w:rsid w:val="003878EC"/>
    <w:rsid w:val="00387A0E"/>
    <w:rsid w:val="00387F61"/>
    <w:rsid w:val="00390429"/>
    <w:rsid w:val="0039064E"/>
    <w:rsid w:val="00390683"/>
    <w:rsid w:val="0039099C"/>
    <w:rsid w:val="00390EF1"/>
    <w:rsid w:val="003914A5"/>
    <w:rsid w:val="0039183C"/>
    <w:rsid w:val="0039189B"/>
    <w:rsid w:val="00391CAD"/>
    <w:rsid w:val="00391E12"/>
    <w:rsid w:val="00391E2A"/>
    <w:rsid w:val="00392077"/>
    <w:rsid w:val="003920A8"/>
    <w:rsid w:val="003920CD"/>
    <w:rsid w:val="003922F7"/>
    <w:rsid w:val="0039262E"/>
    <w:rsid w:val="00392986"/>
    <w:rsid w:val="00392AF4"/>
    <w:rsid w:val="00392B53"/>
    <w:rsid w:val="003937F3"/>
    <w:rsid w:val="00393916"/>
    <w:rsid w:val="00393BBC"/>
    <w:rsid w:val="00394062"/>
    <w:rsid w:val="00394288"/>
    <w:rsid w:val="003947E6"/>
    <w:rsid w:val="003948B6"/>
    <w:rsid w:val="00394C69"/>
    <w:rsid w:val="00394F04"/>
    <w:rsid w:val="00394F3D"/>
    <w:rsid w:val="00394F88"/>
    <w:rsid w:val="00395047"/>
    <w:rsid w:val="003952CE"/>
    <w:rsid w:val="0039550B"/>
    <w:rsid w:val="00395C4F"/>
    <w:rsid w:val="00396C0B"/>
    <w:rsid w:val="003970A0"/>
    <w:rsid w:val="0039712A"/>
    <w:rsid w:val="00397459"/>
    <w:rsid w:val="00397522"/>
    <w:rsid w:val="00397529"/>
    <w:rsid w:val="00397548"/>
    <w:rsid w:val="00397597"/>
    <w:rsid w:val="003975CC"/>
    <w:rsid w:val="0039767C"/>
    <w:rsid w:val="003976B3"/>
    <w:rsid w:val="0039783D"/>
    <w:rsid w:val="003A0053"/>
    <w:rsid w:val="003A05B0"/>
    <w:rsid w:val="003A0720"/>
    <w:rsid w:val="003A07B0"/>
    <w:rsid w:val="003A0D73"/>
    <w:rsid w:val="003A0E01"/>
    <w:rsid w:val="003A15D6"/>
    <w:rsid w:val="003A17A4"/>
    <w:rsid w:val="003A1914"/>
    <w:rsid w:val="003A19F2"/>
    <w:rsid w:val="003A1C24"/>
    <w:rsid w:val="003A2377"/>
    <w:rsid w:val="003A243E"/>
    <w:rsid w:val="003A2440"/>
    <w:rsid w:val="003A24FC"/>
    <w:rsid w:val="003A2531"/>
    <w:rsid w:val="003A2FF5"/>
    <w:rsid w:val="003A32C7"/>
    <w:rsid w:val="003A345C"/>
    <w:rsid w:val="003A38CB"/>
    <w:rsid w:val="003A3A1F"/>
    <w:rsid w:val="003A3B47"/>
    <w:rsid w:val="003A3D11"/>
    <w:rsid w:val="003A424B"/>
    <w:rsid w:val="003A4787"/>
    <w:rsid w:val="003A4ACD"/>
    <w:rsid w:val="003A5145"/>
    <w:rsid w:val="003A5508"/>
    <w:rsid w:val="003A5773"/>
    <w:rsid w:val="003A5894"/>
    <w:rsid w:val="003A627B"/>
    <w:rsid w:val="003A646C"/>
    <w:rsid w:val="003A660F"/>
    <w:rsid w:val="003A6DDB"/>
    <w:rsid w:val="003A6F6B"/>
    <w:rsid w:val="003A7125"/>
    <w:rsid w:val="003A7432"/>
    <w:rsid w:val="003A7C76"/>
    <w:rsid w:val="003B01B1"/>
    <w:rsid w:val="003B04DC"/>
    <w:rsid w:val="003B0532"/>
    <w:rsid w:val="003B0690"/>
    <w:rsid w:val="003B101E"/>
    <w:rsid w:val="003B10B6"/>
    <w:rsid w:val="003B1CBA"/>
    <w:rsid w:val="003B2093"/>
    <w:rsid w:val="003B216E"/>
    <w:rsid w:val="003B2445"/>
    <w:rsid w:val="003B26CC"/>
    <w:rsid w:val="003B2B9F"/>
    <w:rsid w:val="003B37F4"/>
    <w:rsid w:val="003B394C"/>
    <w:rsid w:val="003B3AC5"/>
    <w:rsid w:val="003B3C05"/>
    <w:rsid w:val="003B3F1D"/>
    <w:rsid w:val="003B40D0"/>
    <w:rsid w:val="003B413E"/>
    <w:rsid w:val="003B45C9"/>
    <w:rsid w:val="003B4D0D"/>
    <w:rsid w:val="003B509D"/>
    <w:rsid w:val="003B5169"/>
    <w:rsid w:val="003B51F0"/>
    <w:rsid w:val="003B5359"/>
    <w:rsid w:val="003B5398"/>
    <w:rsid w:val="003B53C7"/>
    <w:rsid w:val="003B55DF"/>
    <w:rsid w:val="003B565F"/>
    <w:rsid w:val="003B59DA"/>
    <w:rsid w:val="003B5C64"/>
    <w:rsid w:val="003B5E44"/>
    <w:rsid w:val="003B60EC"/>
    <w:rsid w:val="003B6197"/>
    <w:rsid w:val="003B641C"/>
    <w:rsid w:val="003B64D4"/>
    <w:rsid w:val="003B696F"/>
    <w:rsid w:val="003B6A5F"/>
    <w:rsid w:val="003B6D7F"/>
    <w:rsid w:val="003B770B"/>
    <w:rsid w:val="003B7A2B"/>
    <w:rsid w:val="003B7CA6"/>
    <w:rsid w:val="003B7E9A"/>
    <w:rsid w:val="003B7F05"/>
    <w:rsid w:val="003C055E"/>
    <w:rsid w:val="003C0684"/>
    <w:rsid w:val="003C06C1"/>
    <w:rsid w:val="003C0942"/>
    <w:rsid w:val="003C0D1F"/>
    <w:rsid w:val="003C0E33"/>
    <w:rsid w:val="003C1194"/>
    <w:rsid w:val="003C1699"/>
    <w:rsid w:val="003C1983"/>
    <w:rsid w:val="003C1B9C"/>
    <w:rsid w:val="003C1BA6"/>
    <w:rsid w:val="003C2325"/>
    <w:rsid w:val="003C23A9"/>
    <w:rsid w:val="003C25BA"/>
    <w:rsid w:val="003C2BA7"/>
    <w:rsid w:val="003C2C54"/>
    <w:rsid w:val="003C3088"/>
    <w:rsid w:val="003C32CE"/>
    <w:rsid w:val="003C3366"/>
    <w:rsid w:val="003C3A1E"/>
    <w:rsid w:val="003C42C2"/>
    <w:rsid w:val="003C4EB6"/>
    <w:rsid w:val="003C505B"/>
    <w:rsid w:val="003C5169"/>
    <w:rsid w:val="003C5368"/>
    <w:rsid w:val="003C5787"/>
    <w:rsid w:val="003C5CCE"/>
    <w:rsid w:val="003C5D31"/>
    <w:rsid w:val="003C5FC2"/>
    <w:rsid w:val="003C6326"/>
    <w:rsid w:val="003C6AFF"/>
    <w:rsid w:val="003C6CFA"/>
    <w:rsid w:val="003C6D92"/>
    <w:rsid w:val="003C6E61"/>
    <w:rsid w:val="003C6F0F"/>
    <w:rsid w:val="003C6F95"/>
    <w:rsid w:val="003C71CF"/>
    <w:rsid w:val="003C74B9"/>
    <w:rsid w:val="003C77C8"/>
    <w:rsid w:val="003C789D"/>
    <w:rsid w:val="003C79E2"/>
    <w:rsid w:val="003D02E5"/>
    <w:rsid w:val="003D05A2"/>
    <w:rsid w:val="003D077F"/>
    <w:rsid w:val="003D0B9F"/>
    <w:rsid w:val="003D0EC8"/>
    <w:rsid w:val="003D137F"/>
    <w:rsid w:val="003D18DE"/>
    <w:rsid w:val="003D1A5F"/>
    <w:rsid w:val="003D1DDF"/>
    <w:rsid w:val="003D2029"/>
    <w:rsid w:val="003D218A"/>
    <w:rsid w:val="003D21A5"/>
    <w:rsid w:val="003D226E"/>
    <w:rsid w:val="003D22FE"/>
    <w:rsid w:val="003D260B"/>
    <w:rsid w:val="003D2DA5"/>
    <w:rsid w:val="003D3069"/>
    <w:rsid w:val="003D31BE"/>
    <w:rsid w:val="003D32BD"/>
    <w:rsid w:val="003D3381"/>
    <w:rsid w:val="003D342E"/>
    <w:rsid w:val="003D3D3A"/>
    <w:rsid w:val="003D3DD6"/>
    <w:rsid w:val="003D3F2B"/>
    <w:rsid w:val="003D453D"/>
    <w:rsid w:val="003D4A56"/>
    <w:rsid w:val="003D4F6B"/>
    <w:rsid w:val="003D5827"/>
    <w:rsid w:val="003D5879"/>
    <w:rsid w:val="003D589D"/>
    <w:rsid w:val="003D58AC"/>
    <w:rsid w:val="003D59BB"/>
    <w:rsid w:val="003D59C9"/>
    <w:rsid w:val="003D5C78"/>
    <w:rsid w:val="003D5D43"/>
    <w:rsid w:val="003D5D7D"/>
    <w:rsid w:val="003D5DD4"/>
    <w:rsid w:val="003D639C"/>
    <w:rsid w:val="003D6552"/>
    <w:rsid w:val="003D66EB"/>
    <w:rsid w:val="003D6A0C"/>
    <w:rsid w:val="003D6A55"/>
    <w:rsid w:val="003D6D7E"/>
    <w:rsid w:val="003D6F3C"/>
    <w:rsid w:val="003D72D7"/>
    <w:rsid w:val="003D74A2"/>
    <w:rsid w:val="003D7651"/>
    <w:rsid w:val="003D779B"/>
    <w:rsid w:val="003D7B2C"/>
    <w:rsid w:val="003D7C03"/>
    <w:rsid w:val="003E0047"/>
    <w:rsid w:val="003E01CC"/>
    <w:rsid w:val="003E03AD"/>
    <w:rsid w:val="003E0458"/>
    <w:rsid w:val="003E0602"/>
    <w:rsid w:val="003E0690"/>
    <w:rsid w:val="003E0694"/>
    <w:rsid w:val="003E069D"/>
    <w:rsid w:val="003E06B1"/>
    <w:rsid w:val="003E077C"/>
    <w:rsid w:val="003E07F0"/>
    <w:rsid w:val="003E107F"/>
    <w:rsid w:val="003E141C"/>
    <w:rsid w:val="003E172A"/>
    <w:rsid w:val="003E1797"/>
    <w:rsid w:val="003E18BE"/>
    <w:rsid w:val="003E1917"/>
    <w:rsid w:val="003E1D1A"/>
    <w:rsid w:val="003E1D31"/>
    <w:rsid w:val="003E1F7A"/>
    <w:rsid w:val="003E2306"/>
    <w:rsid w:val="003E2409"/>
    <w:rsid w:val="003E259A"/>
    <w:rsid w:val="003E29D8"/>
    <w:rsid w:val="003E3056"/>
    <w:rsid w:val="003E3074"/>
    <w:rsid w:val="003E321B"/>
    <w:rsid w:val="003E33BA"/>
    <w:rsid w:val="003E35E6"/>
    <w:rsid w:val="003E3B64"/>
    <w:rsid w:val="003E3F9D"/>
    <w:rsid w:val="003E4055"/>
    <w:rsid w:val="003E4233"/>
    <w:rsid w:val="003E4308"/>
    <w:rsid w:val="003E44A9"/>
    <w:rsid w:val="003E47AB"/>
    <w:rsid w:val="003E4908"/>
    <w:rsid w:val="003E4A61"/>
    <w:rsid w:val="003E4A9E"/>
    <w:rsid w:val="003E4B4B"/>
    <w:rsid w:val="003E5145"/>
    <w:rsid w:val="003E5211"/>
    <w:rsid w:val="003E5590"/>
    <w:rsid w:val="003E598A"/>
    <w:rsid w:val="003E5C0C"/>
    <w:rsid w:val="003E5CFD"/>
    <w:rsid w:val="003E5DC9"/>
    <w:rsid w:val="003E5E63"/>
    <w:rsid w:val="003E5FF4"/>
    <w:rsid w:val="003E65F6"/>
    <w:rsid w:val="003E6B2C"/>
    <w:rsid w:val="003E6CD7"/>
    <w:rsid w:val="003E6F17"/>
    <w:rsid w:val="003E74B3"/>
    <w:rsid w:val="003E774A"/>
    <w:rsid w:val="003E7982"/>
    <w:rsid w:val="003F0002"/>
    <w:rsid w:val="003F073D"/>
    <w:rsid w:val="003F0814"/>
    <w:rsid w:val="003F0906"/>
    <w:rsid w:val="003F0F6F"/>
    <w:rsid w:val="003F136C"/>
    <w:rsid w:val="003F13C9"/>
    <w:rsid w:val="003F16A0"/>
    <w:rsid w:val="003F184A"/>
    <w:rsid w:val="003F18C9"/>
    <w:rsid w:val="003F1B7F"/>
    <w:rsid w:val="003F2060"/>
    <w:rsid w:val="003F20A3"/>
    <w:rsid w:val="003F2326"/>
    <w:rsid w:val="003F2597"/>
    <w:rsid w:val="003F2702"/>
    <w:rsid w:val="003F29A3"/>
    <w:rsid w:val="003F2A1E"/>
    <w:rsid w:val="003F2FE9"/>
    <w:rsid w:val="003F309E"/>
    <w:rsid w:val="003F31D2"/>
    <w:rsid w:val="003F32E5"/>
    <w:rsid w:val="003F35F0"/>
    <w:rsid w:val="003F3716"/>
    <w:rsid w:val="003F3A20"/>
    <w:rsid w:val="003F3AD8"/>
    <w:rsid w:val="003F3D15"/>
    <w:rsid w:val="003F3DC0"/>
    <w:rsid w:val="003F3F74"/>
    <w:rsid w:val="003F4182"/>
    <w:rsid w:val="003F4845"/>
    <w:rsid w:val="003F4A00"/>
    <w:rsid w:val="003F4B63"/>
    <w:rsid w:val="003F4DBE"/>
    <w:rsid w:val="003F507E"/>
    <w:rsid w:val="003F5131"/>
    <w:rsid w:val="003F5444"/>
    <w:rsid w:val="003F5576"/>
    <w:rsid w:val="003F557E"/>
    <w:rsid w:val="003F5BBE"/>
    <w:rsid w:val="003F5FCD"/>
    <w:rsid w:val="003F5FE0"/>
    <w:rsid w:val="003F61B0"/>
    <w:rsid w:val="003F661F"/>
    <w:rsid w:val="003F6C6F"/>
    <w:rsid w:val="003F6D7C"/>
    <w:rsid w:val="003F6E69"/>
    <w:rsid w:val="003F7349"/>
    <w:rsid w:val="003F7683"/>
    <w:rsid w:val="003F7870"/>
    <w:rsid w:val="003F7931"/>
    <w:rsid w:val="003F7A8D"/>
    <w:rsid w:val="003F7BC6"/>
    <w:rsid w:val="003F7CC5"/>
    <w:rsid w:val="003F7D54"/>
    <w:rsid w:val="00400509"/>
    <w:rsid w:val="004005B0"/>
    <w:rsid w:val="0040064E"/>
    <w:rsid w:val="00400C2F"/>
    <w:rsid w:val="00400D68"/>
    <w:rsid w:val="00401110"/>
    <w:rsid w:val="0040182B"/>
    <w:rsid w:val="0040183F"/>
    <w:rsid w:val="00401A63"/>
    <w:rsid w:val="00401E2F"/>
    <w:rsid w:val="004024A3"/>
    <w:rsid w:val="00402672"/>
    <w:rsid w:val="00402A52"/>
    <w:rsid w:val="00402A60"/>
    <w:rsid w:val="00402BB9"/>
    <w:rsid w:val="00402BBC"/>
    <w:rsid w:val="00402C12"/>
    <w:rsid w:val="00402C17"/>
    <w:rsid w:val="00402DF5"/>
    <w:rsid w:val="00402E44"/>
    <w:rsid w:val="00402F3F"/>
    <w:rsid w:val="00402F98"/>
    <w:rsid w:val="0040342D"/>
    <w:rsid w:val="00403469"/>
    <w:rsid w:val="0040364D"/>
    <w:rsid w:val="004037F5"/>
    <w:rsid w:val="00403A27"/>
    <w:rsid w:val="0040409B"/>
    <w:rsid w:val="004041D0"/>
    <w:rsid w:val="004046BA"/>
    <w:rsid w:val="004046C2"/>
    <w:rsid w:val="00404792"/>
    <w:rsid w:val="00404846"/>
    <w:rsid w:val="00404960"/>
    <w:rsid w:val="00404CFC"/>
    <w:rsid w:val="0040503C"/>
    <w:rsid w:val="00405776"/>
    <w:rsid w:val="00405853"/>
    <w:rsid w:val="00405B36"/>
    <w:rsid w:val="00405EE6"/>
    <w:rsid w:val="00406335"/>
    <w:rsid w:val="004063E1"/>
    <w:rsid w:val="004064F8"/>
    <w:rsid w:val="0040657F"/>
    <w:rsid w:val="004067AD"/>
    <w:rsid w:val="0040693E"/>
    <w:rsid w:val="00406B7A"/>
    <w:rsid w:val="00407157"/>
    <w:rsid w:val="004075DE"/>
    <w:rsid w:val="004077ED"/>
    <w:rsid w:val="00407A1E"/>
    <w:rsid w:val="00407BAF"/>
    <w:rsid w:val="00407EE0"/>
    <w:rsid w:val="004102B6"/>
    <w:rsid w:val="0041035A"/>
    <w:rsid w:val="00410566"/>
    <w:rsid w:val="00410622"/>
    <w:rsid w:val="00410B3B"/>
    <w:rsid w:val="00410E84"/>
    <w:rsid w:val="00410F9B"/>
    <w:rsid w:val="0041106D"/>
    <w:rsid w:val="0041135C"/>
    <w:rsid w:val="0041163A"/>
    <w:rsid w:val="004116BF"/>
    <w:rsid w:val="004118F4"/>
    <w:rsid w:val="00411FD7"/>
    <w:rsid w:val="004125F0"/>
    <w:rsid w:val="00412869"/>
    <w:rsid w:val="00412954"/>
    <w:rsid w:val="00412D4C"/>
    <w:rsid w:val="00412E09"/>
    <w:rsid w:val="00412E4B"/>
    <w:rsid w:val="00412F41"/>
    <w:rsid w:val="004130A8"/>
    <w:rsid w:val="004132E9"/>
    <w:rsid w:val="0041339B"/>
    <w:rsid w:val="0041360F"/>
    <w:rsid w:val="00413C6D"/>
    <w:rsid w:val="00413C7C"/>
    <w:rsid w:val="00413D11"/>
    <w:rsid w:val="00413D13"/>
    <w:rsid w:val="00413EB5"/>
    <w:rsid w:val="00413EEC"/>
    <w:rsid w:val="004142F6"/>
    <w:rsid w:val="00414447"/>
    <w:rsid w:val="004144C1"/>
    <w:rsid w:val="00414806"/>
    <w:rsid w:val="004148EE"/>
    <w:rsid w:val="00414E9F"/>
    <w:rsid w:val="00415153"/>
    <w:rsid w:val="00415489"/>
    <w:rsid w:val="004156E1"/>
    <w:rsid w:val="00415887"/>
    <w:rsid w:val="00415AC4"/>
    <w:rsid w:val="00415ED6"/>
    <w:rsid w:val="004161F8"/>
    <w:rsid w:val="00416371"/>
    <w:rsid w:val="00416CC4"/>
    <w:rsid w:val="00416D53"/>
    <w:rsid w:val="00416E72"/>
    <w:rsid w:val="0041704C"/>
    <w:rsid w:val="00417350"/>
    <w:rsid w:val="00417391"/>
    <w:rsid w:val="004174ED"/>
    <w:rsid w:val="0041751E"/>
    <w:rsid w:val="00417949"/>
    <w:rsid w:val="00417A05"/>
    <w:rsid w:val="00417C6C"/>
    <w:rsid w:val="00417E89"/>
    <w:rsid w:val="00420413"/>
    <w:rsid w:val="004204EA"/>
    <w:rsid w:val="00420676"/>
    <w:rsid w:val="004208E8"/>
    <w:rsid w:val="00420CC3"/>
    <w:rsid w:val="00420D26"/>
    <w:rsid w:val="00421105"/>
    <w:rsid w:val="00421383"/>
    <w:rsid w:val="0042179F"/>
    <w:rsid w:val="00421BD2"/>
    <w:rsid w:val="00421D18"/>
    <w:rsid w:val="00421DFB"/>
    <w:rsid w:val="00421E46"/>
    <w:rsid w:val="00421E4D"/>
    <w:rsid w:val="00422232"/>
    <w:rsid w:val="00422428"/>
    <w:rsid w:val="00422730"/>
    <w:rsid w:val="00422748"/>
    <w:rsid w:val="00422FA5"/>
    <w:rsid w:val="0042321B"/>
    <w:rsid w:val="00423718"/>
    <w:rsid w:val="004240DB"/>
    <w:rsid w:val="004240EF"/>
    <w:rsid w:val="004243A6"/>
    <w:rsid w:val="00424B78"/>
    <w:rsid w:val="00424B7C"/>
    <w:rsid w:val="00424C29"/>
    <w:rsid w:val="00425007"/>
    <w:rsid w:val="004255CF"/>
    <w:rsid w:val="00425FB4"/>
    <w:rsid w:val="00426061"/>
    <w:rsid w:val="0042674A"/>
    <w:rsid w:val="00426B60"/>
    <w:rsid w:val="0042716B"/>
    <w:rsid w:val="00427335"/>
    <w:rsid w:val="0042739B"/>
    <w:rsid w:val="0042751C"/>
    <w:rsid w:val="00427677"/>
    <w:rsid w:val="004278A2"/>
    <w:rsid w:val="00427DF1"/>
    <w:rsid w:val="00427E40"/>
    <w:rsid w:val="00427EDA"/>
    <w:rsid w:val="00430041"/>
    <w:rsid w:val="0043018D"/>
    <w:rsid w:val="0043037C"/>
    <w:rsid w:val="0043096A"/>
    <w:rsid w:val="004313AD"/>
    <w:rsid w:val="004315FF"/>
    <w:rsid w:val="00431623"/>
    <w:rsid w:val="004316C7"/>
    <w:rsid w:val="004317BC"/>
    <w:rsid w:val="00431C46"/>
    <w:rsid w:val="00432020"/>
    <w:rsid w:val="0043230E"/>
    <w:rsid w:val="004325F3"/>
    <w:rsid w:val="00432A9D"/>
    <w:rsid w:val="00432F5C"/>
    <w:rsid w:val="00433144"/>
    <w:rsid w:val="00433231"/>
    <w:rsid w:val="004334B2"/>
    <w:rsid w:val="004335E8"/>
    <w:rsid w:val="004336FB"/>
    <w:rsid w:val="00434119"/>
    <w:rsid w:val="0043444D"/>
    <w:rsid w:val="004344F1"/>
    <w:rsid w:val="00434816"/>
    <w:rsid w:val="0043494F"/>
    <w:rsid w:val="00434A73"/>
    <w:rsid w:val="00434B79"/>
    <w:rsid w:val="00434E15"/>
    <w:rsid w:val="00434EA0"/>
    <w:rsid w:val="00435223"/>
    <w:rsid w:val="0043581E"/>
    <w:rsid w:val="00435A20"/>
    <w:rsid w:val="00436187"/>
    <w:rsid w:val="00436260"/>
    <w:rsid w:val="004365F4"/>
    <w:rsid w:val="004367C3"/>
    <w:rsid w:val="004367EF"/>
    <w:rsid w:val="00436A3E"/>
    <w:rsid w:val="00436D0D"/>
    <w:rsid w:val="00436F3D"/>
    <w:rsid w:val="00437A1A"/>
    <w:rsid w:val="00437F4C"/>
    <w:rsid w:val="0044000D"/>
    <w:rsid w:val="004400B1"/>
    <w:rsid w:val="00440B24"/>
    <w:rsid w:val="00440C10"/>
    <w:rsid w:val="00440D78"/>
    <w:rsid w:val="00440DD6"/>
    <w:rsid w:val="00440F3C"/>
    <w:rsid w:val="0044184D"/>
    <w:rsid w:val="004418AF"/>
    <w:rsid w:val="00441A2A"/>
    <w:rsid w:val="00441D2A"/>
    <w:rsid w:val="004420F6"/>
    <w:rsid w:val="00442292"/>
    <w:rsid w:val="004426DD"/>
    <w:rsid w:val="00442780"/>
    <w:rsid w:val="0044292B"/>
    <w:rsid w:val="00442B39"/>
    <w:rsid w:val="00443296"/>
    <w:rsid w:val="0044349C"/>
    <w:rsid w:val="0044349E"/>
    <w:rsid w:val="0044359A"/>
    <w:rsid w:val="0044377F"/>
    <w:rsid w:val="00443B4D"/>
    <w:rsid w:val="00443BDD"/>
    <w:rsid w:val="00443C25"/>
    <w:rsid w:val="0044426F"/>
    <w:rsid w:val="00444316"/>
    <w:rsid w:val="004447B6"/>
    <w:rsid w:val="004449F7"/>
    <w:rsid w:val="00444AE0"/>
    <w:rsid w:val="00444B0F"/>
    <w:rsid w:val="00444CB2"/>
    <w:rsid w:val="00444E57"/>
    <w:rsid w:val="00444F65"/>
    <w:rsid w:val="00445121"/>
    <w:rsid w:val="00445581"/>
    <w:rsid w:val="00445EF4"/>
    <w:rsid w:val="00445FB0"/>
    <w:rsid w:val="00446087"/>
    <w:rsid w:val="0044627A"/>
    <w:rsid w:val="00446720"/>
    <w:rsid w:val="004468EE"/>
    <w:rsid w:val="004468F4"/>
    <w:rsid w:val="00446936"/>
    <w:rsid w:val="00446AA0"/>
    <w:rsid w:val="00446B79"/>
    <w:rsid w:val="00446E2F"/>
    <w:rsid w:val="00447191"/>
    <w:rsid w:val="004476C6"/>
    <w:rsid w:val="004476E5"/>
    <w:rsid w:val="00447805"/>
    <w:rsid w:val="00447868"/>
    <w:rsid w:val="004478E4"/>
    <w:rsid w:val="00447F78"/>
    <w:rsid w:val="00450BD1"/>
    <w:rsid w:val="00450FE3"/>
    <w:rsid w:val="0045130C"/>
    <w:rsid w:val="004513CB"/>
    <w:rsid w:val="0045141C"/>
    <w:rsid w:val="0045146F"/>
    <w:rsid w:val="00451626"/>
    <w:rsid w:val="004519AF"/>
    <w:rsid w:val="00451CA3"/>
    <w:rsid w:val="00451F12"/>
    <w:rsid w:val="00451F76"/>
    <w:rsid w:val="004520DA"/>
    <w:rsid w:val="0045215A"/>
    <w:rsid w:val="00452210"/>
    <w:rsid w:val="00452449"/>
    <w:rsid w:val="00452812"/>
    <w:rsid w:val="00452914"/>
    <w:rsid w:val="00452985"/>
    <w:rsid w:val="004529E6"/>
    <w:rsid w:val="00453533"/>
    <w:rsid w:val="00453578"/>
    <w:rsid w:val="0045359F"/>
    <w:rsid w:val="0045377D"/>
    <w:rsid w:val="00453AAF"/>
    <w:rsid w:val="00453B15"/>
    <w:rsid w:val="00453BC9"/>
    <w:rsid w:val="00453E85"/>
    <w:rsid w:val="00453F5A"/>
    <w:rsid w:val="00454467"/>
    <w:rsid w:val="00454865"/>
    <w:rsid w:val="00454A58"/>
    <w:rsid w:val="00454CB4"/>
    <w:rsid w:val="00454D2F"/>
    <w:rsid w:val="00454DA1"/>
    <w:rsid w:val="00454F61"/>
    <w:rsid w:val="00455214"/>
    <w:rsid w:val="00455587"/>
    <w:rsid w:val="00456074"/>
    <w:rsid w:val="00456136"/>
    <w:rsid w:val="004563DA"/>
    <w:rsid w:val="004569F0"/>
    <w:rsid w:val="00456AE7"/>
    <w:rsid w:val="00456BFF"/>
    <w:rsid w:val="00456D3F"/>
    <w:rsid w:val="00456D5A"/>
    <w:rsid w:val="0045703D"/>
    <w:rsid w:val="00457219"/>
    <w:rsid w:val="00457302"/>
    <w:rsid w:val="00457541"/>
    <w:rsid w:val="0045763F"/>
    <w:rsid w:val="00457929"/>
    <w:rsid w:val="004579B3"/>
    <w:rsid w:val="00457B25"/>
    <w:rsid w:val="00457CA6"/>
    <w:rsid w:val="00460008"/>
    <w:rsid w:val="00460018"/>
    <w:rsid w:val="00460074"/>
    <w:rsid w:val="004601EF"/>
    <w:rsid w:val="004602F4"/>
    <w:rsid w:val="004603C0"/>
    <w:rsid w:val="00460792"/>
    <w:rsid w:val="0046098C"/>
    <w:rsid w:val="00460D43"/>
    <w:rsid w:val="004611ED"/>
    <w:rsid w:val="0046133D"/>
    <w:rsid w:val="00461517"/>
    <w:rsid w:val="004615F5"/>
    <w:rsid w:val="00461E83"/>
    <w:rsid w:val="00462215"/>
    <w:rsid w:val="0046237C"/>
    <w:rsid w:val="004624F1"/>
    <w:rsid w:val="00462902"/>
    <w:rsid w:val="0046297E"/>
    <w:rsid w:val="004632CE"/>
    <w:rsid w:val="00463331"/>
    <w:rsid w:val="00463488"/>
    <w:rsid w:val="00463529"/>
    <w:rsid w:val="00463B95"/>
    <w:rsid w:val="00463E72"/>
    <w:rsid w:val="004640B5"/>
    <w:rsid w:val="00464134"/>
    <w:rsid w:val="00464328"/>
    <w:rsid w:val="004644F5"/>
    <w:rsid w:val="0046454E"/>
    <w:rsid w:val="0046472C"/>
    <w:rsid w:val="004651DF"/>
    <w:rsid w:val="004656B7"/>
    <w:rsid w:val="004657DB"/>
    <w:rsid w:val="004658D2"/>
    <w:rsid w:val="00465BA3"/>
    <w:rsid w:val="00465BEA"/>
    <w:rsid w:val="00465E4D"/>
    <w:rsid w:val="00465E79"/>
    <w:rsid w:val="00466045"/>
    <w:rsid w:val="0046607E"/>
    <w:rsid w:val="00466368"/>
    <w:rsid w:val="004665EB"/>
    <w:rsid w:val="00466697"/>
    <w:rsid w:val="00466A3B"/>
    <w:rsid w:val="00466FBB"/>
    <w:rsid w:val="0046731C"/>
    <w:rsid w:val="00467AB2"/>
    <w:rsid w:val="00467EDA"/>
    <w:rsid w:val="00470480"/>
    <w:rsid w:val="0047063C"/>
    <w:rsid w:val="00470869"/>
    <w:rsid w:val="0047098F"/>
    <w:rsid w:val="004710D0"/>
    <w:rsid w:val="004713AE"/>
    <w:rsid w:val="004714E4"/>
    <w:rsid w:val="00471A88"/>
    <w:rsid w:val="00471D84"/>
    <w:rsid w:val="00471E90"/>
    <w:rsid w:val="0047233A"/>
    <w:rsid w:val="0047246C"/>
    <w:rsid w:val="004724C3"/>
    <w:rsid w:val="00472958"/>
    <w:rsid w:val="00472C9B"/>
    <w:rsid w:val="004732AB"/>
    <w:rsid w:val="00473896"/>
    <w:rsid w:val="004738AB"/>
    <w:rsid w:val="00473A5E"/>
    <w:rsid w:val="00473B82"/>
    <w:rsid w:val="00473C5A"/>
    <w:rsid w:val="00473D88"/>
    <w:rsid w:val="00473DF8"/>
    <w:rsid w:val="00473EB0"/>
    <w:rsid w:val="00473F20"/>
    <w:rsid w:val="00473FF8"/>
    <w:rsid w:val="0047448C"/>
    <w:rsid w:val="004744FA"/>
    <w:rsid w:val="0047480E"/>
    <w:rsid w:val="00474931"/>
    <w:rsid w:val="00474A73"/>
    <w:rsid w:val="00474C6D"/>
    <w:rsid w:val="00474CBD"/>
    <w:rsid w:val="00474F65"/>
    <w:rsid w:val="00475165"/>
    <w:rsid w:val="00475549"/>
    <w:rsid w:val="00475561"/>
    <w:rsid w:val="00475893"/>
    <w:rsid w:val="004758A9"/>
    <w:rsid w:val="0047591B"/>
    <w:rsid w:val="00475AB0"/>
    <w:rsid w:val="00475B30"/>
    <w:rsid w:val="00475E3D"/>
    <w:rsid w:val="00476273"/>
    <w:rsid w:val="004763D1"/>
    <w:rsid w:val="00476477"/>
    <w:rsid w:val="00476497"/>
    <w:rsid w:val="00476841"/>
    <w:rsid w:val="00477012"/>
    <w:rsid w:val="00477399"/>
    <w:rsid w:val="00477587"/>
    <w:rsid w:val="004778AF"/>
    <w:rsid w:val="00477BF2"/>
    <w:rsid w:val="00477EEC"/>
    <w:rsid w:val="00477FEF"/>
    <w:rsid w:val="0048009F"/>
    <w:rsid w:val="0048020B"/>
    <w:rsid w:val="004804D1"/>
    <w:rsid w:val="00480C2B"/>
    <w:rsid w:val="0048180C"/>
    <w:rsid w:val="004818C0"/>
    <w:rsid w:val="00481A37"/>
    <w:rsid w:val="00481A54"/>
    <w:rsid w:val="00481FBE"/>
    <w:rsid w:val="00482124"/>
    <w:rsid w:val="00482323"/>
    <w:rsid w:val="00482660"/>
    <w:rsid w:val="00482865"/>
    <w:rsid w:val="0048287F"/>
    <w:rsid w:val="00482B36"/>
    <w:rsid w:val="00482C70"/>
    <w:rsid w:val="004831E8"/>
    <w:rsid w:val="004836F6"/>
    <w:rsid w:val="004838FC"/>
    <w:rsid w:val="00483936"/>
    <w:rsid w:val="00483A0B"/>
    <w:rsid w:val="00483B43"/>
    <w:rsid w:val="00483CD8"/>
    <w:rsid w:val="00483DC9"/>
    <w:rsid w:val="00483FD6"/>
    <w:rsid w:val="004841DF"/>
    <w:rsid w:val="00484901"/>
    <w:rsid w:val="00485176"/>
    <w:rsid w:val="00485258"/>
    <w:rsid w:val="0048528F"/>
    <w:rsid w:val="00485402"/>
    <w:rsid w:val="0048576C"/>
    <w:rsid w:val="004857BB"/>
    <w:rsid w:val="00485CD2"/>
    <w:rsid w:val="004864DA"/>
    <w:rsid w:val="00486A70"/>
    <w:rsid w:val="00486D52"/>
    <w:rsid w:val="00486DED"/>
    <w:rsid w:val="004871E3"/>
    <w:rsid w:val="004872BC"/>
    <w:rsid w:val="004873F2"/>
    <w:rsid w:val="004874A4"/>
    <w:rsid w:val="00487832"/>
    <w:rsid w:val="00487877"/>
    <w:rsid w:val="004879CD"/>
    <w:rsid w:val="00487D1A"/>
    <w:rsid w:val="00487F5B"/>
    <w:rsid w:val="004900E5"/>
    <w:rsid w:val="0049026F"/>
    <w:rsid w:val="004903E1"/>
    <w:rsid w:val="00490686"/>
    <w:rsid w:val="004908BC"/>
    <w:rsid w:val="00490A0A"/>
    <w:rsid w:val="00490D69"/>
    <w:rsid w:val="0049110C"/>
    <w:rsid w:val="00491184"/>
    <w:rsid w:val="00491759"/>
    <w:rsid w:val="004917B0"/>
    <w:rsid w:val="00491C00"/>
    <w:rsid w:val="004922E8"/>
    <w:rsid w:val="00492473"/>
    <w:rsid w:val="00492658"/>
    <w:rsid w:val="00492697"/>
    <w:rsid w:val="0049295D"/>
    <w:rsid w:val="00492DAF"/>
    <w:rsid w:val="00493126"/>
    <w:rsid w:val="0049316D"/>
    <w:rsid w:val="00493347"/>
    <w:rsid w:val="0049349B"/>
    <w:rsid w:val="00493D8F"/>
    <w:rsid w:val="00493FF1"/>
    <w:rsid w:val="00494355"/>
    <w:rsid w:val="004945DC"/>
    <w:rsid w:val="00494945"/>
    <w:rsid w:val="00494AD4"/>
    <w:rsid w:val="004954F3"/>
    <w:rsid w:val="00495653"/>
    <w:rsid w:val="00495951"/>
    <w:rsid w:val="00495BA3"/>
    <w:rsid w:val="00495E07"/>
    <w:rsid w:val="0049674A"/>
    <w:rsid w:val="004968C5"/>
    <w:rsid w:val="004968E5"/>
    <w:rsid w:val="00496A8E"/>
    <w:rsid w:val="00497064"/>
    <w:rsid w:val="004972B7"/>
    <w:rsid w:val="004973FE"/>
    <w:rsid w:val="004976DB"/>
    <w:rsid w:val="0049793E"/>
    <w:rsid w:val="00497C63"/>
    <w:rsid w:val="00497E44"/>
    <w:rsid w:val="00497EC6"/>
    <w:rsid w:val="00497F70"/>
    <w:rsid w:val="004A00D8"/>
    <w:rsid w:val="004A0374"/>
    <w:rsid w:val="004A03E5"/>
    <w:rsid w:val="004A03EA"/>
    <w:rsid w:val="004A08DC"/>
    <w:rsid w:val="004A0B95"/>
    <w:rsid w:val="004A1291"/>
    <w:rsid w:val="004A1505"/>
    <w:rsid w:val="004A1751"/>
    <w:rsid w:val="004A1B6A"/>
    <w:rsid w:val="004A1B9C"/>
    <w:rsid w:val="004A2058"/>
    <w:rsid w:val="004A21C8"/>
    <w:rsid w:val="004A246E"/>
    <w:rsid w:val="004A2566"/>
    <w:rsid w:val="004A25BD"/>
    <w:rsid w:val="004A269D"/>
    <w:rsid w:val="004A26CF"/>
    <w:rsid w:val="004A28DE"/>
    <w:rsid w:val="004A2FAB"/>
    <w:rsid w:val="004A34C9"/>
    <w:rsid w:val="004A3A64"/>
    <w:rsid w:val="004A3C09"/>
    <w:rsid w:val="004A42DF"/>
    <w:rsid w:val="004A4AB9"/>
    <w:rsid w:val="004A4AF7"/>
    <w:rsid w:val="004A4B29"/>
    <w:rsid w:val="004A503D"/>
    <w:rsid w:val="004A51B0"/>
    <w:rsid w:val="004A54F8"/>
    <w:rsid w:val="004A5502"/>
    <w:rsid w:val="004A5995"/>
    <w:rsid w:val="004A622F"/>
    <w:rsid w:val="004A6568"/>
    <w:rsid w:val="004A69EF"/>
    <w:rsid w:val="004A6A58"/>
    <w:rsid w:val="004A6AB8"/>
    <w:rsid w:val="004A6B20"/>
    <w:rsid w:val="004A6BAA"/>
    <w:rsid w:val="004A6F34"/>
    <w:rsid w:val="004A7471"/>
    <w:rsid w:val="004A74A7"/>
    <w:rsid w:val="004A7525"/>
    <w:rsid w:val="004A78FA"/>
    <w:rsid w:val="004A7967"/>
    <w:rsid w:val="004A7F27"/>
    <w:rsid w:val="004B00E3"/>
    <w:rsid w:val="004B0307"/>
    <w:rsid w:val="004B05A1"/>
    <w:rsid w:val="004B05DC"/>
    <w:rsid w:val="004B0AF0"/>
    <w:rsid w:val="004B13CF"/>
    <w:rsid w:val="004B141F"/>
    <w:rsid w:val="004B184A"/>
    <w:rsid w:val="004B1A00"/>
    <w:rsid w:val="004B1AEF"/>
    <w:rsid w:val="004B1BD6"/>
    <w:rsid w:val="004B1F94"/>
    <w:rsid w:val="004B258D"/>
    <w:rsid w:val="004B2828"/>
    <w:rsid w:val="004B28CF"/>
    <w:rsid w:val="004B296B"/>
    <w:rsid w:val="004B2A49"/>
    <w:rsid w:val="004B2AF6"/>
    <w:rsid w:val="004B2CBD"/>
    <w:rsid w:val="004B31FC"/>
    <w:rsid w:val="004B34BA"/>
    <w:rsid w:val="004B34C3"/>
    <w:rsid w:val="004B377B"/>
    <w:rsid w:val="004B394F"/>
    <w:rsid w:val="004B40D2"/>
    <w:rsid w:val="004B40E9"/>
    <w:rsid w:val="004B42D7"/>
    <w:rsid w:val="004B440A"/>
    <w:rsid w:val="004B48B9"/>
    <w:rsid w:val="004B4A8D"/>
    <w:rsid w:val="004B4AE2"/>
    <w:rsid w:val="004B4B7F"/>
    <w:rsid w:val="004B4DBB"/>
    <w:rsid w:val="004B4F74"/>
    <w:rsid w:val="004B4FAC"/>
    <w:rsid w:val="004B5175"/>
    <w:rsid w:val="004B5271"/>
    <w:rsid w:val="004B5868"/>
    <w:rsid w:val="004B5B00"/>
    <w:rsid w:val="004B5D65"/>
    <w:rsid w:val="004B625A"/>
    <w:rsid w:val="004B6604"/>
    <w:rsid w:val="004B6672"/>
    <w:rsid w:val="004B6AA9"/>
    <w:rsid w:val="004B6B66"/>
    <w:rsid w:val="004B6B9A"/>
    <w:rsid w:val="004B6BB9"/>
    <w:rsid w:val="004B6E50"/>
    <w:rsid w:val="004B72C3"/>
    <w:rsid w:val="004B7632"/>
    <w:rsid w:val="004B779D"/>
    <w:rsid w:val="004B79D6"/>
    <w:rsid w:val="004B7A39"/>
    <w:rsid w:val="004B7BFC"/>
    <w:rsid w:val="004B7E60"/>
    <w:rsid w:val="004B7F0B"/>
    <w:rsid w:val="004C0A39"/>
    <w:rsid w:val="004C0E28"/>
    <w:rsid w:val="004C0FFB"/>
    <w:rsid w:val="004C107A"/>
    <w:rsid w:val="004C10CF"/>
    <w:rsid w:val="004C121E"/>
    <w:rsid w:val="004C12BD"/>
    <w:rsid w:val="004C1431"/>
    <w:rsid w:val="004C1493"/>
    <w:rsid w:val="004C1810"/>
    <w:rsid w:val="004C190E"/>
    <w:rsid w:val="004C1B6D"/>
    <w:rsid w:val="004C1FCA"/>
    <w:rsid w:val="004C2155"/>
    <w:rsid w:val="004C2204"/>
    <w:rsid w:val="004C267E"/>
    <w:rsid w:val="004C2868"/>
    <w:rsid w:val="004C2981"/>
    <w:rsid w:val="004C2A82"/>
    <w:rsid w:val="004C3052"/>
    <w:rsid w:val="004C32AC"/>
    <w:rsid w:val="004C3566"/>
    <w:rsid w:val="004C3A1E"/>
    <w:rsid w:val="004C3A72"/>
    <w:rsid w:val="004C3FBC"/>
    <w:rsid w:val="004C4114"/>
    <w:rsid w:val="004C41EC"/>
    <w:rsid w:val="004C456B"/>
    <w:rsid w:val="004C46E6"/>
    <w:rsid w:val="004C4824"/>
    <w:rsid w:val="004C49BC"/>
    <w:rsid w:val="004C4C4B"/>
    <w:rsid w:val="004C4D5F"/>
    <w:rsid w:val="004C4FAF"/>
    <w:rsid w:val="004C504C"/>
    <w:rsid w:val="004C54EC"/>
    <w:rsid w:val="004C566D"/>
    <w:rsid w:val="004C5984"/>
    <w:rsid w:val="004C5BEB"/>
    <w:rsid w:val="004C5C7E"/>
    <w:rsid w:val="004C5CB4"/>
    <w:rsid w:val="004C6740"/>
    <w:rsid w:val="004C68A7"/>
    <w:rsid w:val="004C6F36"/>
    <w:rsid w:val="004C6F96"/>
    <w:rsid w:val="004C717F"/>
    <w:rsid w:val="004C771E"/>
    <w:rsid w:val="004C7818"/>
    <w:rsid w:val="004C7B54"/>
    <w:rsid w:val="004C7BC3"/>
    <w:rsid w:val="004C7EF8"/>
    <w:rsid w:val="004D018E"/>
    <w:rsid w:val="004D0338"/>
    <w:rsid w:val="004D04A9"/>
    <w:rsid w:val="004D0523"/>
    <w:rsid w:val="004D0673"/>
    <w:rsid w:val="004D0F2D"/>
    <w:rsid w:val="004D11A2"/>
    <w:rsid w:val="004D13C1"/>
    <w:rsid w:val="004D1951"/>
    <w:rsid w:val="004D1A38"/>
    <w:rsid w:val="004D1CF7"/>
    <w:rsid w:val="004D1D75"/>
    <w:rsid w:val="004D203E"/>
    <w:rsid w:val="004D20BC"/>
    <w:rsid w:val="004D223E"/>
    <w:rsid w:val="004D28EC"/>
    <w:rsid w:val="004D2B48"/>
    <w:rsid w:val="004D2BE9"/>
    <w:rsid w:val="004D2CCF"/>
    <w:rsid w:val="004D30D2"/>
    <w:rsid w:val="004D3188"/>
    <w:rsid w:val="004D35E8"/>
    <w:rsid w:val="004D35FD"/>
    <w:rsid w:val="004D38C5"/>
    <w:rsid w:val="004D3983"/>
    <w:rsid w:val="004D3A04"/>
    <w:rsid w:val="004D3C35"/>
    <w:rsid w:val="004D3C7A"/>
    <w:rsid w:val="004D3DD7"/>
    <w:rsid w:val="004D3DEA"/>
    <w:rsid w:val="004D3E95"/>
    <w:rsid w:val="004D414D"/>
    <w:rsid w:val="004D4243"/>
    <w:rsid w:val="004D49F0"/>
    <w:rsid w:val="004D51AE"/>
    <w:rsid w:val="004D5349"/>
    <w:rsid w:val="004D5350"/>
    <w:rsid w:val="004D541E"/>
    <w:rsid w:val="004D54B0"/>
    <w:rsid w:val="004D55D1"/>
    <w:rsid w:val="004D561B"/>
    <w:rsid w:val="004D56EB"/>
    <w:rsid w:val="004D5745"/>
    <w:rsid w:val="004D614C"/>
    <w:rsid w:val="004D6166"/>
    <w:rsid w:val="004D63AD"/>
    <w:rsid w:val="004D63BD"/>
    <w:rsid w:val="004D64B5"/>
    <w:rsid w:val="004D64F8"/>
    <w:rsid w:val="004D69D1"/>
    <w:rsid w:val="004D6F5D"/>
    <w:rsid w:val="004D7151"/>
    <w:rsid w:val="004D71E7"/>
    <w:rsid w:val="004D7361"/>
    <w:rsid w:val="004D788D"/>
    <w:rsid w:val="004D7B77"/>
    <w:rsid w:val="004E034B"/>
    <w:rsid w:val="004E0567"/>
    <w:rsid w:val="004E06D3"/>
    <w:rsid w:val="004E0872"/>
    <w:rsid w:val="004E0A8B"/>
    <w:rsid w:val="004E0CD8"/>
    <w:rsid w:val="004E14D2"/>
    <w:rsid w:val="004E1506"/>
    <w:rsid w:val="004E152E"/>
    <w:rsid w:val="004E1705"/>
    <w:rsid w:val="004E1862"/>
    <w:rsid w:val="004E1885"/>
    <w:rsid w:val="004E1889"/>
    <w:rsid w:val="004E18EF"/>
    <w:rsid w:val="004E1DAE"/>
    <w:rsid w:val="004E2134"/>
    <w:rsid w:val="004E25A6"/>
    <w:rsid w:val="004E263B"/>
    <w:rsid w:val="004E2A80"/>
    <w:rsid w:val="004E2F9E"/>
    <w:rsid w:val="004E30B5"/>
    <w:rsid w:val="004E30CA"/>
    <w:rsid w:val="004E32CB"/>
    <w:rsid w:val="004E3391"/>
    <w:rsid w:val="004E36B2"/>
    <w:rsid w:val="004E3D2C"/>
    <w:rsid w:val="004E3DC2"/>
    <w:rsid w:val="004E432A"/>
    <w:rsid w:val="004E4FE9"/>
    <w:rsid w:val="004E52DB"/>
    <w:rsid w:val="004E57D8"/>
    <w:rsid w:val="004E5814"/>
    <w:rsid w:val="004E593B"/>
    <w:rsid w:val="004E5DE7"/>
    <w:rsid w:val="004E5E82"/>
    <w:rsid w:val="004E5F80"/>
    <w:rsid w:val="004E6124"/>
    <w:rsid w:val="004E6144"/>
    <w:rsid w:val="004E6536"/>
    <w:rsid w:val="004E6707"/>
    <w:rsid w:val="004E68A0"/>
    <w:rsid w:val="004E6F9A"/>
    <w:rsid w:val="004E7032"/>
    <w:rsid w:val="004E72C8"/>
    <w:rsid w:val="004E7A46"/>
    <w:rsid w:val="004E7BE8"/>
    <w:rsid w:val="004E7E0A"/>
    <w:rsid w:val="004E7F5B"/>
    <w:rsid w:val="004F00A7"/>
    <w:rsid w:val="004F0759"/>
    <w:rsid w:val="004F087E"/>
    <w:rsid w:val="004F0A77"/>
    <w:rsid w:val="004F0D3F"/>
    <w:rsid w:val="004F0DE3"/>
    <w:rsid w:val="004F0FDD"/>
    <w:rsid w:val="004F10C9"/>
    <w:rsid w:val="004F1FC7"/>
    <w:rsid w:val="004F20E8"/>
    <w:rsid w:val="004F2338"/>
    <w:rsid w:val="004F233C"/>
    <w:rsid w:val="004F23C0"/>
    <w:rsid w:val="004F264F"/>
    <w:rsid w:val="004F2695"/>
    <w:rsid w:val="004F2781"/>
    <w:rsid w:val="004F27A7"/>
    <w:rsid w:val="004F2BCD"/>
    <w:rsid w:val="004F30D9"/>
    <w:rsid w:val="004F3458"/>
    <w:rsid w:val="004F377C"/>
    <w:rsid w:val="004F3B58"/>
    <w:rsid w:val="004F3EEA"/>
    <w:rsid w:val="004F43DC"/>
    <w:rsid w:val="004F43EA"/>
    <w:rsid w:val="004F44AB"/>
    <w:rsid w:val="004F454C"/>
    <w:rsid w:val="004F45EC"/>
    <w:rsid w:val="004F4646"/>
    <w:rsid w:val="004F4EFB"/>
    <w:rsid w:val="004F508E"/>
    <w:rsid w:val="004F50E2"/>
    <w:rsid w:val="004F53A1"/>
    <w:rsid w:val="004F562D"/>
    <w:rsid w:val="004F5759"/>
    <w:rsid w:val="004F5760"/>
    <w:rsid w:val="004F57B8"/>
    <w:rsid w:val="004F581D"/>
    <w:rsid w:val="004F5CEF"/>
    <w:rsid w:val="004F6084"/>
    <w:rsid w:val="004F6453"/>
    <w:rsid w:val="004F6475"/>
    <w:rsid w:val="004F6512"/>
    <w:rsid w:val="004F69B0"/>
    <w:rsid w:val="004F6C55"/>
    <w:rsid w:val="004F6E8B"/>
    <w:rsid w:val="004F6EAE"/>
    <w:rsid w:val="004F6F0A"/>
    <w:rsid w:val="004F6FCC"/>
    <w:rsid w:val="004F72D6"/>
    <w:rsid w:val="004F7405"/>
    <w:rsid w:val="004F7571"/>
    <w:rsid w:val="004F75BD"/>
    <w:rsid w:val="0050001C"/>
    <w:rsid w:val="00500059"/>
    <w:rsid w:val="005008FD"/>
    <w:rsid w:val="00500967"/>
    <w:rsid w:val="00501007"/>
    <w:rsid w:val="00501252"/>
    <w:rsid w:val="00501663"/>
    <w:rsid w:val="0050174B"/>
    <w:rsid w:val="00501AB1"/>
    <w:rsid w:val="00501B85"/>
    <w:rsid w:val="00501D1E"/>
    <w:rsid w:val="00502082"/>
    <w:rsid w:val="005027D8"/>
    <w:rsid w:val="00502908"/>
    <w:rsid w:val="005029F2"/>
    <w:rsid w:val="00502FF8"/>
    <w:rsid w:val="005030EC"/>
    <w:rsid w:val="00503392"/>
    <w:rsid w:val="0050376B"/>
    <w:rsid w:val="00503C1A"/>
    <w:rsid w:val="0050430C"/>
    <w:rsid w:val="0050432C"/>
    <w:rsid w:val="005047DF"/>
    <w:rsid w:val="005049BD"/>
    <w:rsid w:val="005049DB"/>
    <w:rsid w:val="00504B53"/>
    <w:rsid w:val="00504CE6"/>
    <w:rsid w:val="00504F23"/>
    <w:rsid w:val="00505135"/>
    <w:rsid w:val="00505259"/>
    <w:rsid w:val="00505335"/>
    <w:rsid w:val="0050552E"/>
    <w:rsid w:val="00505622"/>
    <w:rsid w:val="005056FD"/>
    <w:rsid w:val="00505BF4"/>
    <w:rsid w:val="005062FF"/>
    <w:rsid w:val="00506368"/>
    <w:rsid w:val="00506411"/>
    <w:rsid w:val="005068F4"/>
    <w:rsid w:val="00506974"/>
    <w:rsid w:val="005069A3"/>
    <w:rsid w:val="005069B7"/>
    <w:rsid w:val="005069BC"/>
    <w:rsid w:val="00506CEB"/>
    <w:rsid w:val="00506E72"/>
    <w:rsid w:val="00506F08"/>
    <w:rsid w:val="00506F7A"/>
    <w:rsid w:val="005070FA"/>
    <w:rsid w:val="005072EF"/>
    <w:rsid w:val="005073AE"/>
    <w:rsid w:val="0050750B"/>
    <w:rsid w:val="00507B6B"/>
    <w:rsid w:val="00507E46"/>
    <w:rsid w:val="00507F78"/>
    <w:rsid w:val="0051004C"/>
    <w:rsid w:val="00510518"/>
    <w:rsid w:val="0051067D"/>
    <w:rsid w:val="00511253"/>
    <w:rsid w:val="00511295"/>
    <w:rsid w:val="005112F7"/>
    <w:rsid w:val="00511395"/>
    <w:rsid w:val="005119BE"/>
    <w:rsid w:val="00511A20"/>
    <w:rsid w:val="00511BEB"/>
    <w:rsid w:val="00511CFC"/>
    <w:rsid w:val="00512569"/>
    <w:rsid w:val="0051285E"/>
    <w:rsid w:val="00512E24"/>
    <w:rsid w:val="00513594"/>
    <w:rsid w:val="00513619"/>
    <w:rsid w:val="005136C6"/>
    <w:rsid w:val="00513777"/>
    <w:rsid w:val="00513B45"/>
    <w:rsid w:val="00513DAD"/>
    <w:rsid w:val="00513E14"/>
    <w:rsid w:val="00513FBD"/>
    <w:rsid w:val="00514204"/>
    <w:rsid w:val="0051483D"/>
    <w:rsid w:val="00514C55"/>
    <w:rsid w:val="00514E89"/>
    <w:rsid w:val="00514F1B"/>
    <w:rsid w:val="0051524C"/>
    <w:rsid w:val="005154C1"/>
    <w:rsid w:val="005157E7"/>
    <w:rsid w:val="00515866"/>
    <w:rsid w:val="005159E2"/>
    <w:rsid w:val="00515E97"/>
    <w:rsid w:val="005162AB"/>
    <w:rsid w:val="005164AE"/>
    <w:rsid w:val="00516C21"/>
    <w:rsid w:val="00516E5B"/>
    <w:rsid w:val="00516EE1"/>
    <w:rsid w:val="005174CC"/>
    <w:rsid w:val="00517605"/>
    <w:rsid w:val="005178BC"/>
    <w:rsid w:val="00517B95"/>
    <w:rsid w:val="00517DAC"/>
    <w:rsid w:val="00517EA7"/>
    <w:rsid w:val="00517EF1"/>
    <w:rsid w:val="00520231"/>
    <w:rsid w:val="00520757"/>
    <w:rsid w:val="00520F8A"/>
    <w:rsid w:val="005210BE"/>
    <w:rsid w:val="00521122"/>
    <w:rsid w:val="0052125A"/>
    <w:rsid w:val="0052145D"/>
    <w:rsid w:val="00521519"/>
    <w:rsid w:val="00521821"/>
    <w:rsid w:val="0052192E"/>
    <w:rsid w:val="00521B6D"/>
    <w:rsid w:val="00521B91"/>
    <w:rsid w:val="00521C52"/>
    <w:rsid w:val="00521EDD"/>
    <w:rsid w:val="00521F81"/>
    <w:rsid w:val="00522385"/>
    <w:rsid w:val="005225FC"/>
    <w:rsid w:val="00523214"/>
    <w:rsid w:val="0052351B"/>
    <w:rsid w:val="005238A8"/>
    <w:rsid w:val="005238E5"/>
    <w:rsid w:val="00523B8E"/>
    <w:rsid w:val="00524188"/>
    <w:rsid w:val="005245BE"/>
    <w:rsid w:val="00524692"/>
    <w:rsid w:val="00524CAB"/>
    <w:rsid w:val="00524EB4"/>
    <w:rsid w:val="005253EF"/>
    <w:rsid w:val="005256A0"/>
    <w:rsid w:val="0052592B"/>
    <w:rsid w:val="00525B2A"/>
    <w:rsid w:val="00525B43"/>
    <w:rsid w:val="00526457"/>
    <w:rsid w:val="005271FF"/>
    <w:rsid w:val="00527403"/>
    <w:rsid w:val="00527540"/>
    <w:rsid w:val="005275C6"/>
    <w:rsid w:val="005277DF"/>
    <w:rsid w:val="005278E6"/>
    <w:rsid w:val="00527960"/>
    <w:rsid w:val="00527B91"/>
    <w:rsid w:val="00527FE1"/>
    <w:rsid w:val="00530B44"/>
    <w:rsid w:val="00530E87"/>
    <w:rsid w:val="0053110F"/>
    <w:rsid w:val="00531389"/>
    <w:rsid w:val="005313AB"/>
    <w:rsid w:val="005313D0"/>
    <w:rsid w:val="00531461"/>
    <w:rsid w:val="005314D3"/>
    <w:rsid w:val="005319C9"/>
    <w:rsid w:val="00531AF6"/>
    <w:rsid w:val="00532036"/>
    <w:rsid w:val="0053208B"/>
    <w:rsid w:val="00532342"/>
    <w:rsid w:val="00532364"/>
    <w:rsid w:val="00532554"/>
    <w:rsid w:val="0053257F"/>
    <w:rsid w:val="005328DE"/>
    <w:rsid w:val="00532B50"/>
    <w:rsid w:val="00532F8C"/>
    <w:rsid w:val="005331B3"/>
    <w:rsid w:val="005331CC"/>
    <w:rsid w:val="00533EE2"/>
    <w:rsid w:val="00533F4E"/>
    <w:rsid w:val="005344F7"/>
    <w:rsid w:val="00534781"/>
    <w:rsid w:val="005347E0"/>
    <w:rsid w:val="00534AA0"/>
    <w:rsid w:val="00535529"/>
    <w:rsid w:val="0053552C"/>
    <w:rsid w:val="00535890"/>
    <w:rsid w:val="00535A40"/>
    <w:rsid w:val="00535B0D"/>
    <w:rsid w:val="00535BB1"/>
    <w:rsid w:val="005364D5"/>
    <w:rsid w:val="0053669D"/>
    <w:rsid w:val="00536A25"/>
    <w:rsid w:val="00536DAD"/>
    <w:rsid w:val="00536E32"/>
    <w:rsid w:val="005370C4"/>
    <w:rsid w:val="0053734B"/>
    <w:rsid w:val="005374DB"/>
    <w:rsid w:val="005379C3"/>
    <w:rsid w:val="00537A20"/>
    <w:rsid w:val="00537EDB"/>
    <w:rsid w:val="00540042"/>
    <w:rsid w:val="0054026B"/>
    <w:rsid w:val="00540731"/>
    <w:rsid w:val="0054074C"/>
    <w:rsid w:val="005409D0"/>
    <w:rsid w:val="00540AE2"/>
    <w:rsid w:val="00540C05"/>
    <w:rsid w:val="00540C92"/>
    <w:rsid w:val="00540E3B"/>
    <w:rsid w:val="00540FD1"/>
    <w:rsid w:val="00541146"/>
    <w:rsid w:val="00541859"/>
    <w:rsid w:val="00541954"/>
    <w:rsid w:val="00541D83"/>
    <w:rsid w:val="00541FA3"/>
    <w:rsid w:val="00542409"/>
    <w:rsid w:val="00542814"/>
    <w:rsid w:val="00542B85"/>
    <w:rsid w:val="00543014"/>
    <w:rsid w:val="005431C8"/>
    <w:rsid w:val="005431DF"/>
    <w:rsid w:val="00543240"/>
    <w:rsid w:val="005437CB"/>
    <w:rsid w:val="00543802"/>
    <w:rsid w:val="0054396B"/>
    <w:rsid w:val="00543C1A"/>
    <w:rsid w:val="00543C69"/>
    <w:rsid w:val="00543FF3"/>
    <w:rsid w:val="0054408F"/>
    <w:rsid w:val="0054439F"/>
    <w:rsid w:val="00544A76"/>
    <w:rsid w:val="00544C36"/>
    <w:rsid w:val="00544C8C"/>
    <w:rsid w:val="00544D10"/>
    <w:rsid w:val="00544E09"/>
    <w:rsid w:val="00545032"/>
    <w:rsid w:val="005452FE"/>
    <w:rsid w:val="0054553F"/>
    <w:rsid w:val="00545630"/>
    <w:rsid w:val="00545921"/>
    <w:rsid w:val="005459A1"/>
    <w:rsid w:val="00545CC2"/>
    <w:rsid w:val="00546238"/>
    <w:rsid w:val="00546258"/>
    <w:rsid w:val="00546B03"/>
    <w:rsid w:val="00546D86"/>
    <w:rsid w:val="005472FF"/>
    <w:rsid w:val="00547339"/>
    <w:rsid w:val="005476E8"/>
    <w:rsid w:val="00547BE1"/>
    <w:rsid w:val="00547D12"/>
    <w:rsid w:val="00547D3F"/>
    <w:rsid w:val="0055003E"/>
    <w:rsid w:val="005504B1"/>
    <w:rsid w:val="0055051F"/>
    <w:rsid w:val="0055077D"/>
    <w:rsid w:val="005507E0"/>
    <w:rsid w:val="00550A47"/>
    <w:rsid w:val="00550D25"/>
    <w:rsid w:val="00550E70"/>
    <w:rsid w:val="00551882"/>
    <w:rsid w:val="00551D1F"/>
    <w:rsid w:val="00552033"/>
    <w:rsid w:val="00552271"/>
    <w:rsid w:val="00552694"/>
    <w:rsid w:val="005526CE"/>
    <w:rsid w:val="005529BA"/>
    <w:rsid w:val="00552A11"/>
    <w:rsid w:val="00552C68"/>
    <w:rsid w:val="0055303C"/>
    <w:rsid w:val="00553338"/>
    <w:rsid w:val="00553668"/>
    <w:rsid w:val="00553689"/>
    <w:rsid w:val="00553C85"/>
    <w:rsid w:val="005549CE"/>
    <w:rsid w:val="00554B5F"/>
    <w:rsid w:val="00554DE8"/>
    <w:rsid w:val="00554F08"/>
    <w:rsid w:val="005554AC"/>
    <w:rsid w:val="005556FF"/>
    <w:rsid w:val="005559DE"/>
    <w:rsid w:val="00555E70"/>
    <w:rsid w:val="0055609B"/>
    <w:rsid w:val="00556179"/>
    <w:rsid w:val="005563BD"/>
    <w:rsid w:val="005567CF"/>
    <w:rsid w:val="00557211"/>
    <w:rsid w:val="0055764E"/>
    <w:rsid w:val="00557735"/>
    <w:rsid w:val="005577D9"/>
    <w:rsid w:val="005579FF"/>
    <w:rsid w:val="00557A7C"/>
    <w:rsid w:val="00557E5A"/>
    <w:rsid w:val="00560439"/>
    <w:rsid w:val="0056051F"/>
    <w:rsid w:val="0056089E"/>
    <w:rsid w:val="00560E11"/>
    <w:rsid w:val="00560E30"/>
    <w:rsid w:val="00561575"/>
    <w:rsid w:val="00561C65"/>
    <w:rsid w:val="00561DA8"/>
    <w:rsid w:val="0056236D"/>
    <w:rsid w:val="00562447"/>
    <w:rsid w:val="0056266E"/>
    <w:rsid w:val="005629D2"/>
    <w:rsid w:val="00562CB2"/>
    <w:rsid w:val="00562F50"/>
    <w:rsid w:val="00563436"/>
    <w:rsid w:val="00563574"/>
    <w:rsid w:val="00563677"/>
    <w:rsid w:val="00563CF6"/>
    <w:rsid w:val="00563D27"/>
    <w:rsid w:val="0056417E"/>
    <w:rsid w:val="0056430D"/>
    <w:rsid w:val="00564325"/>
    <w:rsid w:val="00564370"/>
    <w:rsid w:val="005648CB"/>
    <w:rsid w:val="00564942"/>
    <w:rsid w:val="00564D03"/>
    <w:rsid w:val="00564E2D"/>
    <w:rsid w:val="00564FD3"/>
    <w:rsid w:val="005652DD"/>
    <w:rsid w:val="005654A9"/>
    <w:rsid w:val="00565599"/>
    <w:rsid w:val="00565728"/>
    <w:rsid w:val="00565809"/>
    <w:rsid w:val="00565D1F"/>
    <w:rsid w:val="00565ECF"/>
    <w:rsid w:val="0056616A"/>
    <w:rsid w:val="0056635B"/>
    <w:rsid w:val="005663A0"/>
    <w:rsid w:val="0056678C"/>
    <w:rsid w:val="00566A62"/>
    <w:rsid w:val="00566B90"/>
    <w:rsid w:val="005670D2"/>
    <w:rsid w:val="0056714F"/>
    <w:rsid w:val="00567193"/>
    <w:rsid w:val="005671DF"/>
    <w:rsid w:val="005709E8"/>
    <w:rsid w:val="005709F3"/>
    <w:rsid w:val="00570A70"/>
    <w:rsid w:val="00570E0E"/>
    <w:rsid w:val="00571436"/>
    <w:rsid w:val="005715B1"/>
    <w:rsid w:val="005716E6"/>
    <w:rsid w:val="00571D6D"/>
    <w:rsid w:val="00571EA8"/>
    <w:rsid w:val="0057262D"/>
    <w:rsid w:val="00572708"/>
    <w:rsid w:val="005727FA"/>
    <w:rsid w:val="00572C09"/>
    <w:rsid w:val="00572F46"/>
    <w:rsid w:val="00573028"/>
    <w:rsid w:val="0057324A"/>
    <w:rsid w:val="005735C3"/>
    <w:rsid w:val="005737C6"/>
    <w:rsid w:val="005737F7"/>
    <w:rsid w:val="00573A5D"/>
    <w:rsid w:val="00573A8A"/>
    <w:rsid w:val="00573E6D"/>
    <w:rsid w:val="0057402D"/>
    <w:rsid w:val="005746F9"/>
    <w:rsid w:val="00574A02"/>
    <w:rsid w:val="00574D8F"/>
    <w:rsid w:val="00574E84"/>
    <w:rsid w:val="00574F3E"/>
    <w:rsid w:val="0057518C"/>
    <w:rsid w:val="00575485"/>
    <w:rsid w:val="005756CE"/>
    <w:rsid w:val="0057581E"/>
    <w:rsid w:val="00575C5B"/>
    <w:rsid w:val="00575EEE"/>
    <w:rsid w:val="00575FE5"/>
    <w:rsid w:val="005760E3"/>
    <w:rsid w:val="00576363"/>
    <w:rsid w:val="0057653C"/>
    <w:rsid w:val="0057654E"/>
    <w:rsid w:val="005765D0"/>
    <w:rsid w:val="00576A51"/>
    <w:rsid w:val="00576A54"/>
    <w:rsid w:val="0057718F"/>
    <w:rsid w:val="005771FB"/>
    <w:rsid w:val="0057749C"/>
    <w:rsid w:val="00577C89"/>
    <w:rsid w:val="00577CBA"/>
    <w:rsid w:val="00577DC6"/>
    <w:rsid w:val="00577F1F"/>
    <w:rsid w:val="005800FD"/>
    <w:rsid w:val="0058015B"/>
    <w:rsid w:val="005801B8"/>
    <w:rsid w:val="005804F8"/>
    <w:rsid w:val="0058068A"/>
    <w:rsid w:val="005807DC"/>
    <w:rsid w:val="00580E44"/>
    <w:rsid w:val="00580ED6"/>
    <w:rsid w:val="00580FEF"/>
    <w:rsid w:val="005812E0"/>
    <w:rsid w:val="0058151B"/>
    <w:rsid w:val="005816F4"/>
    <w:rsid w:val="005818A7"/>
    <w:rsid w:val="005818D6"/>
    <w:rsid w:val="00581BDF"/>
    <w:rsid w:val="0058277F"/>
    <w:rsid w:val="0058278F"/>
    <w:rsid w:val="005827FE"/>
    <w:rsid w:val="00582960"/>
    <w:rsid w:val="00582A3D"/>
    <w:rsid w:val="00582D6C"/>
    <w:rsid w:val="0058307F"/>
    <w:rsid w:val="00583257"/>
    <w:rsid w:val="005832E1"/>
    <w:rsid w:val="005834E8"/>
    <w:rsid w:val="0058375D"/>
    <w:rsid w:val="00583A31"/>
    <w:rsid w:val="00583A92"/>
    <w:rsid w:val="00583DB7"/>
    <w:rsid w:val="00583DCA"/>
    <w:rsid w:val="00583F47"/>
    <w:rsid w:val="00584074"/>
    <w:rsid w:val="005845E1"/>
    <w:rsid w:val="005848CD"/>
    <w:rsid w:val="005848E9"/>
    <w:rsid w:val="00584E89"/>
    <w:rsid w:val="0058504D"/>
    <w:rsid w:val="00585174"/>
    <w:rsid w:val="005851FB"/>
    <w:rsid w:val="00585289"/>
    <w:rsid w:val="005855CC"/>
    <w:rsid w:val="00585C3A"/>
    <w:rsid w:val="0058624C"/>
    <w:rsid w:val="005862F0"/>
    <w:rsid w:val="00586317"/>
    <w:rsid w:val="00586377"/>
    <w:rsid w:val="005863AC"/>
    <w:rsid w:val="005869CC"/>
    <w:rsid w:val="00586B33"/>
    <w:rsid w:val="00586BED"/>
    <w:rsid w:val="00586D85"/>
    <w:rsid w:val="00586EDA"/>
    <w:rsid w:val="00587150"/>
    <w:rsid w:val="00587155"/>
    <w:rsid w:val="005874CE"/>
    <w:rsid w:val="005875E6"/>
    <w:rsid w:val="00587707"/>
    <w:rsid w:val="005878CE"/>
    <w:rsid w:val="00587ABC"/>
    <w:rsid w:val="00587B48"/>
    <w:rsid w:val="00590178"/>
    <w:rsid w:val="0059038C"/>
    <w:rsid w:val="00590C3A"/>
    <w:rsid w:val="00590CF0"/>
    <w:rsid w:val="00590D5A"/>
    <w:rsid w:val="00590D5F"/>
    <w:rsid w:val="00590F3F"/>
    <w:rsid w:val="00590F77"/>
    <w:rsid w:val="00591887"/>
    <w:rsid w:val="00591A7C"/>
    <w:rsid w:val="00591E1E"/>
    <w:rsid w:val="00591EC3"/>
    <w:rsid w:val="005921E2"/>
    <w:rsid w:val="00592341"/>
    <w:rsid w:val="005923AA"/>
    <w:rsid w:val="0059241A"/>
    <w:rsid w:val="00592675"/>
    <w:rsid w:val="00593049"/>
    <w:rsid w:val="00593093"/>
    <w:rsid w:val="005931EB"/>
    <w:rsid w:val="005932DB"/>
    <w:rsid w:val="0059363A"/>
    <w:rsid w:val="005936CB"/>
    <w:rsid w:val="00593959"/>
    <w:rsid w:val="005939D6"/>
    <w:rsid w:val="00593FEA"/>
    <w:rsid w:val="00594198"/>
    <w:rsid w:val="00594D89"/>
    <w:rsid w:val="00594E87"/>
    <w:rsid w:val="005950E4"/>
    <w:rsid w:val="005950E5"/>
    <w:rsid w:val="005953D3"/>
    <w:rsid w:val="005953DB"/>
    <w:rsid w:val="005954CD"/>
    <w:rsid w:val="00595763"/>
    <w:rsid w:val="00595915"/>
    <w:rsid w:val="00595C17"/>
    <w:rsid w:val="00595C47"/>
    <w:rsid w:val="0059638F"/>
    <w:rsid w:val="0059656E"/>
    <w:rsid w:val="0059678B"/>
    <w:rsid w:val="005968A4"/>
    <w:rsid w:val="00596BC0"/>
    <w:rsid w:val="00596C1B"/>
    <w:rsid w:val="00596F53"/>
    <w:rsid w:val="00597309"/>
    <w:rsid w:val="00597648"/>
    <w:rsid w:val="0059796F"/>
    <w:rsid w:val="00597F13"/>
    <w:rsid w:val="00597F45"/>
    <w:rsid w:val="005A0271"/>
    <w:rsid w:val="005A0479"/>
    <w:rsid w:val="005A04EE"/>
    <w:rsid w:val="005A0896"/>
    <w:rsid w:val="005A0953"/>
    <w:rsid w:val="005A0F80"/>
    <w:rsid w:val="005A13E8"/>
    <w:rsid w:val="005A149E"/>
    <w:rsid w:val="005A1772"/>
    <w:rsid w:val="005A1828"/>
    <w:rsid w:val="005A1B0B"/>
    <w:rsid w:val="005A1BEC"/>
    <w:rsid w:val="005A1FC5"/>
    <w:rsid w:val="005A21AB"/>
    <w:rsid w:val="005A24CB"/>
    <w:rsid w:val="005A2593"/>
    <w:rsid w:val="005A26FB"/>
    <w:rsid w:val="005A273E"/>
    <w:rsid w:val="005A2F93"/>
    <w:rsid w:val="005A31DA"/>
    <w:rsid w:val="005A3540"/>
    <w:rsid w:val="005A35D4"/>
    <w:rsid w:val="005A375D"/>
    <w:rsid w:val="005A38EA"/>
    <w:rsid w:val="005A3926"/>
    <w:rsid w:val="005A3AEE"/>
    <w:rsid w:val="005A4923"/>
    <w:rsid w:val="005A4B17"/>
    <w:rsid w:val="005A4CD3"/>
    <w:rsid w:val="005A4EDE"/>
    <w:rsid w:val="005A50A4"/>
    <w:rsid w:val="005A5123"/>
    <w:rsid w:val="005A556B"/>
    <w:rsid w:val="005A55B9"/>
    <w:rsid w:val="005A5673"/>
    <w:rsid w:val="005A5753"/>
    <w:rsid w:val="005A575F"/>
    <w:rsid w:val="005A57C4"/>
    <w:rsid w:val="005A5AF3"/>
    <w:rsid w:val="005A5F89"/>
    <w:rsid w:val="005A67CE"/>
    <w:rsid w:val="005A6919"/>
    <w:rsid w:val="005A6A4B"/>
    <w:rsid w:val="005A6ABB"/>
    <w:rsid w:val="005A6CB3"/>
    <w:rsid w:val="005A6F7C"/>
    <w:rsid w:val="005A6FA0"/>
    <w:rsid w:val="005A716B"/>
    <w:rsid w:val="005A7276"/>
    <w:rsid w:val="005A7749"/>
    <w:rsid w:val="005A791E"/>
    <w:rsid w:val="005A7B35"/>
    <w:rsid w:val="005B00E6"/>
    <w:rsid w:val="005B02D5"/>
    <w:rsid w:val="005B05A7"/>
    <w:rsid w:val="005B0D67"/>
    <w:rsid w:val="005B0DAD"/>
    <w:rsid w:val="005B0E1E"/>
    <w:rsid w:val="005B0F16"/>
    <w:rsid w:val="005B132F"/>
    <w:rsid w:val="005B15EB"/>
    <w:rsid w:val="005B1751"/>
    <w:rsid w:val="005B1759"/>
    <w:rsid w:val="005B18B2"/>
    <w:rsid w:val="005B18B9"/>
    <w:rsid w:val="005B1AAA"/>
    <w:rsid w:val="005B1B45"/>
    <w:rsid w:val="005B1C0F"/>
    <w:rsid w:val="005B2298"/>
    <w:rsid w:val="005B2396"/>
    <w:rsid w:val="005B2F8C"/>
    <w:rsid w:val="005B3101"/>
    <w:rsid w:val="005B318A"/>
    <w:rsid w:val="005B323B"/>
    <w:rsid w:val="005B3254"/>
    <w:rsid w:val="005B353A"/>
    <w:rsid w:val="005B36F8"/>
    <w:rsid w:val="005B388F"/>
    <w:rsid w:val="005B38E7"/>
    <w:rsid w:val="005B3937"/>
    <w:rsid w:val="005B3C35"/>
    <w:rsid w:val="005B3EE7"/>
    <w:rsid w:val="005B3EE9"/>
    <w:rsid w:val="005B4051"/>
    <w:rsid w:val="005B40A6"/>
    <w:rsid w:val="005B44EE"/>
    <w:rsid w:val="005B4723"/>
    <w:rsid w:val="005B4E1A"/>
    <w:rsid w:val="005B4F9B"/>
    <w:rsid w:val="005B50DE"/>
    <w:rsid w:val="005B5309"/>
    <w:rsid w:val="005B5416"/>
    <w:rsid w:val="005B5489"/>
    <w:rsid w:val="005B5CA7"/>
    <w:rsid w:val="005B5DFF"/>
    <w:rsid w:val="005B5E58"/>
    <w:rsid w:val="005B60E9"/>
    <w:rsid w:val="005B67C7"/>
    <w:rsid w:val="005B693E"/>
    <w:rsid w:val="005B6C0A"/>
    <w:rsid w:val="005B6E48"/>
    <w:rsid w:val="005B7099"/>
    <w:rsid w:val="005B7254"/>
    <w:rsid w:val="005B7719"/>
    <w:rsid w:val="005B7815"/>
    <w:rsid w:val="005B78B5"/>
    <w:rsid w:val="005B79F5"/>
    <w:rsid w:val="005B7AF3"/>
    <w:rsid w:val="005B7B60"/>
    <w:rsid w:val="005B7E73"/>
    <w:rsid w:val="005B7E99"/>
    <w:rsid w:val="005C011D"/>
    <w:rsid w:val="005C0180"/>
    <w:rsid w:val="005C01B7"/>
    <w:rsid w:val="005C0569"/>
    <w:rsid w:val="005C062B"/>
    <w:rsid w:val="005C15C3"/>
    <w:rsid w:val="005C15D9"/>
    <w:rsid w:val="005C16C3"/>
    <w:rsid w:val="005C1943"/>
    <w:rsid w:val="005C19BA"/>
    <w:rsid w:val="005C1AF2"/>
    <w:rsid w:val="005C1C28"/>
    <w:rsid w:val="005C1C5B"/>
    <w:rsid w:val="005C220B"/>
    <w:rsid w:val="005C24D6"/>
    <w:rsid w:val="005C258C"/>
    <w:rsid w:val="005C2B0F"/>
    <w:rsid w:val="005C3406"/>
    <w:rsid w:val="005C357C"/>
    <w:rsid w:val="005C3D0F"/>
    <w:rsid w:val="005C452B"/>
    <w:rsid w:val="005C46AB"/>
    <w:rsid w:val="005C4844"/>
    <w:rsid w:val="005C4863"/>
    <w:rsid w:val="005C49AE"/>
    <w:rsid w:val="005C4AA3"/>
    <w:rsid w:val="005C4C30"/>
    <w:rsid w:val="005C4D00"/>
    <w:rsid w:val="005C4DAD"/>
    <w:rsid w:val="005C542A"/>
    <w:rsid w:val="005C55C7"/>
    <w:rsid w:val="005C5818"/>
    <w:rsid w:val="005C583F"/>
    <w:rsid w:val="005C58C7"/>
    <w:rsid w:val="005C58CA"/>
    <w:rsid w:val="005C59AB"/>
    <w:rsid w:val="005C5AA3"/>
    <w:rsid w:val="005C5F6A"/>
    <w:rsid w:val="005C602E"/>
    <w:rsid w:val="005C62B0"/>
    <w:rsid w:val="005C6600"/>
    <w:rsid w:val="005C6D49"/>
    <w:rsid w:val="005C6E6F"/>
    <w:rsid w:val="005C73C0"/>
    <w:rsid w:val="005C7642"/>
    <w:rsid w:val="005C7649"/>
    <w:rsid w:val="005C790E"/>
    <w:rsid w:val="005C7BD1"/>
    <w:rsid w:val="005C7E36"/>
    <w:rsid w:val="005C7FBE"/>
    <w:rsid w:val="005C7FF3"/>
    <w:rsid w:val="005D0454"/>
    <w:rsid w:val="005D0596"/>
    <w:rsid w:val="005D0998"/>
    <w:rsid w:val="005D0AB9"/>
    <w:rsid w:val="005D1176"/>
    <w:rsid w:val="005D131D"/>
    <w:rsid w:val="005D182E"/>
    <w:rsid w:val="005D1C2F"/>
    <w:rsid w:val="005D1F0E"/>
    <w:rsid w:val="005D21A8"/>
    <w:rsid w:val="005D2529"/>
    <w:rsid w:val="005D283A"/>
    <w:rsid w:val="005D29ED"/>
    <w:rsid w:val="005D2A79"/>
    <w:rsid w:val="005D2D29"/>
    <w:rsid w:val="005D3004"/>
    <w:rsid w:val="005D36E0"/>
    <w:rsid w:val="005D3D00"/>
    <w:rsid w:val="005D3D39"/>
    <w:rsid w:val="005D4145"/>
    <w:rsid w:val="005D4146"/>
    <w:rsid w:val="005D435D"/>
    <w:rsid w:val="005D4983"/>
    <w:rsid w:val="005D4A10"/>
    <w:rsid w:val="005D5030"/>
    <w:rsid w:val="005D517D"/>
    <w:rsid w:val="005D51EA"/>
    <w:rsid w:val="005D5392"/>
    <w:rsid w:val="005D56E4"/>
    <w:rsid w:val="005D5DC0"/>
    <w:rsid w:val="005D677B"/>
    <w:rsid w:val="005D694C"/>
    <w:rsid w:val="005D6A8F"/>
    <w:rsid w:val="005D6F3B"/>
    <w:rsid w:val="005D72FB"/>
    <w:rsid w:val="005D7752"/>
    <w:rsid w:val="005D787E"/>
    <w:rsid w:val="005D7C39"/>
    <w:rsid w:val="005D7DBF"/>
    <w:rsid w:val="005D7DFA"/>
    <w:rsid w:val="005D7DFC"/>
    <w:rsid w:val="005E0074"/>
    <w:rsid w:val="005E04C3"/>
    <w:rsid w:val="005E07C2"/>
    <w:rsid w:val="005E0AE5"/>
    <w:rsid w:val="005E0D21"/>
    <w:rsid w:val="005E0E06"/>
    <w:rsid w:val="005E13DF"/>
    <w:rsid w:val="005E18F1"/>
    <w:rsid w:val="005E1DF0"/>
    <w:rsid w:val="005E1E49"/>
    <w:rsid w:val="005E22D3"/>
    <w:rsid w:val="005E258B"/>
    <w:rsid w:val="005E25AC"/>
    <w:rsid w:val="005E2AF7"/>
    <w:rsid w:val="005E2C6A"/>
    <w:rsid w:val="005E2D63"/>
    <w:rsid w:val="005E379A"/>
    <w:rsid w:val="005E387D"/>
    <w:rsid w:val="005E3ABC"/>
    <w:rsid w:val="005E3B75"/>
    <w:rsid w:val="005E3D15"/>
    <w:rsid w:val="005E3EF6"/>
    <w:rsid w:val="005E3FBF"/>
    <w:rsid w:val="005E416F"/>
    <w:rsid w:val="005E4376"/>
    <w:rsid w:val="005E45A8"/>
    <w:rsid w:val="005E48A7"/>
    <w:rsid w:val="005E4C65"/>
    <w:rsid w:val="005E4D7C"/>
    <w:rsid w:val="005E4F89"/>
    <w:rsid w:val="005E50DE"/>
    <w:rsid w:val="005E550D"/>
    <w:rsid w:val="005E5ED0"/>
    <w:rsid w:val="005E5FAB"/>
    <w:rsid w:val="005E64A6"/>
    <w:rsid w:val="005E64B0"/>
    <w:rsid w:val="005E65FB"/>
    <w:rsid w:val="005E682A"/>
    <w:rsid w:val="005E697C"/>
    <w:rsid w:val="005E6A4D"/>
    <w:rsid w:val="005E6FA3"/>
    <w:rsid w:val="005E765E"/>
    <w:rsid w:val="005E7B09"/>
    <w:rsid w:val="005E7EC2"/>
    <w:rsid w:val="005F0245"/>
    <w:rsid w:val="005F024C"/>
    <w:rsid w:val="005F0B50"/>
    <w:rsid w:val="005F0FBB"/>
    <w:rsid w:val="005F1107"/>
    <w:rsid w:val="005F1C3E"/>
    <w:rsid w:val="005F1D02"/>
    <w:rsid w:val="005F1DC9"/>
    <w:rsid w:val="005F2275"/>
    <w:rsid w:val="005F2503"/>
    <w:rsid w:val="005F2946"/>
    <w:rsid w:val="005F2E0B"/>
    <w:rsid w:val="005F346F"/>
    <w:rsid w:val="005F34C6"/>
    <w:rsid w:val="005F36E8"/>
    <w:rsid w:val="005F38EB"/>
    <w:rsid w:val="005F3CCB"/>
    <w:rsid w:val="005F3F0D"/>
    <w:rsid w:val="005F4060"/>
    <w:rsid w:val="005F4318"/>
    <w:rsid w:val="005F44A4"/>
    <w:rsid w:val="005F4AFB"/>
    <w:rsid w:val="005F4BAD"/>
    <w:rsid w:val="005F4F8E"/>
    <w:rsid w:val="005F5200"/>
    <w:rsid w:val="005F5229"/>
    <w:rsid w:val="005F53DB"/>
    <w:rsid w:val="005F54A4"/>
    <w:rsid w:val="005F6254"/>
    <w:rsid w:val="005F6468"/>
    <w:rsid w:val="005F6474"/>
    <w:rsid w:val="005F6F61"/>
    <w:rsid w:val="005F71D1"/>
    <w:rsid w:val="005F7789"/>
    <w:rsid w:val="005F7F07"/>
    <w:rsid w:val="00600025"/>
    <w:rsid w:val="0060007C"/>
    <w:rsid w:val="0060035F"/>
    <w:rsid w:val="0060049C"/>
    <w:rsid w:val="00600507"/>
    <w:rsid w:val="00600924"/>
    <w:rsid w:val="00600957"/>
    <w:rsid w:val="00600E94"/>
    <w:rsid w:val="00601202"/>
    <w:rsid w:val="00601B4C"/>
    <w:rsid w:val="00601DD2"/>
    <w:rsid w:val="006027D8"/>
    <w:rsid w:val="0060299F"/>
    <w:rsid w:val="00602B1E"/>
    <w:rsid w:val="00603608"/>
    <w:rsid w:val="0060373C"/>
    <w:rsid w:val="00603A32"/>
    <w:rsid w:val="00603CC4"/>
    <w:rsid w:val="00603F7D"/>
    <w:rsid w:val="00603FB2"/>
    <w:rsid w:val="00604009"/>
    <w:rsid w:val="00604448"/>
    <w:rsid w:val="0060457E"/>
    <w:rsid w:val="006047F4"/>
    <w:rsid w:val="00604830"/>
    <w:rsid w:val="00604926"/>
    <w:rsid w:val="00605656"/>
    <w:rsid w:val="0060587C"/>
    <w:rsid w:val="0060587D"/>
    <w:rsid w:val="006058B2"/>
    <w:rsid w:val="00605971"/>
    <w:rsid w:val="00605B1C"/>
    <w:rsid w:val="00605B90"/>
    <w:rsid w:val="00605B9C"/>
    <w:rsid w:val="00605D95"/>
    <w:rsid w:val="0060647F"/>
    <w:rsid w:val="00606AF3"/>
    <w:rsid w:val="00606D53"/>
    <w:rsid w:val="00606E94"/>
    <w:rsid w:val="006070D9"/>
    <w:rsid w:val="00607205"/>
    <w:rsid w:val="00607466"/>
    <w:rsid w:val="006074BA"/>
    <w:rsid w:val="006074E4"/>
    <w:rsid w:val="0060782A"/>
    <w:rsid w:val="00607B5B"/>
    <w:rsid w:val="00607B9B"/>
    <w:rsid w:val="00607BEA"/>
    <w:rsid w:val="00607E21"/>
    <w:rsid w:val="0061004A"/>
    <w:rsid w:val="0061017A"/>
    <w:rsid w:val="006102BE"/>
    <w:rsid w:val="0061068F"/>
    <w:rsid w:val="00610833"/>
    <w:rsid w:val="00610C9A"/>
    <w:rsid w:val="00610F6B"/>
    <w:rsid w:val="00610FC6"/>
    <w:rsid w:val="006110B1"/>
    <w:rsid w:val="00611217"/>
    <w:rsid w:val="006112D1"/>
    <w:rsid w:val="006112FA"/>
    <w:rsid w:val="00611461"/>
    <w:rsid w:val="00611AAA"/>
    <w:rsid w:val="00611DB9"/>
    <w:rsid w:val="00611DC4"/>
    <w:rsid w:val="006121EC"/>
    <w:rsid w:val="00612A46"/>
    <w:rsid w:val="00612E50"/>
    <w:rsid w:val="00613241"/>
    <w:rsid w:val="006135CC"/>
    <w:rsid w:val="00613692"/>
    <w:rsid w:val="00613AB9"/>
    <w:rsid w:val="00614268"/>
    <w:rsid w:val="0061446F"/>
    <w:rsid w:val="006144CC"/>
    <w:rsid w:val="00614B23"/>
    <w:rsid w:val="006153CE"/>
    <w:rsid w:val="006156B1"/>
    <w:rsid w:val="00615779"/>
    <w:rsid w:val="006158AC"/>
    <w:rsid w:val="00615D5D"/>
    <w:rsid w:val="00615D8B"/>
    <w:rsid w:val="00615E75"/>
    <w:rsid w:val="00615EED"/>
    <w:rsid w:val="006160EF"/>
    <w:rsid w:val="00616189"/>
    <w:rsid w:val="006164B3"/>
    <w:rsid w:val="00616683"/>
    <w:rsid w:val="006170F8"/>
    <w:rsid w:val="006171E6"/>
    <w:rsid w:val="0061761C"/>
    <w:rsid w:val="006177F8"/>
    <w:rsid w:val="00617929"/>
    <w:rsid w:val="00617A10"/>
    <w:rsid w:val="00617CEE"/>
    <w:rsid w:val="00617DB1"/>
    <w:rsid w:val="00620205"/>
    <w:rsid w:val="00620373"/>
    <w:rsid w:val="00620448"/>
    <w:rsid w:val="00620750"/>
    <w:rsid w:val="00620782"/>
    <w:rsid w:val="00620A1C"/>
    <w:rsid w:val="00620D45"/>
    <w:rsid w:val="006211A5"/>
    <w:rsid w:val="006212FA"/>
    <w:rsid w:val="006213DA"/>
    <w:rsid w:val="00621602"/>
    <w:rsid w:val="006216E5"/>
    <w:rsid w:val="00621C26"/>
    <w:rsid w:val="00621DD6"/>
    <w:rsid w:val="006221D4"/>
    <w:rsid w:val="006225B5"/>
    <w:rsid w:val="00622939"/>
    <w:rsid w:val="00622BCE"/>
    <w:rsid w:val="00622D42"/>
    <w:rsid w:val="00622D60"/>
    <w:rsid w:val="00622F63"/>
    <w:rsid w:val="00623184"/>
    <w:rsid w:val="006232F9"/>
    <w:rsid w:val="00623402"/>
    <w:rsid w:val="006238C0"/>
    <w:rsid w:val="00623BB4"/>
    <w:rsid w:val="00623C57"/>
    <w:rsid w:val="00623DB2"/>
    <w:rsid w:val="00623F27"/>
    <w:rsid w:val="006246B0"/>
    <w:rsid w:val="00624700"/>
    <w:rsid w:val="00624B34"/>
    <w:rsid w:val="0062501A"/>
    <w:rsid w:val="00625029"/>
    <w:rsid w:val="00625363"/>
    <w:rsid w:val="00625421"/>
    <w:rsid w:val="006254B5"/>
    <w:rsid w:val="00625B93"/>
    <w:rsid w:val="00625C30"/>
    <w:rsid w:val="00626047"/>
    <w:rsid w:val="006260BA"/>
    <w:rsid w:val="0062648E"/>
    <w:rsid w:val="00626490"/>
    <w:rsid w:val="00626607"/>
    <w:rsid w:val="00626661"/>
    <w:rsid w:val="006269BF"/>
    <w:rsid w:val="00626AD6"/>
    <w:rsid w:val="00626BC2"/>
    <w:rsid w:val="00626CFC"/>
    <w:rsid w:val="006278DE"/>
    <w:rsid w:val="00627D91"/>
    <w:rsid w:val="00627DF1"/>
    <w:rsid w:val="0063009B"/>
    <w:rsid w:val="0063010E"/>
    <w:rsid w:val="006303B4"/>
    <w:rsid w:val="006306AA"/>
    <w:rsid w:val="006307D1"/>
    <w:rsid w:val="006308E9"/>
    <w:rsid w:val="00630FD4"/>
    <w:rsid w:val="00630FE7"/>
    <w:rsid w:val="006311BF"/>
    <w:rsid w:val="00631340"/>
    <w:rsid w:val="00631556"/>
    <w:rsid w:val="0063189C"/>
    <w:rsid w:val="006318F1"/>
    <w:rsid w:val="00631A78"/>
    <w:rsid w:val="00631EDD"/>
    <w:rsid w:val="00631FB0"/>
    <w:rsid w:val="00632026"/>
    <w:rsid w:val="0063209E"/>
    <w:rsid w:val="0063247F"/>
    <w:rsid w:val="006325AA"/>
    <w:rsid w:val="006328E4"/>
    <w:rsid w:val="00632AB2"/>
    <w:rsid w:val="00633563"/>
    <w:rsid w:val="00633626"/>
    <w:rsid w:val="00633B8B"/>
    <w:rsid w:val="00633B99"/>
    <w:rsid w:val="00633BA7"/>
    <w:rsid w:val="00633E1A"/>
    <w:rsid w:val="00634152"/>
    <w:rsid w:val="00634158"/>
    <w:rsid w:val="00634398"/>
    <w:rsid w:val="00634505"/>
    <w:rsid w:val="00634563"/>
    <w:rsid w:val="006349C4"/>
    <w:rsid w:val="00634B00"/>
    <w:rsid w:val="00634EF7"/>
    <w:rsid w:val="00634F12"/>
    <w:rsid w:val="00635078"/>
    <w:rsid w:val="006351D2"/>
    <w:rsid w:val="0063535E"/>
    <w:rsid w:val="00635759"/>
    <w:rsid w:val="00635894"/>
    <w:rsid w:val="00635CF7"/>
    <w:rsid w:val="00635E02"/>
    <w:rsid w:val="00636271"/>
    <w:rsid w:val="0063698B"/>
    <w:rsid w:val="006369B8"/>
    <w:rsid w:val="00636BFD"/>
    <w:rsid w:val="00636D98"/>
    <w:rsid w:val="00636DA3"/>
    <w:rsid w:val="00636E2B"/>
    <w:rsid w:val="0063714E"/>
    <w:rsid w:val="00637180"/>
    <w:rsid w:val="006373B2"/>
    <w:rsid w:val="0063774E"/>
    <w:rsid w:val="00637B8A"/>
    <w:rsid w:val="00637B9B"/>
    <w:rsid w:val="00637BD2"/>
    <w:rsid w:val="00640193"/>
    <w:rsid w:val="00640391"/>
    <w:rsid w:val="006404AD"/>
    <w:rsid w:val="00640544"/>
    <w:rsid w:val="006409CC"/>
    <w:rsid w:val="00640AC9"/>
    <w:rsid w:val="00641777"/>
    <w:rsid w:val="0064188E"/>
    <w:rsid w:val="00641C01"/>
    <w:rsid w:val="00641F1A"/>
    <w:rsid w:val="00641FB3"/>
    <w:rsid w:val="0064207F"/>
    <w:rsid w:val="00642119"/>
    <w:rsid w:val="0064232F"/>
    <w:rsid w:val="00642399"/>
    <w:rsid w:val="00642868"/>
    <w:rsid w:val="00642E3B"/>
    <w:rsid w:val="00642F53"/>
    <w:rsid w:val="0064310B"/>
    <w:rsid w:val="0064344E"/>
    <w:rsid w:val="006438FB"/>
    <w:rsid w:val="00643C5A"/>
    <w:rsid w:val="00644213"/>
    <w:rsid w:val="00644453"/>
    <w:rsid w:val="00644886"/>
    <w:rsid w:val="006448FA"/>
    <w:rsid w:val="00644B82"/>
    <w:rsid w:val="00644BBA"/>
    <w:rsid w:val="00644CE5"/>
    <w:rsid w:val="00645D7F"/>
    <w:rsid w:val="00646E21"/>
    <w:rsid w:val="00647813"/>
    <w:rsid w:val="00647EC7"/>
    <w:rsid w:val="0065021A"/>
    <w:rsid w:val="006502FA"/>
    <w:rsid w:val="00650482"/>
    <w:rsid w:val="00650561"/>
    <w:rsid w:val="006506F0"/>
    <w:rsid w:val="00650D48"/>
    <w:rsid w:val="00650F81"/>
    <w:rsid w:val="0065105E"/>
    <w:rsid w:val="006515C9"/>
    <w:rsid w:val="006519E8"/>
    <w:rsid w:val="00651CAB"/>
    <w:rsid w:val="00652300"/>
    <w:rsid w:val="0065238A"/>
    <w:rsid w:val="006523A7"/>
    <w:rsid w:val="0065246F"/>
    <w:rsid w:val="00652E32"/>
    <w:rsid w:val="0065308A"/>
    <w:rsid w:val="00653400"/>
    <w:rsid w:val="00653611"/>
    <w:rsid w:val="00653671"/>
    <w:rsid w:val="00653866"/>
    <w:rsid w:val="00653923"/>
    <w:rsid w:val="006539EE"/>
    <w:rsid w:val="00653A9E"/>
    <w:rsid w:val="00653D8D"/>
    <w:rsid w:val="00653E00"/>
    <w:rsid w:val="00654209"/>
    <w:rsid w:val="0065465A"/>
    <w:rsid w:val="00654825"/>
    <w:rsid w:val="00654F1F"/>
    <w:rsid w:val="00655A79"/>
    <w:rsid w:val="00655D69"/>
    <w:rsid w:val="00655E43"/>
    <w:rsid w:val="00655F53"/>
    <w:rsid w:val="0065604C"/>
    <w:rsid w:val="0065616E"/>
    <w:rsid w:val="006567D3"/>
    <w:rsid w:val="006568D5"/>
    <w:rsid w:val="00656B7C"/>
    <w:rsid w:val="00656CBE"/>
    <w:rsid w:val="00656CFC"/>
    <w:rsid w:val="0065702D"/>
    <w:rsid w:val="00657048"/>
    <w:rsid w:val="006570AB"/>
    <w:rsid w:val="00657384"/>
    <w:rsid w:val="0065769D"/>
    <w:rsid w:val="00657A49"/>
    <w:rsid w:val="00657B15"/>
    <w:rsid w:val="00660022"/>
    <w:rsid w:val="006602F8"/>
    <w:rsid w:val="006605F7"/>
    <w:rsid w:val="006606B7"/>
    <w:rsid w:val="00660A61"/>
    <w:rsid w:val="00660E21"/>
    <w:rsid w:val="00661228"/>
    <w:rsid w:val="00661584"/>
    <w:rsid w:val="0066158E"/>
    <w:rsid w:val="006617D8"/>
    <w:rsid w:val="00661A85"/>
    <w:rsid w:val="00661EEF"/>
    <w:rsid w:val="006620FB"/>
    <w:rsid w:val="0066241A"/>
    <w:rsid w:val="00662499"/>
    <w:rsid w:val="006624DB"/>
    <w:rsid w:val="006625A3"/>
    <w:rsid w:val="0066279E"/>
    <w:rsid w:val="0066296A"/>
    <w:rsid w:val="00662BC9"/>
    <w:rsid w:val="00662BD6"/>
    <w:rsid w:val="00662FDA"/>
    <w:rsid w:val="0066305C"/>
    <w:rsid w:val="00663465"/>
    <w:rsid w:val="00663479"/>
    <w:rsid w:val="00663DBA"/>
    <w:rsid w:val="00663E86"/>
    <w:rsid w:val="0066451F"/>
    <w:rsid w:val="006647A9"/>
    <w:rsid w:val="00664A11"/>
    <w:rsid w:val="00664B6D"/>
    <w:rsid w:val="006651AF"/>
    <w:rsid w:val="006652CE"/>
    <w:rsid w:val="0066540D"/>
    <w:rsid w:val="00665562"/>
    <w:rsid w:val="006655E3"/>
    <w:rsid w:val="00665852"/>
    <w:rsid w:val="00665EB3"/>
    <w:rsid w:val="0066602B"/>
    <w:rsid w:val="00666072"/>
    <w:rsid w:val="006662C2"/>
    <w:rsid w:val="00666694"/>
    <w:rsid w:val="00666943"/>
    <w:rsid w:val="00666ACF"/>
    <w:rsid w:val="00666EA4"/>
    <w:rsid w:val="00667555"/>
    <w:rsid w:val="00667B1D"/>
    <w:rsid w:val="00667B22"/>
    <w:rsid w:val="00667D7E"/>
    <w:rsid w:val="00667DE5"/>
    <w:rsid w:val="00667E99"/>
    <w:rsid w:val="00667EDE"/>
    <w:rsid w:val="006701E7"/>
    <w:rsid w:val="00670487"/>
    <w:rsid w:val="0067087D"/>
    <w:rsid w:val="0067098D"/>
    <w:rsid w:val="00670C96"/>
    <w:rsid w:val="00670D99"/>
    <w:rsid w:val="006710C1"/>
    <w:rsid w:val="006712CE"/>
    <w:rsid w:val="00671317"/>
    <w:rsid w:val="006713CD"/>
    <w:rsid w:val="006714C9"/>
    <w:rsid w:val="0067169E"/>
    <w:rsid w:val="0067170E"/>
    <w:rsid w:val="00671E32"/>
    <w:rsid w:val="00671E9F"/>
    <w:rsid w:val="006723B4"/>
    <w:rsid w:val="00672484"/>
    <w:rsid w:val="00672544"/>
    <w:rsid w:val="00672798"/>
    <w:rsid w:val="0067296E"/>
    <w:rsid w:val="00672B83"/>
    <w:rsid w:val="00672EBB"/>
    <w:rsid w:val="0067304E"/>
    <w:rsid w:val="00673497"/>
    <w:rsid w:val="006737B5"/>
    <w:rsid w:val="00673BB4"/>
    <w:rsid w:val="00673D2F"/>
    <w:rsid w:val="006742D1"/>
    <w:rsid w:val="0067432B"/>
    <w:rsid w:val="006745B3"/>
    <w:rsid w:val="006745E5"/>
    <w:rsid w:val="0067472F"/>
    <w:rsid w:val="006747A3"/>
    <w:rsid w:val="006749AA"/>
    <w:rsid w:val="00674B0F"/>
    <w:rsid w:val="00674C56"/>
    <w:rsid w:val="0067528C"/>
    <w:rsid w:val="00675811"/>
    <w:rsid w:val="00675A5D"/>
    <w:rsid w:val="00675EA2"/>
    <w:rsid w:val="00676198"/>
    <w:rsid w:val="00676492"/>
    <w:rsid w:val="006767AF"/>
    <w:rsid w:val="00676AAA"/>
    <w:rsid w:val="00676D8E"/>
    <w:rsid w:val="006772AB"/>
    <w:rsid w:val="00677322"/>
    <w:rsid w:val="00677A0E"/>
    <w:rsid w:val="00677F14"/>
    <w:rsid w:val="0068028B"/>
    <w:rsid w:val="006805ED"/>
    <w:rsid w:val="00680821"/>
    <w:rsid w:val="0068094B"/>
    <w:rsid w:val="00680997"/>
    <w:rsid w:val="00680A7B"/>
    <w:rsid w:val="00680B3B"/>
    <w:rsid w:val="00680B52"/>
    <w:rsid w:val="00681181"/>
    <w:rsid w:val="006819E2"/>
    <w:rsid w:val="00681D7A"/>
    <w:rsid w:val="00681F41"/>
    <w:rsid w:val="00682099"/>
    <w:rsid w:val="00682403"/>
    <w:rsid w:val="00682422"/>
    <w:rsid w:val="00682D0C"/>
    <w:rsid w:val="00683100"/>
    <w:rsid w:val="00683190"/>
    <w:rsid w:val="006832DD"/>
    <w:rsid w:val="0068366A"/>
    <w:rsid w:val="006837A4"/>
    <w:rsid w:val="006837C4"/>
    <w:rsid w:val="00683F39"/>
    <w:rsid w:val="0068408E"/>
    <w:rsid w:val="00684275"/>
    <w:rsid w:val="00684455"/>
    <w:rsid w:val="00684601"/>
    <w:rsid w:val="006847EB"/>
    <w:rsid w:val="006849ED"/>
    <w:rsid w:val="00684FD3"/>
    <w:rsid w:val="006852BE"/>
    <w:rsid w:val="00685437"/>
    <w:rsid w:val="006854D2"/>
    <w:rsid w:val="006856F0"/>
    <w:rsid w:val="006857D8"/>
    <w:rsid w:val="0068589C"/>
    <w:rsid w:val="006858A8"/>
    <w:rsid w:val="00685A22"/>
    <w:rsid w:val="00685AE2"/>
    <w:rsid w:val="00685B2A"/>
    <w:rsid w:val="00685BBA"/>
    <w:rsid w:val="00685DDF"/>
    <w:rsid w:val="00686182"/>
    <w:rsid w:val="00686648"/>
    <w:rsid w:val="00686777"/>
    <w:rsid w:val="00686B13"/>
    <w:rsid w:val="006871AA"/>
    <w:rsid w:val="00687236"/>
    <w:rsid w:val="006873ED"/>
    <w:rsid w:val="00687531"/>
    <w:rsid w:val="00687A9A"/>
    <w:rsid w:val="00687C25"/>
    <w:rsid w:val="00687ED3"/>
    <w:rsid w:val="006901B0"/>
    <w:rsid w:val="006903D6"/>
    <w:rsid w:val="00690439"/>
    <w:rsid w:val="00690D0C"/>
    <w:rsid w:val="00690F3D"/>
    <w:rsid w:val="006912D3"/>
    <w:rsid w:val="00691884"/>
    <w:rsid w:val="006919AC"/>
    <w:rsid w:val="00691FFA"/>
    <w:rsid w:val="0069204B"/>
    <w:rsid w:val="0069218B"/>
    <w:rsid w:val="00692536"/>
    <w:rsid w:val="006926A3"/>
    <w:rsid w:val="00692844"/>
    <w:rsid w:val="006932C4"/>
    <w:rsid w:val="0069346A"/>
    <w:rsid w:val="006934FC"/>
    <w:rsid w:val="0069374F"/>
    <w:rsid w:val="0069376A"/>
    <w:rsid w:val="006938C0"/>
    <w:rsid w:val="00693C9F"/>
    <w:rsid w:val="0069429B"/>
    <w:rsid w:val="0069449C"/>
    <w:rsid w:val="00694538"/>
    <w:rsid w:val="00694753"/>
    <w:rsid w:val="00694A8E"/>
    <w:rsid w:val="00694B3F"/>
    <w:rsid w:val="00694D8A"/>
    <w:rsid w:val="00694DF4"/>
    <w:rsid w:val="00694F3D"/>
    <w:rsid w:val="00694FE9"/>
    <w:rsid w:val="006959D7"/>
    <w:rsid w:val="00695D08"/>
    <w:rsid w:val="0069637B"/>
    <w:rsid w:val="006967CC"/>
    <w:rsid w:val="00696F31"/>
    <w:rsid w:val="006972BA"/>
    <w:rsid w:val="006975E9"/>
    <w:rsid w:val="00697CCB"/>
    <w:rsid w:val="00697FBD"/>
    <w:rsid w:val="006A0243"/>
    <w:rsid w:val="006A06E6"/>
    <w:rsid w:val="006A074E"/>
    <w:rsid w:val="006A0884"/>
    <w:rsid w:val="006A0ADB"/>
    <w:rsid w:val="006A0D47"/>
    <w:rsid w:val="006A113C"/>
    <w:rsid w:val="006A1284"/>
    <w:rsid w:val="006A12F1"/>
    <w:rsid w:val="006A15E1"/>
    <w:rsid w:val="006A1722"/>
    <w:rsid w:val="006A1808"/>
    <w:rsid w:val="006A18B6"/>
    <w:rsid w:val="006A1EDC"/>
    <w:rsid w:val="006A1EE7"/>
    <w:rsid w:val="006A1EEB"/>
    <w:rsid w:val="006A20B6"/>
    <w:rsid w:val="006A24E1"/>
    <w:rsid w:val="006A2823"/>
    <w:rsid w:val="006A2852"/>
    <w:rsid w:val="006A29A9"/>
    <w:rsid w:val="006A3549"/>
    <w:rsid w:val="006A3632"/>
    <w:rsid w:val="006A363D"/>
    <w:rsid w:val="006A382E"/>
    <w:rsid w:val="006A39BF"/>
    <w:rsid w:val="006A3B5D"/>
    <w:rsid w:val="006A3F39"/>
    <w:rsid w:val="006A3FCF"/>
    <w:rsid w:val="006A4342"/>
    <w:rsid w:val="006A4415"/>
    <w:rsid w:val="006A441C"/>
    <w:rsid w:val="006A44E6"/>
    <w:rsid w:val="006A4684"/>
    <w:rsid w:val="006A4B64"/>
    <w:rsid w:val="006A4D03"/>
    <w:rsid w:val="006A4EA8"/>
    <w:rsid w:val="006A4FE3"/>
    <w:rsid w:val="006A57B8"/>
    <w:rsid w:val="006A581A"/>
    <w:rsid w:val="006A5B0F"/>
    <w:rsid w:val="006A5ED6"/>
    <w:rsid w:val="006A5FF3"/>
    <w:rsid w:val="006A60B8"/>
    <w:rsid w:val="006A64D0"/>
    <w:rsid w:val="006A6590"/>
    <w:rsid w:val="006A6738"/>
    <w:rsid w:val="006A688C"/>
    <w:rsid w:val="006A6931"/>
    <w:rsid w:val="006A6E47"/>
    <w:rsid w:val="006A704E"/>
    <w:rsid w:val="006A72FC"/>
    <w:rsid w:val="006A74B0"/>
    <w:rsid w:val="006A74E0"/>
    <w:rsid w:val="006A7ACB"/>
    <w:rsid w:val="006A7BA4"/>
    <w:rsid w:val="006A7C94"/>
    <w:rsid w:val="006B023E"/>
    <w:rsid w:val="006B085D"/>
    <w:rsid w:val="006B0897"/>
    <w:rsid w:val="006B0BD7"/>
    <w:rsid w:val="006B0C5E"/>
    <w:rsid w:val="006B0D20"/>
    <w:rsid w:val="006B0E1E"/>
    <w:rsid w:val="006B0F76"/>
    <w:rsid w:val="006B1265"/>
    <w:rsid w:val="006B1394"/>
    <w:rsid w:val="006B1AF6"/>
    <w:rsid w:val="006B1BC1"/>
    <w:rsid w:val="006B1C55"/>
    <w:rsid w:val="006B20EE"/>
    <w:rsid w:val="006B2114"/>
    <w:rsid w:val="006B224F"/>
    <w:rsid w:val="006B255F"/>
    <w:rsid w:val="006B286D"/>
    <w:rsid w:val="006B28CE"/>
    <w:rsid w:val="006B2AEA"/>
    <w:rsid w:val="006B2BB8"/>
    <w:rsid w:val="006B3041"/>
    <w:rsid w:val="006B32AB"/>
    <w:rsid w:val="006B389D"/>
    <w:rsid w:val="006B3956"/>
    <w:rsid w:val="006B3B27"/>
    <w:rsid w:val="006B3D1C"/>
    <w:rsid w:val="006B4301"/>
    <w:rsid w:val="006B4391"/>
    <w:rsid w:val="006B44E9"/>
    <w:rsid w:val="006B456F"/>
    <w:rsid w:val="006B4826"/>
    <w:rsid w:val="006B4898"/>
    <w:rsid w:val="006B4BC4"/>
    <w:rsid w:val="006B4E32"/>
    <w:rsid w:val="006B5070"/>
    <w:rsid w:val="006B5378"/>
    <w:rsid w:val="006B5660"/>
    <w:rsid w:val="006B593B"/>
    <w:rsid w:val="006B5B8D"/>
    <w:rsid w:val="006B5CEF"/>
    <w:rsid w:val="006B6602"/>
    <w:rsid w:val="006B66BB"/>
    <w:rsid w:val="006B685A"/>
    <w:rsid w:val="006B6B8D"/>
    <w:rsid w:val="006B741C"/>
    <w:rsid w:val="006B76E8"/>
    <w:rsid w:val="006B799A"/>
    <w:rsid w:val="006B79B6"/>
    <w:rsid w:val="006B7DF0"/>
    <w:rsid w:val="006C0354"/>
    <w:rsid w:val="006C04C3"/>
    <w:rsid w:val="006C0507"/>
    <w:rsid w:val="006C09C7"/>
    <w:rsid w:val="006C0CF3"/>
    <w:rsid w:val="006C10D0"/>
    <w:rsid w:val="006C13D6"/>
    <w:rsid w:val="006C14C5"/>
    <w:rsid w:val="006C15D5"/>
    <w:rsid w:val="006C1614"/>
    <w:rsid w:val="006C19AD"/>
    <w:rsid w:val="006C1A03"/>
    <w:rsid w:val="006C1D8C"/>
    <w:rsid w:val="006C2043"/>
    <w:rsid w:val="006C2044"/>
    <w:rsid w:val="006C21EA"/>
    <w:rsid w:val="006C25EC"/>
    <w:rsid w:val="006C2797"/>
    <w:rsid w:val="006C29DC"/>
    <w:rsid w:val="006C2D7C"/>
    <w:rsid w:val="006C370B"/>
    <w:rsid w:val="006C3C7B"/>
    <w:rsid w:val="006C3D23"/>
    <w:rsid w:val="006C443C"/>
    <w:rsid w:val="006C4714"/>
    <w:rsid w:val="006C4B18"/>
    <w:rsid w:val="006C4EAF"/>
    <w:rsid w:val="006C5087"/>
    <w:rsid w:val="006C51D5"/>
    <w:rsid w:val="006C5311"/>
    <w:rsid w:val="006C552B"/>
    <w:rsid w:val="006C59B3"/>
    <w:rsid w:val="006C5FE2"/>
    <w:rsid w:val="006C6203"/>
    <w:rsid w:val="006C6749"/>
    <w:rsid w:val="006C680A"/>
    <w:rsid w:val="006C68AA"/>
    <w:rsid w:val="006C6B71"/>
    <w:rsid w:val="006C70D0"/>
    <w:rsid w:val="006C765B"/>
    <w:rsid w:val="006C7683"/>
    <w:rsid w:val="006C7D0C"/>
    <w:rsid w:val="006D02CE"/>
    <w:rsid w:val="006D0999"/>
    <w:rsid w:val="006D09FA"/>
    <w:rsid w:val="006D0B7C"/>
    <w:rsid w:val="006D0D61"/>
    <w:rsid w:val="006D1608"/>
    <w:rsid w:val="006D1A5B"/>
    <w:rsid w:val="006D1B67"/>
    <w:rsid w:val="006D1E49"/>
    <w:rsid w:val="006D2286"/>
    <w:rsid w:val="006D22EB"/>
    <w:rsid w:val="006D24A0"/>
    <w:rsid w:val="006D2553"/>
    <w:rsid w:val="006D2814"/>
    <w:rsid w:val="006D287D"/>
    <w:rsid w:val="006D2AD1"/>
    <w:rsid w:val="006D2D83"/>
    <w:rsid w:val="006D2F45"/>
    <w:rsid w:val="006D3143"/>
    <w:rsid w:val="006D34FA"/>
    <w:rsid w:val="006D3A63"/>
    <w:rsid w:val="006D3CF7"/>
    <w:rsid w:val="006D3D00"/>
    <w:rsid w:val="006D3FDB"/>
    <w:rsid w:val="006D432E"/>
    <w:rsid w:val="006D442C"/>
    <w:rsid w:val="006D45AD"/>
    <w:rsid w:val="006D4AD3"/>
    <w:rsid w:val="006D4AED"/>
    <w:rsid w:val="006D50A5"/>
    <w:rsid w:val="006D542D"/>
    <w:rsid w:val="006D576A"/>
    <w:rsid w:val="006D596B"/>
    <w:rsid w:val="006D59B4"/>
    <w:rsid w:val="006D5B0E"/>
    <w:rsid w:val="006D5DE5"/>
    <w:rsid w:val="006D5E0B"/>
    <w:rsid w:val="006D5E14"/>
    <w:rsid w:val="006D6148"/>
    <w:rsid w:val="006D6C39"/>
    <w:rsid w:val="006D6D78"/>
    <w:rsid w:val="006D6EC1"/>
    <w:rsid w:val="006D6F4A"/>
    <w:rsid w:val="006D7065"/>
    <w:rsid w:val="006D75D1"/>
    <w:rsid w:val="006D7EA3"/>
    <w:rsid w:val="006E0519"/>
    <w:rsid w:val="006E0626"/>
    <w:rsid w:val="006E077B"/>
    <w:rsid w:val="006E0D9D"/>
    <w:rsid w:val="006E0EF3"/>
    <w:rsid w:val="006E0FD9"/>
    <w:rsid w:val="006E11B3"/>
    <w:rsid w:val="006E1254"/>
    <w:rsid w:val="006E136C"/>
    <w:rsid w:val="006E15FF"/>
    <w:rsid w:val="006E1A79"/>
    <w:rsid w:val="006E1CF4"/>
    <w:rsid w:val="006E1DB6"/>
    <w:rsid w:val="006E2164"/>
    <w:rsid w:val="006E2196"/>
    <w:rsid w:val="006E23F2"/>
    <w:rsid w:val="006E278D"/>
    <w:rsid w:val="006E2B6C"/>
    <w:rsid w:val="006E2DC8"/>
    <w:rsid w:val="006E31EE"/>
    <w:rsid w:val="006E32D8"/>
    <w:rsid w:val="006E34A1"/>
    <w:rsid w:val="006E3673"/>
    <w:rsid w:val="006E36BD"/>
    <w:rsid w:val="006E3936"/>
    <w:rsid w:val="006E39B6"/>
    <w:rsid w:val="006E3AD8"/>
    <w:rsid w:val="006E3BE8"/>
    <w:rsid w:val="006E3E77"/>
    <w:rsid w:val="006E3F9D"/>
    <w:rsid w:val="006E426A"/>
    <w:rsid w:val="006E4339"/>
    <w:rsid w:val="006E4638"/>
    <w:rsid w:val="006E4894"/>
    <w:rsid w:val="006E4C0A"/>
    <w:rsid w:val="006E4E2A"/>
    <w:rsid w:val="006E4FD3"/>
    <w:rsid w:val="006E504C"/>
    <w:rsid w:val="006E54D2"/>
    <w:rsid w:val="006E56D9"/>
    <w:rsid w:val="006E57FF"/>
    <w:rsid w:val="006E5B12"/>
    <w:rsid w:val="006E5E67"/>
    <w:rsid w:val="006E5F35"/>
    <w:rsid w:val="006E6044"/>
    <w:rsid w:val="006E6249"/>
    <w:rsid w:val="006E6532"/>
    <w:rsid w:val="006E6537"/>
    <w:rsid w:val="006E658B"/>
    <w:rsid w:val="006E65A2"/>
    <w:rsid w:val="006E6C82"/>
    <w:rsid w:val="006E6F83"/>
    <w:rsid w:val="006E7124"/>
    <w:rsid w:val="006E73C9"/>
    <w:rsid w:val="006E74BD"/>
    <w:rsid w:val="006E768C"/>
    <w:rsid w:val="006E7760"/>
    <w:rsid w:val="006E783F"/>
    <w:rsid w:val="006E796F"/>
    <w:rsid w:val="006E797A"/>
    <w:rsid w:val="006E7A36"/>
    <w:rsid w:val="006E7E7C"/>
    <w:rsid w:val="006E7ED4"/>
    <w:rsid w:val="006F009E"/>
    <w:rsid w:val="006F01CE"/>
    <w:rsid w:val="006F027D"/>
    <w:rsid w:val="006F05DF"/>
    <w:rsid w:val="006F086E"/>
    <w:rsid w:val="006F098A"/>
    <w:rsid w:val="006F0AFA"/>
    <w:rsid w:val="006F0D4A"/>
    <w:rsid w:val="006F0E71"/>
    <w:rsid w:val="006F0E92"/>
    <w:rsid w:val="006F10F6"/>
    <w:rsid w:val="006F15D8"/>
    <w:rsid w:val="006F175C"/>
    <w:rsid w:val="006F1A84"/>
    <w:rsid w:val="006F1B38"/>
    <w:rsid w:val="006F1B52"/>
    <w:rsid w:val="006F1BD6"/>
    <w:rsid w:val="006F1CD8"/>
    <w:rsid w:val="006F1FF6"/>
    <w:rsid w:val="006F236B"/>
    <w:rsid w:val="006F2585"/>
    <w:rsid w:val="006F27A6"/>
    <w:rsid w:val="006F3641"/>
    <w:rsid w:val="006F37F5"/>
    <w:rsid w:val="006F381E"/>
    <w:rsid w:val="006F39A4"/>
    <w:rsid w:val="006F3ECD"/>
    <w:rsid w:val="006F3F15"/>
    <w:rsid w:val="006F3FB9"/>
    <w:rsid w:val="006F42DE"/>
    <w:rsid w:val="006F44F2"/>
    <w:rsid w:val="006F482A"/>
    <w:rsid w:val="006F4D1C"/>
    <w:rsid w:val="006F54B5"/>
    <w:rsid w:val="006F5D40"/>
    <w:rsid w:val="006F5D78"/>
    <w:rsid w:val="006F5E9D"/>
    <w:rsid w:val="006F5ED8"/>
    <w:rsid w:val="006F641F"/>
    <w:rsid w:val="006F6880"/>
    <w:rsid w:val="006F6987"/>
    <w:rsid w:val="006F6BCF"/>
    <w:rsid w:val="006F714F"/>
    <w:rsid w:val="006F727C"/>
    <w:rsid w:val="006F7932"/>
    <w:rsid w:val="006F7C3A"/>
    <w:rsid w:val="006F7CF2"/>
    <w:rsid w:val="006F7D85"/>
    <w:rsid w:val="0070014D"/>
    <w:rsid w:val="00700D60"/>
    <w:rsid w:val="00701077"/>
    <w:rsid w:val="007012B4"/>
    <w:rsid w:val="00701568"/>
    <w:rsid w:val="007015EE"/>
    <w:rsid w:val="007016A4"/>
    <w:rsid w:val="007018C6"/>
    <w:rsid w:val="007018E5"/>
    <w:rsid w:val="00701CA2"/>
    <w:rsid w:val="00701CC6"/>
    <w:rsid w:val="00701EDA"/>
    <w:rsid w:val="007025E3"/>
    <w:rsid w:val="00702A3C"/>
    <w:rsid w:val="00702CEC"/>
    <w:rsid w:val="00702D16"/>
    <w:rsid w:val="00702DBE"/>
    <w:rsid w:val="00702E8D"/>
    <w:rsid w:val="0070306E"/>
    <w:rsid w:val="0070328B"/>
    <w:rsid w:val="00704090"/>
    <w:rsid w:val="007044ED"/>
    <w:rsid w:val="007048D6"/>
    <w:rsid w:val="00704918"/>
    <w:rsid w:val="00704AA9"/>
    <w:rsid w:val="00705222"/>
    <w:rsid w:val="00705361"/>
    <w:rsid w:val="007054E8"/>
    <w:rsid w:val="00705950"/>
    <w:rsid w:val="00705A25"/>
    <w:rsid w:val="00705AF9"/>
    <w:rsid w:val="00705B33"/>
    <w:rsid w:val="00705B98"/>
    <w:rsid w:val="0070605B"/>
    <w:rsid w:val="0070615E"/>
    <w:rsid w:val="0070664C"/>
    <w:rsid w:val="00706A6C"/>
    <w:rsid w:val="00706C4B"/>
    <w:rsid w:val="00706F8A"/>
    <w:rsid w:val="007071FA"/>
    <w:rsid w:val="00707240"/>
    <w:rsid w:val="00707597"/>
    <w:rsid w:val="007077ED"/>
    <w:rsid w:val="0070787E"/>
    <w:rsid w:val="007078F0"/>
    <w:rsid w:val="00707A2C"/>
    <w:rsid w:val="00707D9D"/>
    <w:rsid w:val="00707DE3"/>
    <w:rsid w:val="00710311"/>
    <w:rsid w:val="00710757"/>
    <w:rsid w:val="00710A28"/>
    <w:rsid w:val="00710A58"/>
    <w:rsid w:val="00710CC1"/>
    <w:rsid w:val="007112D0"/>
    <w:rsid w:val="007116AC"/>
    <w:rsid w:val="007116FA"/>
    <w:rsid w:val="007118E1"/>
    <w:rsid w:val="00711B84"/>
    <w:rsid w:val="007120D2"/>
    <w:rsid w:val="007124A2"/>
    <w:rsid w:val="00712568"/>
    <w:rsid w:val="00712931"/>
    <w:rsid w:val="00712A4D"/>
    <w:rsid w:val="00712B93"/>
    <w:rsid w:val="0071303D"/>
    <w:rsid w:val="007133A4"/>
    <w:rsid w:val="007133ED"/>
    <w:rsid w:val="0071346C"/>
    <w:rsid w:val="007139DD"/>
    <w:rsid w:val="00713E4C"/>
    <w:rsid w:val="00713E56"/>
    <w:rsid w:val="0071429B"/>
    <w:rsid w:val="007142D4"/>
    <w:rsid w:val="0071455E"/>
    <w:rsid w:val="00714606"/>
    <w:rsid w:val="007147B8"/>
    <w:rsid w:val="00714A19"/>
    <w:rsid w:val="00714C0A"/>
    <w:rsid w:val="00714DD9"/>
    <w:rsid w:val="007156E7"/>
    <w:rsid w:val="00715D7B"/>
    <w:rsid w:val="00715E9F"/>
    <w:rsid w:val="00716051"/>
    <w:rsid w:val="007160A7"/>
    <w:rsid w:val="00716354"/>
    <w:rsid w:val="0071697D"/>
    <w:rsid w:val="00716BF5"/>
    <w:rsid w:val="007171E7"/>
    <w:rsid w:val="007172D5"/>
    <w:rsid w:val="00717523"/>
    <w:rsid w:val="00717724"/>
    <w:rsid w:val="00717799"/>
    <w:rsid w:val="00717815"/>
    <w:rsid w:val="0071785A"/>
    <w:rsid w:val="007178C1"/>
    <w:rsid w:val="00717C37"/>
    <w:rsid w:val="00717D76"/>
    <w:rsid w:val="0072002B"/>
    <w:rsid w:val="00720394"/>
    <w:rsid w:val="00720470"/>
    <w:rsid w:val="007204E2"/>
    <w:rsid w:val="00720742"/>
    <w:rsid w:val="0072091A"/>
    <w:rsid w:val="00720DBD"/>
    <w:rsid w:val="0072103E"/>
    <w:rsid w:val="0072145D"/>
    <w:rsid w:val="00721512"/>
    <w:rsid w:val="007218FE"/>
    <w:rsid w:val="00721A1D"/>
    <w:rsid w:val="00721AEB"/>
    <w:rsid w:val="00721B0D"/>
    <w:rsid w:val="00722089"/>
    <w:rsid w:val="00722288"/>
    <w:rsid w:val="007222EE"/>
    <w:rsid w:val="007223D9"/>
    <w:rsid w:val="007224BE"/>
    <w:rsid w:val="007227E0"/>
    <w:rsid w:val="007229BC"/>
    <w:rsid w:val="00722B0C"/>
    <w:rsid w:val="007230D6"/>
    <w:rsid w:val="00723A7E"/>
    <w:rsid w:val="00723E4B"/>
    <w:rsid w:val="0072412A"/>
    <w:rsid w:val="00724398"/>
    <w:rsid w:val="00724553"/>
    <w:rsid w:val="00724A2D"/>
    <w:rsid w:val="00724A6C"/>
    <w:rsid w:val="00724E18"/>
    <w:rsid w:val="00724E2A"/>
    <w:rsid w:val="00724E5C"/>
    <w:rsid w:val="00725019"/>
    <w:rsid w:val="007250C4"/>
    <w:rsid w:val="007252E4"/>
    <w:rsid w:val="007253A9"/>
    <w:rsid w:val="0072563F"/>
    <w:rsid w:val="007257AE"/>
    <w:rsid w:val="00725D72"/>
    <w:rsid w:val="0072604C"/>
    <w:rsid w:val="00726129"/>
    <w:rsid w:val="007267D5"/>
    <w:rsid w:val="00727225"/>
    <w:rsid w:val="00727284"/>
    <w:rsid w:val="00727805"/>
    <w:rsid w:val="00727ADD"/>
    <w:rsid w:val="00727CEE"/>
    <w:rsid w:val="00727E00"/>
    <w:rsid w:val="007300A5"/>
    <w:rsid w:val="0073062A"/>
    <w:rsid w:val="007307FA"/>
    <w:rsid w:val="00730928"/>
    <w:rsid w:val="0073095F"/>
    <w:rsid w:val="00730A75"/>
    <w:rsid w:val="00730B12"/>
    <w:rsid w:val="00730E20"/>
    <w:rsid w:val="00730E34"/>
    <w:rsid w:val="00731248"/>
    <w:rsid w:val="007312E8"/>
    <w:rsid w:val="007315E1"/>
    <w:rsid w:val="00731710"/>
    <w:rsid w:val="007317FB"/>
    <w:rsid w:val="00731B01"/>
    <w:rsid w:val="00731B93"/>
    <w:rsid w:val="00731C3F"/>
    <w:rsid w:val="00732011"/>
    <w:rsid w:val="007320B8"/>
    <w:rsid w:val="007320D6"/>
    <w:rsid w:val="0073219A"/>
    <w:rsid w:val="007321AC"/>
    <w:rsid w:val="0073234B"/>
    <w:rsid w:val="007328DF"/>
    <w:rsid w:val="00732A1A"/>
    <w:rsid w:val="00732AD4"/>
    <w:rsid w:val="00732AE5"/>
    <w:rsid w:val="00732C7B"/>
    <w:rsid w:val="00732CB2"/>
    <w:rsid w:val="00732CFA"/>
    <w:rsid w:val="00732D93"/>
    <w:rsid w:val="00732DA1"/>
    <w:rsid w:val="00732E2C"/>
    <w:rsid w:val="00732ED3"/>
    <w:rsid w:val="0073301B"/>
    <w:rsid w:val="00733185"/>
    <w:rsid w:val="007332AC"/>
    <w:rsid w:val="00733398"/>
    <w:rsid w:val="00733A3F"/>
    <w:rsid w:val="00734468"/>
    <w:rsid w:val="00734E10"/>
    <w:rsid w:val="00735624"/>
    <w:rsid w:val="0073577C"/>
    <w:rsid w:val="007359AA"/>
    <w:rsid w:val="00735ADF"/>
    <w:rsid w:val="00735CDB"/>
    <w:rsid w:val="00735ECF"/>
    <w:rsid w:val="007368A2"/>
    <w:rsid w:val="00736DE9"/>
    <w:rsid w:val="00737378"/>
    <w:rsid w:val="007375B4"/>
    <w:rsid w:val="007377AE"/>
    <w:rsid w:val="00737CA3"/>
    <w:rsid w:val="00737CEF"/>
    <w:rsid w:val="00737E81"/>
    <w:rsid w:val="0074006B"/>
    <w:rsid w:val="00740859"/>
    <w:rsid w:val="00740AD6"/>
    <w:rsid w:val="00740C05"/>
    <w:rsid w:val="00740E7B"/>
    <w:rsid w:val="0074105E"/>
    <w:rsid w:val="007417D1"/>
    <w:rsid w:val="00741E40"/>
    <w:rsid w:val="00741F8A"/>
    <w:rsid w:val="00742439"/>
    <w:rsid w:val="007424DE"/>
    <w:rsid w:val="0074263C"/>
    <w:rsid w:val="007427C8"/>
    <w:rsid w:val="00742901"/>
    <w:rsid w:val="00742C91"/>
    <w:rsid w:val="007431D1"/>
    <w:rsid w:val="0074340D"/>
    <w:rsid w:val="00743769"/>
    <w:rsid w:val="00743A10"/>
    <w:rsid w:val="00743EBB"/>
    <w:rsid w:val="00743FC9"/>
    <w:rsid w:val="007440EF"/>
    <w:rsid w:val="00744973"/>
    <w:rsid w:val="007449F8"/>
    <w:rsid w:val="00744EB5"/>
    <w:rsid w:val="00745085"/>
    <w:rsid w:val="0074597A"/>
    <w:rsid w:val="00745AE7"/>
    <w:rsid w:val="00745FF1"/>
    <w:rsid w:val="00746134"/>
    <w:rsid w:val="007461FA"/>
    <w:rsid w:val="007462BC"/>
    <w:rsid w:val="007462BE"/>
    <w:rsid w:val="00746385"/>
    <w:rsid w:val="007464D8"/>
    <w:rsid w:val="007465A9"/>
    <w:rsid w:val="007466BC"/>
    <w:rsid w:val="00746765"/>
    <w:rsid w:val="0074756C"/>
    <w:rsid w:val="007475AC"/>
    <w:rsid w:val="007475B9"/>
    <w:rsid w:val="00747619"/>
    <w:rsid w:val="007479C2"/>
    <w:rsid w:val="00747D33"/>
    <w:rsid w:val="00747F8B"/>
    <w:rsid w:val="00747FC5"/>
    <w:rsid w:val="007503F1"/>
    <w:rsid w:val="00750652"/>
    <w:rsid w:val="00750705"/>
    <w:rsid w:val="00750711"/>
    <w:rsid w:val="007507E8"/>
    <w:rsid w:val="00750911"/>
    <w:rsid w:val="00751279"/>
    <w:rsid w:val="007512B2"/>
    <w:rsid w:val="007512CB"/>
    <w:rsid w:val="00751550"/>
    <w:rsid w:val="00751574"/>
    <w:rsid w:val="00751888"/>
    <w:rsid w:val="00751A40"/>
    <w:rsid w:val="00751A47"/>
    <w:rsid w:val="00751CEB"/>
    <w:rsid w:val="00751EDD"/>
    <w:rsid w:val="00751F98"/>
    <w:rsid w:val="0075222A"/>
    <w:rsid w:val="007525E7"/>
    <w:rsid w:val="00752823"/>
    <w:rsid w:val="007529E9"/>
    <w:rsid w:val="00752A53"/>
    <w:rsid w:val="00752B92"/>
    <w:rsid w:val="007532C9"/>
    <w:rsid w:val="0075391C"/>
    <w:rsid w:val="0075394A"/>
    <w:rsid w:val="00753E0F"/>
    <w:rsid w:val="00753E8A"/>
    <w:rsid w:val="00754102"/>
    <w:rsid w:val="00754162"/>
    <w:rsid w:val="0075445B"/>
    <w:rsid w:val="0075478A"/>
    <w:rsid w:val="00754A0D"/>
    <w:rsid w:val="00754AB1"/>
    <w:rsid w:val="00754D10"/>
    <w:rsid w:val="007552C1"/>
    <w:rsid w:val="007553E1"/>
    <w:rsid w:val="0075547D"/>
    <w:rsid w:val="00755795"/>
    <w:rsid w:val="00755A8F"/>
    <w:rsid w:val="00755ABF"/>
    <w:rsid w:val="00755B7F"/>
    <w:rsid w:val="00755CE0"/>
    <w:rsid w:val="007562E2"/>
    <w:rsid w:val="007563CF"/>
    <w:rsid w:val="007563E1"/>
    <w:rsid w:val="0075645B"/>
    <w:rsid w:val="0075658A"/>
    <w:rsid w:val="00756DD9"/>
    <w:rsid w:val="00756F30"/>
    <w:rsid w:val="00756F9F"/>
    <w:rsid w:val="00757503"/>
    <w:rsid w:val="007576C2"/>
    <w:rsid w:val="007577C2"/>
    <w:rsid w:val="0075780F"/>
    <w:rsid w:val="00757F1B"/>
    <w:rsid w:val="007601E6"/>
    <w:rsid w:val="007603F8"/>
    <w:rsid w:val="00760B7C"/>
    <w:rsid w:val="00760B91"/>
    <w:rsid w:val="007614FB"/>
    <w:rsid w:val="00761A10"/>
    <w:rsid w:val="00761F1F"/>
    <w:rsid w:val="00762342"/>
    <w:rsid w:val="007626AA"/>
    <w:rsid w:val="0076282D"/>
    <w:rsid w:val="00762888"/>
    <w:rsid w:val="00762C24"/>
    <w:rsid w:val="00762F2B"/>
    <w:rsid w:val="00762FDC"/>
    <w:rsid w:val="00763041"/>
    <w:rsid w:val="0076328E"/>
    <w:rsid w:val="00763382"/>
    <w:rsid w:val="007639B1"/>
    <w:rsid w:val="00763A02"/>
    <w:rsid w:val="00763FA9"/>
    <w:rsid w:val="00764074"/>
    <w:rsid w:val="007640B4"/>
    <w:rsid w:val="0076448E"/>
    <w:rsid w:val="00764492"/>
    <w:rsid w:val="00764635"/>
    <w:rsid w:val="007648AD"/>
    <w:rsid w:val="00764A9C"/>
    <w:rsid w:val="00765526"/>
    <w:rsid w:val="0076561E"/>
    <w:rsid w:val="00765741"/>
    <w:rsid w:val="007657F0"/>
    <w:rsid w:val="007658A1"/>
    <w:rsid w:val="00765954"/>
    <w:rsid w:val="00765AD9"/>
    <w:rsid w:val="00765B21"/>
    <w:rsid w:val="007660AC"/>
    <w:rsid w:val="007661B0"/>
    <w:rsid w:val="00766284"/>
    <w:rsid w:val="00766745"/>
    <w:rsid w:val="00766750"/>
    <w:rsid w:val="0076695A"/>
    <w:rsid w:val="00766A85"/>
    <w:rsid w:val="00766CA1"/>
    <w:rsid w:val="00766CEA"/>
    <w:rsid w:val="00766DFB"/>
    <w:rsid w:val="00766E37"/>
    <w:rsid w:val="00766E3E"/>
    <w:rsid w:val="0076722A"/>
    <w:rsid w:val="00767628"/>
    <w:rsid w:val="00767D5C"/>
    <w:rsid w:val="00767FDC"/>
    <w:rsid w:val="0077017B"/>
    <w:rsid w:val="00770424"/>
    <w:rsid w:val="00770574"/>
    <w:rsid w:val="0077058E"/>
    <w:rsid w:val="00770789"/>
    <w:rsid w:val="00770A8E"/>
    <w:rsid w:val="00770B06"/>
    <w:rsid w:val="00770BD3"/>
    <w:rsid w:val="00770DE9"/>
    <w:rsid w:val="007712BE"/>
    <w:rsid w:val="007714FE"/>
    <w:rsid w:val="00771796"/>
    <w:rsid w:val="007718F0"/>
    <w:rsid w:val="00771A47"/>
    <w:rsid w:val="00771B18"/>
    <w:rsid w:val="00771BD2"/>
    <w:rsid w:val="00771D62"/>
    <w:rsid w:val="00772005"/>
    <w:rsid w:val="00772172"/>
    <w:rsid w:val="00772337"/>
    <w:rsid w:val="0077254A"/>
    <w:rsid w:val="00772BC9"/>
    <w:rsid w:val="00772F82"/>
    <w:rsid w:val="0077315E"/>
    <w:rsid w:val="00773353"/>
    <w:rsid w:val="007737D5"/>
    <w:rsid w:val="007737FB"/>
    <w:rsid w:val="00773E3C"/>
    <w:rsid w:val="00774EA1"/>
    <w:rsid w:val="00774EC1"/>
    <w:rsid w:val="007750D8"/>
    <w:rsid w:val="00775659"/>
    <w:rsid w:val="0077566F"/>
    <w:rsid w:val="007758D2"/>
    <w:rsid w:val="007758E6"/>
    <w:rsid w:val="00775C5C"/>
    <w:rsid w:val="00776350"/>
    <w:rsid w:val="00776487"/>
    <w:rsid w:val="007764B9"/>
    <w:rsid w:val="00776AAA"/>
    <w:rsid w:val="0077716D"/>
    <w:rsid w:val="007771B1"/>
    <w:rsid w:val="007772AA"/>
    <w:rsid w:val="00777339"/>
    <w:rsid w:val="00777400"/>
    <w:rsid w:val="007774B3"/>
    <w:rsid w:val="00777536"/>
    <w:rsid w:val="007776B5"/>
    <w:rsid w:val="0077788A"/>
    <w:rsid w:val="007778B3"/>
    <w:rsid w:val="00777A64"/>
    <w:rsid w:val="00777DB1"/>
    <w:rsid w:val="00777F47"/>
    <w:rsid w:val="0078004A"/>
    <w:rsid w:val="0078010F"/>
    <w:rsid w:val="007801C6"/>
    <w:rsid w:val="00780285"/>
    <w:rsid w:val="0078033C"/>
    <w:rsid w:val="007804DF"/>
    <w:rsid w:val="00780655"/>
    <w:rsid w:val="00780687"/>
    <w:rsid w:val="00780A45"/>
    <w:rsid w:val="00780AAD"/>
    <w:rsid w:val="00780D48"/>
    <w:rsid w:val="007811CA"/>
    <w:rsid w:val="00781B3C"/>
    <w:rsid w:val="00782131"/>
    <w:rsid w:val="00782496"/>
    <w:rsid w:val="007825D6"/>
    <w:rsid w:val="0078296D"/>
    <w:rsid w:val="0078377F"/>
    <w:rsid w:val="00783842"/>
    <w:rsid w:val="00784196"/>
    <w:rsid w:val="007841E1"/>
    <w:rsid w:val="007844CD"/>
    <w:rsid w:val="00784DA1"/>
    <w:rsid w:val="00784DB2"/>
    <w:rsid w:val="00784F39"/>
    <w:rsid w:val="00784F3A"/>
    <w:rsid w:val="0078519A"/>
    <w:rsid w:val="007852EE"/>
    <w:rsid w:val="00785388"/>
    <w:rsid w:val="007853C6"/>
    <w:rsid w:val="00785A77"/>
    <w:rsid w:val="007860CE"/>
    <w:rsid w:val="0078617A"/>
    <w:rsid w:val="007866A3"/>
    <w:rsid w:val="0078670D"/>
    <w:rsid w:val="00786971"/>
    <w:rsid w:val="00786CCA"/>
    <w:rsid w:val="00786DF0"/>
    <w:rsid w:val="0078701C"/>
    <w:rsid w:val="007875A5"/>
    <w:rsid w:val="007876E3"/>
    <w:rsid w:val="0078792B"/>
    <w:rsid w:val="00787E0E"/>
    <w:rsid w:val="00787FD1"/>
    <w:rsid w:val="0079028E"/>
    <w:rsid w:val="00790544"/>
    <w:rsid w:val="007906C6"/>
    <w:rsid w:val="00790768"/>
    <w:rsid w:val="0079078F"/>
    <w:rsid w:val="00790A35"/>
    <w:rsid w:val="00790B0E"/>
    <w:rsid w:val="00790D8C"/>
    <w:rsid w:val="00791145"/>
    <w:rsid w:val="0079129C"/>
    <w:rsid w:val="007913D9"/>
    <w:rsid w:val="007915EF"/>
    <w:rsid w:val="0079160F"/>
    <w:rsid w:val="00791848"/>
    <w:rsid w:val="00791A1F"/>
    <w:rsid w:val="00791E80"/>
    <w:rsid w:val="0079204A"/>
    <w:rsid w:val="0079233F"/>
    <w:rsid w:val="007928AD"/>
    <w:rsid w:val="00792A36"/>
    <w:rsid w:val="00792EFB"/>
    <w:rsid w:val="00793594"/>
    <w:rsid w:val="007939B2"/>
    <w:rsid w:val="00793C46"/>
    <w:rsid w:val="00793C73"/>
    <w:rsid w:val="00793CAC"/>
    <w:rsid w:val="00794724"/>
    <w:rsid w:val="007947E1"/>
    <w:rsid w:val="0079492E"/>
    <w:rsid w:val="00794C59"/>
    <w:rsid w:val="00794D79"/>
    <w:rsid w:val="00795416"/>
    <w:rsid w:val="00795460"/>
    <w:rsid w:val="007954BC"/>
    <w:rsid w:val="00795545"/>
    <w:rsid w:val="00795B92"/>
    <w:rsid w:val="00795BFA"/>
    <w:rsid w:val="0079603B"/>
    <w:rsid w:val="00796E85"/>
    <w:rsid w:val="00796F52"/>
    <w:rsid w:val="007970FB"/>
    <w:rsid w:val="0079723C"/>
    <w:rsid w:val="0079737B"/>
    <w:rsid w:val="007974B0"/>
    <w:rsid w:val="00797C38"/>
    <w:rsid w:val="007A0174"/>
    <w:rsid w:val="007A01DF"/>
    <w:rsid w:val="007A0549"/>
    <w:rsid w:val="007A0A09"/>
    <w:rsid w:val="007A0B75"/>
    <w:rsid w:val="007A0BB2"/>
    <w:rsid w:val="007A0C13"/>
    <w:rsid w:val="007A0D37"/>
    <w:rsid w:val="007A0FAF"/>
    <w:rsid w:val="007A130D"/>
    <w:rsid w:val="007A1501"/>
    <w:rsid w:val="007A190A"/>
    <w:rsid w:val="007A1A8E"/>
    <w:rsid w:val="007A1BD8"/>
    <w:rsid w:val="007A2051"/>
    <w:rsid w:val="007A231F"/>
    <w:rsid w:val="007A2462"/>
    <w:rsid w:val="007A2693"/>
    <w:rsid w:val="007A2E3F"/>
    <w:rsid w:val="007A2ED6"/>
    <w:rsid w:val="007A2F63"/>
    <w:rsid w:val="007A303C"/>
    <w:rsid w:val="007A35FE"/>
    <w:rsid w:val="007A3812"/>
    <w:rsid w:val="007A3AB3"/>
    <w:rsid w:val="007A4373"/>
    <w:rsid w:val="007A45D5"/>
    <w:rsid w:val="007A4641"/>
    <w:rsid w:val="007A499E"/>
    <w:rsid w:val="007A49C0"/>
    <w:rsid w:val="007A4A48"/>
    <w:rsid w:val="007A4A87"/>
    <w:rsid w:val="007A4DD5"/>
    <w:rsid w:val="007A4ED0"/>
    <w:rsid w:val="007A5131"/>
    <w:rsid w:val="007A5153"/>
    <w:rsid w:val="007A568F"/>
    <w:rsid w:val="007A5693"/>
    <w:rsid w:val="007A5C1A"/>
    <w:rsid w:val="007A6641"/>
    <w:rsid w:val="007A668A"/>
    <w:rsid w:val="007A6BEB"/>
    <w:rsid w:val="007A6D66"/>
    <w:rsid w:val="007A6F05"/>
    <w:rsid w:val="007A714B"/>
    <w:rsid w:val="007A721B"/>
    <w:rsid w:val="007A7349"/>
    <w:rsid w:val="007A763C"/>
    <w:rsid w:val="007A7975"/>
    <w:rsid w:val="007A7AF7"/>
    <w:rsid w:val="007B0752"/>
    <w:rsid w:val="007B09BE"/>
    <w:rsid w:val="007B0D04"/>
    <w:rsid w:val="007B0F10"/>
    <w:rsid w:val="007B108A"/>
    <w:rsid w:val="007B115B"/>
    <w:rsid w:val="007B125E"/>
    <w:rsid w:val="007B128F"/>
    <w:rsid w:val="007B155F"/>
    <w:rsid w:val="007B1A40"/>
    <w:rsid w:val="007B1D11"/>
    <w:rsid w:val="007B1E1B"/>
    <w:rsid w:val="007B1EB7"/>
    <w:rsid w:val="007B1FEC"/>
    <w:rsid w:val="007B2C8F"/>
    <w:rsid w:val="007B2D4F"/>
    <w:rsid w:val="007B2EDB"/>
    <w:rsid w:val="007B2F8D"/>
    <w:rsid w:val="007B3C7D"/>
    <w:rsid w:val="007B4019"/>
    <w:rsid w:val="007B4087"/>
    <w:rsid w:val="007B431A"/>
    <w:rsid w:val="007B44A0"/>
    <w:rsid w:val="007B47B7"/>
    <w:rsid w:val="007B50C6"/>
    <w:rsid w:val="007B5128"/>
    <w:rsid w:val="007B529D"/>
    <w:rsid w:val="007B54C3"/>
    <w:rsid w:val="007B5ACF"/>
    <w:rsid w:val="007B5D96"/>
    <w:rsid w:val="007B5F1B"/>
    <w:rsid w:val="007B600E"/>
    <w:rsid w:val="007B6078"/>
    <w:rsid w:val="007B66A0"/>
    <w:rsid w:val="007B68E5"/>
    <w:rsid w:val="007B6948"/>
    <w:rsid w:val="007B69BE"/>
    <w:rsid w:val="007B6DB0"/>
    <w:rsid w:val="007B6E4E"/>
    <w:rsid w:val="007B7172"/>
    <w:rsid w:val="007B71B6"/>
    <w:rsid w:val="007B71E9"/>
    <w:rsid w:val="007B7396"/>
    <w:rsid w:val="007B7420"/>
    <w:rsid w:val="007B77A7"/>
    <w:rsid w:val="007B7F75"/>
    <w:rsid w:val="007C0666"/>
    <w:rsid w:val="007C0798"/>
    <w:rsid w:val="007C0BBA"/>
    <w:rsid w:val="007C106A"/>
    <w:rsid w:val="007C1164"/>
    <w:rsid w:val="007C148F"/>
    <w:rsid w:val="007C1702"/>
    <w:rsid w:val="007C1AE9"/>
    <w:rsid w:val="007C1D9E"/>
    <w:rsid w:val="007C22CD"/>
    <w:rsid w:val="007C2578"/>
    <w:rsid w:val="007C26C4"/>
    <w:rsid w:val="007C2926"/>
    <w:rsid w:val="007C2A0B"/>
    <w:rsid w:val="007C32CF"/>
    <w:rsid w:val="007C339F"/>
    <w:rsid w:val="007C34B9"/>
    <w:rsid w:val="007C3569"/>
    <w:rsid w:val="007C3621"/>
    <w:rsid w:val="007C36A3"/>
    <w:rsid w:val="007C36C1"/>
    <w:rsid w:val="007C4134"/>
    <w:rsid w:val="007C41D1"/>
    <w:rsid w:val="007C43A8"/>
    <w:rsid w:val="007C48C2"/>
    <w:rsid w:val="007C48C7"/>
    <w:rsid w:val="007C4BCA"/>
    <w:rsid w:val="007C4CF5"/>
    <w:rsid w:val="007C52FA"/>
    <w:rsid w:val="007C5652"/>
    <w:rsid w:val="007C58C0"/>
    <w:rsid w:val="007C5DD9"/>
    <w:rsid w:val="007C5E1F"/>
    <w:rsid w:val="007C6345"/>
    <w:rsid w:val="007C69D6"/>
    <w:rsid w:val="007C6D17"/>
    <w:rsid w:val="007C6D63"/>
    <w:rsid w:val="007C707C"/>
    <w:rsid w:val="007C71C2"/>
    <w:rsid w:val="007C723A"/>
    <w:rsid w:val="007C7909"/>
    <w:rsid w:val="007C7A12"/>
    <w:rsid w:val="007C7C80"/>
    <w:rsid w:val="007C7F12"/>
    <w:rsid w:val="007D0046"/>
    <w:rsid w:val="007D0241"/>
    <w:rsid w:val="007D02C9"/>
    <w:rsid w:val="007D0357"/>
    <w:rsid w:val="007D0415"/>
    <w:rsid w:val="007D049D"/>
    <w:rsid w:val="007D05C5"/>
    <w:rsid w:val="007D0801"/>
    <w:rsid w:val="007D0C8E"/>
    <w:rsid w:val="007D0D7E"/>
    <w:rsid w:val="007D0F96"/>
    <w:rsid w:val="007D14DF"/>
    <w:rsid w:val="007D1952"/>
    <w:rsid w:val="007D1B46"/>
    <w:rsid w:val="007D1F02"/>
    <w:rsid w:val="007D1FFC"/>
    <w:rsid w:val="007D21CA"/>
    <w:rsid w:val="007D21F0"/>
    <w:rsid w:val="007D241C"/>
    <w:rsid w:val="007D2759"/>
    <w:rsid w:val="007D2B01"/>
    <w:rsid w:val="007D2CEB"/>
    <w:rsid w:val="007D320E"/>
    <w:rsid w:val="007D32D8"/>
    <w:rsid w:val="007D3321"/>
    <w:rsid w:val="007D3552"/>
    <w:rsid w:val="007D3591"/>
    <w:rsid w:val="007D3638"/>
    <w:rsid w:val="007D3872"/>
    <w:rsid w:val="007D3A5B"/>
    <w:rsid w:val="007D3AE4"/>
    <w:rsid w:val="007D3D96"/>
    <w:rsid w:val="007D3DB8"/>
    <w:rsid w:val="007D4102"/>
    <w:rsid w:val="007D418E"/>
    <w:rsid w:val="007D41B0"/>
    <w:rsid w:val="007D41DF"/>
    <w:rsid w:val="007D42CB"/>
    <w:rsid w:val="007D4838"/>
    <w:rsid w:val="007D4881"/>
    <w:rsid w:val="007D4B81"/>
    <w:rsid w:val="007D4DA6"/>
    <w:rsid w:val="007D5049"/>
    <w:rsid w:val="007D5189"/>
    <w:rsid w:val="007D5377"/>
    <w:rsid w:val="007D5546"/>
    <w:rsid w:val="007D5698"/>
    <w:rsid w:val="007D5840"/>
    <w:rsid w:val="007D59A8"/>
    <w:rsid w:val="007D5A5F"/>
    <w:rsid w:val="007D615F"/>
    <w:rsid w:val="007D64C5"/>
    <w:rsid w:val="007D6683"/>
    <w:rsid w:val="007D68EC"/>
    <w:rsid w:val="007D6944"/>
    <w:rsid w:val="007D69D2"/>
    <w:rsid w:val="007D6E50"/>
    <w:rsid w:val="007D6FCA"/>
    <w:rsid w:val="007D72B3"/>
    <w:rsid w:val="007D738F"/>
    <w:rsid w:val="007D774E"/>
    <w:rsid w:val="007D786D"/>
    <w:rsid w:val="007D7924"/>
    <w:rsid w:val="007D7C77"/>
    <w:rsid w:val="007D7D54"/>
    <w:rsid w:val="007D7E4B"/>
    <w:rsid w:val="007E009C"/>
    <w:rsid w:val="007E0983"/>
    <w:rsid w:val="007E0BD9"/>
    <w:rsid w:val="007E0DEA"/>
    <w:rsid w:val="007E1347"/>
    <w:rsid w:val="007E1523"/>
    <w:rsid w:val="007E17A9"/>
    <w:rsid w:val="007E1A43"/>
    <w:rsid w:val="007E1BEC"/>
    <w:rsid w:val="007E2077"/>
    <w:rsid w:val="007E228D"/>
    <w:rsid w:val="007E264D"/>
    <w:rsid w:val="007E266F"/>
    <w:rsid w:val="007E2CA1"/>
    <w:rsid w:val="007E2E3A"/>
    <w:rsid w:val="007E3645"/>
    <w:rsid w:val="007E3764"/>
    <w:rsid w:val="007E3BCC"/>
    <w:rsid w:val="007E3F97"/>
    <w:rsid w:val="007E42C6"/>
    <w:rsid w:val="007E434C"/>
    <w:rsid w:val="007E4621"/>
    <w:rsid w:val="007E4633"/>
    <w:rsid w:val="007E4706"/>
    <w:rsid w:val="007E4A44"/>
    <w:rsid w:val="007E4B4F"/>
    <w:rsid w:val="007E5022"/>
    <w:rsid w:val="007E548F"/>
    <w:rsid w:val="007E54D6"/>
    <w:rsid w:val="007E5CE2"/>
    <w:rsid w:val="007E6167"/>
    <w:rsid w:val="007E66DC"/>
    <w:rsid w:val="007E6A19"/>
    <w:rsid w:val="007E6AD6"/>
    <w:rsid w:val="007E7248"/>
    <w:rsid w:val="007E72E6"/>
    <w:rsid w:val="007E748E"/>
    <w:rsid w:val="007E74AA"/>
    <w:rsid w:val="007E74C5"/>
    <w:rsid w:val="007E7ADB"/>
    <w:rsid w:val="007E7C67"/>
    <w:rsid w:val="007E7F44"/>
    <w:rsid w:val="007F08B5"/>
    <w:rsid w:val="007F0D40"/>
    <w:rsid w:val="007F0D98"/>
    <w:rsid w:val="007F0E34"/>
    <w:rsid w:val="007F1155"/>
    <w:rsid w:val="007F1326"/>
    <w:rsid w:val="007F15A7"/>
    <w:rsid w:val="007F194F"/>
    <w:rsid w:val="007F1A50"/>
    <w:rsid w:val="007F2307"/>
    <w:rsid w:val="007F2310"/>
    <w:rsid w:val="007F233E"/>
    <w:rsid w:val="007F2584"/>
    <w:rsid w:val="007F2798"/>
    <w:rsid w:val="007F2B57"/>
    <w:rsid w:val="007F2E85"/>
    <w:rsid w:val="007F32C6"/>
    <w:rsid w:val="007F3354"/>
    <w:rsid w:val="007F3661"/>
    <w:rsid w:val="007F36E6"/>
    <w:rsid w:val="007F382A"/>
    <w:rsid w:val="007F3C48"/>
    <w:rsid w:val="007F401E"/>
    <w:rsid w:val="007F4683"/>
    <w:rsid w:val="007F46C6"/>
    <w:rsid w:val="007F47FD"/>
    <w:rsid w:val="007F4964"/>
    <w:rsid w:val="007F49F6"/>
    <w:rsid w:val="007F4B81"/>
    <w:rsid w:val="007F50FC"/>
    <w:rsid w:val="007F5465"/>
    <w:rsid w:val="007F5818"/>
    <w:rsid w:val="007F5C0D"/>
    <w:rsid w:val="007F5CF6"/>
    <w:rsid w:val="007F6368"/>
    <w:rsid w:val="007F6614"/>
    <w:rsid w:val="007F67CB"/>
    <w:rsid w:val="007F6C58"/>
    <w:rsid w:val="007F6E38"/>
    <w:rsid w:val="007F6F29"/>
    <w:rsid w:val="007F6F2F"/>
    <w:rsid w:val="007F7053"/>
    <w:rsid w:val="007F7185"/>
    <w:rsid w:val="007F7204"/>
    <w:rsid w:val="007F764D"/>
    <w:rsid w:val="007F778C"/>
    <w:rsid w:val="007F7A2D"/>
    <w:rsid w:val="007F7B7F"/>
    <w:rsid w:val="00800133"/>
    <w:rsid w:val="00800161"/>
    <w:rsid w:val="00800DD0"/>
    <w:rsid w:val="00801003"/>
    <w:rsid w:val="0080102F"/>
    <w:rsid w:val="0080119E"/>
    <w:rsid w:val="008012FF"/>
    <w:rsid w:val="00801333"/>
    <w:rsid w:val="00801725"/>
    <w:rsid w:val="00801C82"/>
    <w:rsid w:val="00801D00"/>
    <w:rsid w:val="00801E89"/>
    <w:rsid w:val="00801F02"/>
    <w:rsid w:val="0080211E"/>
    <w:rsid w:val="008021FF"/>
    <w:rsid w:val="0080222C"/>
    <w:rsid w:val="00802405"/>
    <w:rsid w:val="00802839"/>
    <w:rsid w:val="00802841"/>
    <w:rsid w:val="00802A1B"/>
    <w:rsid w:val="00802A5C"/>
    <w:rsid w:val="00802D4A"/>
    <w:rsid w:val="00802FE1"/>
    <w:rsid w:val="0080300D"/>
    <w:rsid w:val="008032EE"/>
    <w:rsid w:val="00803440"/>
    <w:rsid w:val="008034A7"/>
    <w:rsid w:val="008035B8"/>
    <w:rsid w:val="0080388C"/>
    <w:rsid w:val="008038E7"/>
    <w:rsid w:val="00803908"/>
    <w:rsid w:val="0080390D"/>
    <w:rsid w:val="00804061"/>
    <w:rsid w:val="008041F0"/>
    <w:rsid w:val="008043C5"/>
    <w:rsid w:val="008043DE"/>
    <w:rsid w:val="00804568"/>
    <w:rsid w:val="0080469B"/>
    <w:rsid w:val="008046BE"/>
    <w:rsid w:val="00804765"/>
    <w:rsid w:val="0080498D"/>
    <w:rsid w:val="00804D8D"/>
    <w:rsid w:val="00804F6D"/>
    <w:rsid w:val="00804FAE"/>
    <w:rsid w:val="00805962"/>
    <w:rsid w:val="00805F52"/>
    <w:rsid w:val="0080606A"/>
    <w:rsid w:val="00806072"/>
    <w:rsid w:val="00806131"/>
    <w:rsid w:val="00806282"/>
    <w:rsid w:val="008065F0"/>
    <w:rsid w:val="00806A5B"/>
    <w:rsid w:val="00806E1F"/>
    <w:rsid w:val="008070AB"/>
    <w:rsid w:val="00807402"/>
    <w:rsid w:val="0080753D"/>
    <w:rsid w:val="008075FC"/>
    <w:rsid w:val="00807841"/>
    <w:rsid w:val="00807C2F"/>
    <w:rsid w:val="00807FAE"/>
    <w:rsid w:val="008101E5"/>
    <w:rsid w:val="00810349"/>
    <w:rsid w:val="0081042B"/>
    <w:rsid w:val="00810970"/>
    <w:rsid w:val="00810B67"/>
    <w:rsid w:val="00810B8F"/>
    <w:rsid w:val="00811B09"/>
    <w:rsid w:val="00811B97"/>
    <w:rsid w:val="00811ED8"/>
    <w:rsid w:val="008122B6"/>
    <w:rsid w:val="00812463"/>
    <w:rsid w:val="0081297C"/>
    <w:rsid w:val="008129C6"/>
    <w:rsid w:val="00812A2F"/>
    <w:rsid w:val="00812E0A"/>
    <w:rsid w:val="008131DD"/>
    <w:rsid w:val="00813318"/>
    <w:rsid w:val="0081352B"/>
    <w:rsid w:val="00813533"/>
    <w:rsid w:val="00813716"/>
    <w:rsid w:val="008137F1"/>
    <w:rsid w:val="008137F4"/>
    <w:rsid w:val="00813932"/>
    <w:rsid w:val="00813AED"/>
    <w:rsid w:val="00813DCB"/>
    <w:rsid w:val="00813ECF"/>
    <w:rsid w:val="008140C1"/>
    <w:rsid w:val="0081410A"/>
    <w:rsid w:val="00814514"/>
    <w:rsid w:val="00814894"/>
    <w:rsid w:val="00814B0D"/>
    <w:rsid w:val="00814C33"/>
    <w:rsid w:val="00814C87"/>
    <w:rsid w:val="00814EA8"/>
    <w:rsid w:val="00814F4F"/>
    <w:rsid w:val="00815098"/>
    <w:rsid w:val="008150CA"/>
    <w:rsid w:val="00815102"/>
    <w:rsid w:val="008151F5"/>
    <w:rsid w:val="008152C3"/>
    <w:rsid w:val="00815581"/>
    <w:rsid w:val="008155BA"/>
    <w:rsid w:val="00815A18"/>
    <w:rsid w:val="00815F95"/>
    <w:rsid w:val="0081622A"/>
    <w:rsid w:val="00816254"/>
    <w:rsid w:val="0081627B"/>
    <w:rsid w:val="00816707"/>
    <w:rsid w:val="00817067"/>
    <w:rsid w:val="00817283"/>
    <w:rsid w:val="00817583"/>
    <w:rsid w:val="0081779D"/>
    <w:rsid w:val="008178AD"/>
    <w:rsid w:val="008178E2"/>
    <w:rsid w:val="0081797F"/>
    <w:rsid w:val="00817AC5"/>
    <w:rsid w:val="00817D1D"/>
    <w:rsid w:val="0082014B"/>
    <w:rsid w:val="008203CA"/>
    <w:rsid w:val="00820404"/>
    <w:rsid w:val="00820572"/>
    <w:rsid w:val="008206F8"/>
    <w:rsid w:val="00820962"/>
    <w:rsid w:val="00820B90"/>
    <w:rsid w:val="00820C9F"/>
    <w:rsid w:val="008210BE"/>
    <w:rsid w:val="00821253"/>
    <w:rsid w:val="008215BF"/>
    <w:rsid w:val="00821754"/>
    <w:rsid w:val="0082181C"/>
    <w:rsid w:val="008218AE"/>
    <w:rsid w:val="00821C01"/>
    <w:rsid w:val="00821C7E"/>
    <w:rsid w:val="00821F21"/>
    <w:rsid w:val="008220E3"/>
    <w:rsid w:val="00822108"/>
    <w:rsid w:val="008221F6"/>
    <w:rsid w:val="00822502"/>
    <w:rsid w:val="008227E5"/>
    <w:rsid w:val="0082314F"/>
    <w:rsid w:val="008235DC"/>
    <w:rsid w:val="008237E2"/>
    <w:rsid w:val="00823C6C"/>
    <w:rsid w:val="00824458"/>
    <w:rsid w:val="0082478D"/>
    <w:rsid w:val="00824AC6"/>
    <w:rsid w:val="00825092"/>
    <w:rsid w:val="00825344"/>
    <w:rsid w:val="00825517"/>
    <w:rsid w:val="008255E4"/>
    <w:rsid w:val="0082585B"/>
    <w:rsid w:val="00825B6D"/>
    <w:rsid w:val="00825BA4"/>
    <w:rsid w:val="00826096"/>
    <w:rsid w:val="00826352"/>
    <w:rsid w:val="00826959"/>
    <w:rsid w:val="00826995"/>
    <w:rsid w:val="00827041"/>
    <w:rsid w:val="008276D7"/>
    <w:rsid w:val="0082787B"/>
    <w:rsid w:val="00827A48"/>
    <w:rsid w:val="00827BAD"/>
    <w:rsid w:val="00827E09"/>
    <w:rsid w:val="00827E15"/>
    <w:rsid w:val="008302C8"/>
    <w:rsid w:val="008303B6"/>
    <w:rsid w:val="00830639"/>
    <w:rsid w:val="00830752"/>
    <w:rsid w:val="008309C9"/>
    <w:rsid w:val="008309E9"/>
    <w:rsid w:val="00830BC7"/>
    <w:rsid w:val="00830D19"/>
    <w:rsid w:val="008311E7"/>
    <w:rsid w:val="0083156A"/>
    <w:rsid w:val="00831E32"/>
    <w:rsid w:val="00831F46"/>
    <w:rsid w:val="0083223F"/>
    <w:rsid w:val="0083232B"/>
    <w:rsid w:val="00832770"/>
    <w:rsid w:val="00832D8F"/>
    <w:rsid w:val="00832E08"/>
    <w:rsid w:val="0083308D"/>
    <w:rsid w:val="00833470"/>
    <w:rsid w:val="00833523"/>
    <w:rsid w:val="008335E3"/>
    <w:rsid w:val="00833C9C"/>
    <w:rsid w:val="00833D4A"/>
    <w:rsid w:val="00834303"/>
    <w:rsid w:val="0083437A"/>
    <w:rsid w:val="0083448E"/>
    <w:rsid w:val="0083485E"/>
    <w:rsid w:val="0083497B"/>
    <w:rsid w:val="00834C8A"/>
    <w:rsid w:val="00834DCB"/>
    <w:rsid w:val="00835167"/>
    <w:rsid w:val="008351B2"/>
    <w:rsid w:val="00835A00"/>
    <w:rsid w:val="00835B02"/>
    <w:rsid w:val="00835CD1"/>
    <w:rsid w:val="00835CE9"/>
    <w:rsid w:val="00835D27"/>
    <w:rsid w:val="00836673"/>
    <w:rsid w:val="00836A3F"/>
    <w:rsid w:val="00836DBD"/>
    <w:rsid w:val="00836E04"/>
    <w:rsid w:val="0083703B"/>
    <w:rsid w:val="00837171"/>
    <w:rsid w:val="0083720B"/>
    <w:rsid w:val="008372DA"/>
    <w:rsid w:val="008377E4"/>
    <w:rsid w:val="0083794E"/>
    <w:rsid w:val="008379EB"/>
    <w:rsid w:val="00837C53"/>
    <w:rsid w:val="00837FC2"/>
    <w:rsid w:val="00840191"/>
    <w:rsid w:val="008404C9"/>
    <w:rsid w:val="0084070B"/>
    <w:rsid w:val="008408EC"/>
    <w:rsid w:val="00840B2C"/>
    <w:rsid w:val="00840B51"/>
    <w:rsid w:val="00840C01"/>
    <w:rsid w:val="00840C42"/>
    <w:rsid w:val="00840DF7"/>
    <w:rsid w:val="00840E14"/>
    <w:rsid w:val="00840FF8"/>
    <w:rsid w:val="0084120D"/>
    <w:rsid w:val="00841293"/>
    <w:rsid w:val="0084167C"/>
    <w:rsid w:val="00841C14"/>
    <w:rsid w:val="00841DA2"/>
    <w:rsid w:val="00842128"/>
    <w:rsid w:val="0084220C"/>
    <w:rsid w:val="00842445"/>
    <w:rsid w:val="0084264F"/>
    <w:rsid w:val="00842703"/>
    <w:rsid w:val="008429C8"/>
    <w:rsid w:val="00842DCE"/>
    <w:rsid w:val="008430DA"/>
    <w:rsid w:val="00843122"/>
    <w:rsid w:val="00843A18"/>
    <w:rsid w:val="00843AD3"/>
    <w:rsid w:val="00844393"/>
    <w:rsid w:val="00844474"/>
    <w:rsid w:val="00844507"/>
    <w:rsid w:val="00844F10"/>
    <w:rsid w:val="008450C5"/>
    <w:rsid w:val="00845186"/>
    <w:rsid w:val="00845310"/>
    <w:rsid w:val="008454DC"/>
    <w:rsid w:val="0084568E"/>
    <w:rsid w:val="00845B84"/>
    <w:rsid w:val="00845BBC"/>
    <w:rsid w:val="00845C12"/>
    <w:rsid w:val="00845FD7"/>
    <w:rsid w:val="00846001"/>
    <w:rsid w:val="008460C0"/>
    <w:rsid w:val="00846124"/>
    <w:rsid w:val="008461E4"/>
    <w:rsid w:val="008468BF"/>
    <w:rsid w:val="008469D9"/>
    <w:rsid w:val="00846C8B"/>
    <w:rsid w:val="008475EF"/>
    <w:rsid w:val="00847AEA"/>
    <w:rsid w:val="00847F2B"/>
    <w:rsid w:val="00850034"/>
    <w:rsid w:val="00850048"/>
    <w:rsid w:val="0085088D"/>
    <w:rsid w:val="00850AD2"/>
    <w:rsid w:val="00850B37"/>
    <w:rsid w:val="00850EFC"/>
    <w:rsid w:val="008511E9"/>
    <w:rsid w:val="008513D8"/>
    <w:rsid w:val="0085188E"/>
    <w:rsid w:val="0085192E"/>
    <w:rsid w:val="00851A52"/>
    <w:rsid w:val="00851D83"/>
    <w:rsid w:val="00851E12"/>
    <w:rsid w:val="0085220E"/>
    <w:rsid w:val="00852504"/>
    <w:rsid w:val="0085273B"/>
    <w:rsid w:val="008529AB"/>
    <w:rsid w:val="00852A44"/>
    <w:rsid w:val="00852B46"/>
    <w:rsid w:val="00852C25"/>
    <w:rsid w:val="00852F49"/>
    <w:rsid w:val="00853265"/>
    <w:rsid w:val="00853638"/>
    <w:rsid w:val="00853695"/>
    <w:rsid w:val="00853889"/>
    <w:rsid w:val="00853B4A"/>
    <w:rsid w:val="00853DCC"/>
    <w:rsid w:val="008541DB"/>
    <w:rsid w:val="008544D3"/>
    <w:rsid w:val="0085461A"/>
    <w:rsid w:val="00854637"/>
    <w:rsid w:val="0085473D"/>
    <w:rsid w:val="008549D6"/>
    <w:rsid w:val="00854B47"/>
    <w:rsid w:val="00854B7F"/>
    <w:rsid w:val="008553CF"/>
    <w:rsid w:val="00855421"/>
    <w:rsid w:val="00855666"/>
    <w:rsid w:val="008559C8"/>
    <w:rsid w:val="00855C46"/>
    <w:rsid w:val="00855D43"/>
    <w:rsid w:val="008561D7"/>
    <w:rsid w:val="00856854"/>
    <w:rsid w:val="008569CD"/>
    <w:rsid w:val="00856A97"/>
    <w:rsid w:val="00856E0C"/>
    <w:rsid w:val="00856E4D"/>
    <w:rsid w:val="00856FCE"/>
    <w:rsid w:val="0085710A"/>
    <w:rsid w:val="0085710C"/>
    <w:rsid w:val="0085734B"/>
    <w:rsid w:val="00857598"/>
    <w:rsid w:val="00857676"/>
    <w:rsid w:val="008576A7"/>
    <w:rsid w:val="0085774B"/>
    <w:rsid w:val="008578A6"/>
    <w:rsid w:val="00857940"/>
    <w:rsid w:val="00857ACB"/>
    <w:rsid w:val="00857CF5"/>
    <w:rsid w:val="008607B4"/>
    <w:rsid w:val="00860920"/>
    <w:rsid w:val="00860B22"/>
    <w:rsid w:val="00860E4D"/>
    <w:rsid w:val="00860F4F"/>
    <w:rsid w:val="00861063"/>
    <w:rsid w:val="00861074"/>
    <w:rsid w:val="00861AA4"/>
    <w:rsid w:val="00861ADC"/>
    <w:rsid w:val="00861BFC"/>
    <w:rsid w:val="00861E96"/>
    <w:rsid w:val="008621E5"/>
    <w:rsid w:val="008622C8"/>
    <w:rsid w:val="008625C8"/>
    <w:rsid w:val="008627DE"/>
    <w:rsid w:val="008627E3"/>
    <w:rsid w:val="008628DE"/>
    <w:rsid w:val="00862FB2"/>
    <w:rsid w:val="00863293"/>
    <w:rsid w:val="008634A7"/>
    <w:rsid w:val="008636FC"/>
    <w:rsid w:val="008637BA"/>
    <w:rsid w:val="00863A05"/>
    <w:rsid w:val="00863B93"/>
    <w:rsid w:val="00863D16"/>
    <w:rsid w:val="00863DB6"/>
    <w:rsid w:val="00864279"/>
    <w:rsid w:val="0086470E"/>
    <w:rsid w:val="00864A03"/>
    <w:rsid w:val="00864DFD"/>
    <w:rsid w:val="00865145"/>
    <w:rsid w:val="0086535D"/>
    <w:rsid w:val="0086578D"/>
    <w:rsid w:val="00865B86"/>
    <w:rsid w:val="00865C23"/>
    <w:rsid w:val="00865D6F"/>
    <w:rsid w:val="00865EF7"/>
    <w:rsid w:val="0086625E"/>
    <w:rsid w:val="0086651B"/>
    <w:rsid w:val="0086678B"/>
    <w:rsid w:val="00866B2F"/>
    <w:rsid w:val="008670AB"/>
    <w:rsid w:val="00867322"/>
    <w:rsid w:val="0086739D"/>
    <w:rsid w:val="00867472"/>
    <w:rsid w:val="0086750A"/>
    <w:rsid w:val="00870368"/>
    <w:rsid w:val="00870541"/>
    <w:rsid w:val="008707EE"/>
    <w:rsid w:val="00870857"/>
    <w:rsid w:val="00870A06"/>
    <w:rsid w:val="00870E04"/>
    <w:rsid w:val="00870E8F"/>
    <w:rsid w:val="00871164"/>
    <w:rsid w:val="00871C2C"/>
    <w:rsid w:val="00871C52"/>
    <w:rsid w:val="00872115"/>
    <w:rsid w:val="00872217"/>
    <w:rsid w:val="00872624"/>
    <w:rsid w:val="008726A5"/>
    <w:rsid w:val="008726A8"/>
    <w:rsid w:val="00872CE4"/>
    <w:rsid w:val="00872D10"/>
    <w:rsid w:val="00873114"/>
    <w:rsid w:val="00873210"/>
    <w:rsid w:val="008734DF"/>
    <w:rsid w:val="00873BC6"/>
    <w:rsid w:val="00873CD7"/>
    <w:rsid w:val="0087452D"/>
    <w:rsid w:val="00874A18"/>
    <w:rsid w:val="00874FB1"/>
    <w:rsid w:val="0087504A"/>
    <w:rsid w:val="0087512A"/>
    <w:rsid w:val="0087568C"/>
    <w:rsid w:val="0087599A"/>
    <w:rsid w:val="008759DF"/>
    <w:rsid w:val="008762D0"/>
    <w:rsid w:val="0087634C"/>
    <w:rsid w:val="0087639B"/>
    <w:rsid w:val="008763A9"/>
    <w:rsid w:val="008764F6"/>
    <w:rsid w:val="0087665B"/>
    <w:rsid w:val="00877006"/>
    <w:rsid w:val="0087700F"/>
    <w:rsid w:val="00877142"/>
    <w:rsid w:val="008771F4"/>
    <w:rsid w:val="0087731F"/>
    <w:rsid w:val="008774D8"/>
    <w:rsid w:val="00877705"/>
    <w:rsid w:val="00877798"/>
    <w:rsid w:val="0087782D"/>
    <w:rsid w:val="008778DE"/>
    <w:rsid w:val="00877A81"/>
    <w:rsid w:val="00877CDC"/>
    <w:rsid w:val="00877DFF"/>
    <w:rsid w:val="00877ED7"/>
    <w:rsid w:val="008801EA"/>
    <w:rsid w:val="00880511"/>
    <w:rsid w:val="00880902"/>
    <w:rsid w:val="00880F82"/>
    <w:rsid w:val="008813AB"/>
    <w:rsid w:val="0088144B"/>
    <w:rsid w:val="008815A1"/>
    <w:rsid w:val="00881688"/>
    <w:rsid w:val="0088179E"/>
    <w:rsid w:val="008818B2"/>
    <w:rsid w:val="008819DE"/>
    <w:rsid w:val="00881B4E"/>
    <w:rsid w:val="00881DFE"/>
    <w:rsid w:val="00881E3C"/>
    <w:rsid w:val="00882C2A"/>
    <w:rsid w:val="00882CCE"/>
    <w:rsid w:val="00882E23"/>
    <w:rsid w:val="00883020"/>
    <w:rsid w:val="0088305E"/>
    <w:rsid w:val="0088328A"/>
    <w:rsid w:val="00883455"/>
    <w:rsid w:val="00883634"/>
    <w:rsid w:val="0088395B"/>
    <w:rsid w:val="00883E66"/>
    <w:rsid w:val="008845B3"/>
    <w:rsid w:val="0088479C"/>
    <w:rsid w:val="008847D5"/>
    <w:rsid w:val="00884DAD"/>
    <w:rsid w:val="00884E7D"/>
    <w:rsid w:val="00885400"/>
    <w:rsid w:val="008855A7"/>
    <w:rsid w:val="008855B8"/>
    <w:rsid w:val="0088568E"/>
    <w:rsid w:val="008856BD"/>
    <w:rsid w:val="008857A7"/>
    <w:rsid w:val="008859CD"/>
    <w:rsid w:val="00885A33"/>
    <w:rsid w:val="00885C91"/>
    <w:rsid w:val="00885C9E"/>
    <w:rsid w:val="00885F56"/>
    <w:rsid w:val="00886789"/>
    <w:rsid w:val="008869F7"/>
    <w:rsid w:val="00886E1E"/>
    <w:rsid w:val="0088740E"/>
    <w:rsid w:val="0088747C"/>
    <w:rsid w:val="00887A4B"/>
    <w:rsid w:val="00887D7D"/>
    <w:rsid w:val="00890096"/>
    <w:rsid w:val="00890240"/>
    <w:rsid w:val="008903EB"/>
    <w:rsid w:val="00890BC4"/>
    <w:rsid w:val="00890C5E"/>
    <w:rsid w:val="00890EBA"/>
    <w:rsid w:val="00890EF7"/>
    <w:rsid w:val="008915D2"/>
    <w:rsid w:val="008915F6"/>
    <w:rsid w:val="00891A12"/>
    <w:rsid w:val="00891B7B"/>
    <w:rsid w:val="00891DFF"/>
    <w:rsid w:val="00891F6F"/>
    <w:rsid w:val="00891FE4"/>
    <w:rsid w:val="0089208B"/>
    <w:rsid w:val="00892183"/>
    <w:rsid w:val="00892435"/>
    <w:rsid w:val="008927A8"/>
    <w:rsid w:val="00892A4E"/>
    <w:rsid w:val="00892ACC"/>
    <w:rsid w:val="00892B08"/>
    <w:rsid w:val="00892CA7"/>
    <w:rsid w:val="00893364"/>
    <w:rsid w:val="00893400"/>
    <w:rsid w:val="00893BCB"/>
    <w:rsid w:val="00893D97"/>
    <w:rsid w:val="00894499"/>
    <w:rsid w:val="008945F3"/>
    <w:rsid w:val="008948A8"/>
    <w:rsid w:val="00894A27"/>
    <w:rsid w:val="00894B85"/>
    <w:rsid w:val="00894F59"/>
    <w:rsid w:val="0089516F"/>
    <w:rsid w:val="008953F2"/>
    <w:rsid w:val="00895797"/>
    <w:rsid w:val="00895C93"/>
    <w:rsid w:val="00895E2E"/>
    <w:rsid w:val="00896526"/>
    <w:rsid w:val="008967CD"/>
    <w:rsid w:val="008967FA"/>
    <w:rsid w:val="00896848"/>
    <w:rsid w:val="00896A4C"/>
    <w:rsid w:val="00896C22"/>
    <w:rsid w:val="00896EBA"/>
    <w:rsid w:val="0089742A"/>
    <w:rsid w:val="00897489"/>
    <w:rsid w:val="008975A6"/>
    <w:rsid w:val="0089797F"/>
    <w:rsid w:val="00897BF4"/>
    <w:rsid w:val="008A05AC"/>
    <w:rsid w:val="008A0756"/>
    <w:rsid w:val="008A0B98"/>
    <w:rsid w:val="008A0CD2"/>
    <w:rsid w:val="008A0D90"/>
    <w:rsid w:val="008A0F9B"/>
    <w:rsid w:val="008A13F3"/>
    <w:rsid w:val="008A146C"/>
    <w:rsid w:val="008A15D9"/>
    <w:rsid w:val="008A17D3"/>
    <w:rsid w:val="008A1887"/>
    <w:rsid w:val="008A1BEC"/>
    <w:rsid w:val="008A1BF8"/>
    <w:rsid w:val="008A1C3D"/>
    <w:rsid w:val="008A1C6B"/>
    <w:rsid w:val="008A203C"/>
    <w:rsid w:val="008A20A7"/>
    <w:rsid w:val="008A23A7"/>
    <w:rsid w:val="008A23AD"/>
    <w:rsid w:val="008A23C9"/>
    <w:rsid w:val="008A23FA"/>
    <w:rsid w:val="008A2705"/>
    <w:rsid w:val="008A2831"/>
    <w:rsid w:val="008A2914"/>
    <w:rsid w:val="008A2B5E"/>
    <w:rsid w:val="008A2E54"/>
    <w:rsid w:val="008A2E89"/>
    <w:rsid w:val="008A2FCE"/>
    <w:rsid w:val="008A30D3"/>
    <w:rsid w:val="008A30D6"/>
    <w:rsid w:val="008A314F"/>
    <w:rsid w:val="008A35FE"/>
    <w:rsid w:val="008A3633"/>
    <w:rsid w:val="008A39F8"/>
    <w:rsid w:val="008A3F76"/>
    <w:rsid w:val="008A4065"/>
    <w:rsid w:val="008A422D"/>
    <w:rsid w:val="008A465C"/>
    <w:rsid w:val="008A4963"/>
    <w:rsid w:val="008A4CAD"/>
    <w:rsid w:val="008A4FA4"/>
    <w:rsid w:val="008A4FE4"/>
    <w:rsid w:val="008A50ED"/>
    <w:rsid w:val="008A55A9"/>
    <w:rsid w:val="008A5669"/>
    <w:rsid w:val="008A58AE"/>
    <w:rsid w:val="008A5A1C"/>
    <w:rsid w:val="008A5ABD"/>
    <w:rsid w:val="008A5C20"/>
    <w:rsid w:val="008A5FE7"/>
    <w:rsid w:val="008A60B1"/>
    <w:rsid w:val="008A6102"/>
    <w:rsid w:val="008A67B8"/>
    <w:rsid w:val="008A67F8"/>
    <w:rsid w:val="008A6847"/>
    <w:rsid w:val="008A69BE"/>
    <w:rsid w:val="008A7121"/>
    <w:rsid w:val="008A7576"/>
    <w:rsid w:val="008A7CFC"/>
    <w:rsid w:val="008B02F9"/>
    <w:rsid w:val="008B03CD"/>
    <w:rsid w:val="008B06EF"/>
    <w:rsid w:val="008B0763"/>
    <w:rsid w:val="008B0A45"/>
    <w:rsid w:val="008B0B3A"/>
    <w:rsid w:val="008B0DD6"/>
    <w:rsid w:val="008B10EE"/>
    <w:rsid w:val="008B1118"/>
    <w:rsid w:val="008B1454"/>
    <w:rsid w:val="008B1598"/>
    <w:rsid w:val="008B1F7D"/>
    <w:rsid w:val="008B1FE9"/>
    <w:rsid w:val="008B21F1"/>
    <w:rsid w:val="008B2506"/>
    <w:rsid w:val="008B2723"/>
    <w:rsid w:val="008B27C6"/>
    <w:rsid w:val="008B2A2A"/>
    <w:rsid w:val="008B2DC0"/>
    <w:rsid w:val="008B2EB2"/>
    <w:rsid w:val="008B32A9"/>
    <w:rsid w:val="008B3395"/>
    <w:rsid w:val="008B33CA"/>
    <w:rsid w:val="008B36A7"/>
    <w:rsid w:val="008B39BA"/>
    <w:rsid w:val="008B3B4F"/>
    <w:rsid w:val="008B3ECF"/>
    <w:rsid w:val="008B3EF9"/>
    <w:rsid w:val="008B414A"/>
    <w:rsid w:val="008B41CB"/>
    <w:rsid w:val="008B4532"/>
    <w:rsid w:val="008B4813"/>
    <w:rsid w:val="008B4869"/>
    <w:rsid w:val="008B4ACB"/>
    <w:rsid w:val="008B4E4E"/>
    <w:rsid w:val="008B4F1B"/>
    <w:rsid w:val="008B5030"/>
    <w:rsid w:val="008B5371"/>
    <w:rsid w:val="008B5417"/>
    <w:rsid w:val="008B54DA"/>
    <w:rsid w:val="008B5583"/>
    <w:rsid w:val="008B5A21"/>
    <w:rsid w:val="008B603E"/>
    <w:rsid w:val="008B6451"/>
    <w:rsid w:val="008B65FB"/>
    <w:rsid w:val="008B69C8"/>
    <w:rsid w:val="008B6B50"/>
    <w:rsid w:val="008B72E6"/>
    <w:rsid w:val="008B732D"/>
    <w:rsid w:val="008B776F"/>
    <w:rsid w:val="008B7890"/>
    <w:rsid w:val="008B7900"/>
    <w:rsid w:val="008B7A06"/>
    <w:rsid w:val="008B7CC1"/>
    <w:rsid w:val="008C0010"/>
    <w:rsid w:val="008C0038"/>
    <w:rsid w:val="008C0083"/>
    <w:rsid w:val="008C010C"/>
    <w:rsid w:val="008C0BE0"/>
    <w:rsid w:val="008C0C0E"/>
    <w:rsid w:val="008C0C7A"/>
    <w:rsid w:val="008C0C9C"/>
    <w:rsid w:val="008C0F7B"/>
    <w:rsid w:val="008C14CF"/>
    <w:rsid w:val="008C178B"/>
    <w:rsid w:val="008C1830"/>
    <w:rsid w:val="008C1D32"/>
    <w:rsid w:val="008C230A"/>
    <w:rsid w:val="008C2373"/>
    <w:rsid w:val="008C23ED"/>
    <w:rsid w:val="008C2CFA"/>
    <w:rsid w:val="008C2E04"/>
    <w:rsid w:val="008C2E59"/>
    <w:rsid w:val="008C2EDB"/>
    <w:rsid w:val="008C3314"/>
    <w:rsid w:val="008C35F7"/>
    <w:rsid w:val="008C396C"/>
    <w:rsid w:val="008C39BA"/>
    <w:rsid w:val="008C3E70"/>
    <w:rsid w:val="008C43E7"/>
    <w:rsid w:val="008C4516"/>
    <w:rsid w:val="008C4AB0"/>
    <w:rsid w:val="008C58C3"/>
    <w:rsid w:val="008C59C9"/>
    <w:rsid w:val="008C59EE"/>
    <w:rsid w:val="008C5C75"/>
    <w:rsid w:val="008C5D82"/>
    <w:rsid w:val="008C5E20"/>
    <w:rsid w:val="008C5F57"/>
    <w:rsid w:val="008C6101"/>
    <w:rsid w:val="008C640C"/>
    <w:rsid w:val="008C65B1"/>
    <w:rsid w:val="008C69C7"/>
    <w:rsid w:val="008C6B32"/>
    <w:rsid w:val="008C6C1D"/>
    <w:rsid w:val="008C6C9A"/>
    <w:rsid w:val="008C701E"/>
    <w:rsid w:val="008C70BE"/>
    <w:rsid w:val="008C7270"/>
    <w:rsid w:val="008C7567"/>
    <w:rsid w:val="008C7C77"/>
    <w:rsid w:val="008C7F72"/>
    <w:rsid w:val="008D0440"/>
    <w:rsid w:val="008D08F2"/>
    <w:rsid w:val="008D0966"/>
    <w:rsid w:val="008D0AE9"/>
    <w:rsid w:val="008D1277"/>
    <w:rsid w:val="008D12C5"/>
    <w:rsid w:val="008D1489"/>
    <w:rsid w:val="008D1B64"/>
    <w:rsid w:val="008D1EB1"/>
    <w:rsid w:val="008D1F40"/>
    <w:rsid w:val="008D258E"/>
    <w:rsid w:val="008D25D6"/>
    <w:rsid w:val="008D2C6E"/>
    <w:rsid w:val="008D2E13"/>
    <w:rsid w:val="008D2ED6"/>
    <w:rsid w:val="008D36A4"/>
    <w:rsid w:val="008D3B11"/>
    <w:rsid w:val="008D3C5F"/>
    <w:rsid w:val="008D3DC7"/>
    <w:rsid w:val="008D3F6D"/>
    <w:rsid w:val="008D4162"/>
    <w:rsid w:val="008D4335"/>
    <w:rsid w:val="008D438F"/>
    <w:rsid w:val="008D474B"/>
    <w:rsid w:val="008D4A5E"/>
    <w:rsid w:val="008D4C58"/>
    <w:rsid w:val="008D4E54"/>
    <w:rsid w:val="008D4EB7"/>
    <w:rsid w:val="008D4F7B"/>
    <w:rsid w:val="008D5016"/>
    <w:rsid w:val="008D53E4"/>
    <w:rsid w:val="008D5947"/>
    <w:rsid w:val="008D5BC2"/>
    <w:rsid w:val="008D5D11"/>
    <w:rsid w:val="008D6A93"/>
    <w:rsid w:val="008D6BFF"/>
    <w:rsid w:val="008D6F69"/>
    <w:rsid w:val="008D727F"/>
    <w:rsid w:val="008D743E"/>
    <w:rsid w:val="008D7761"/>
    <w:rsid w:val="008D7784"/>
    <w:rsid w:val="008D77E2"/>
    <w:rsid w:val="008D7959"/>
    <w:rsid w:val="008D7A26"/>
    <w:rsid w:val="008D7B7B"/>
    <w:rsid w:val="008D7E16"/>
    <w:rsid w:val="008E0008"/>
    <w:rsid w:val="008E0047"/>
    <w:rsid w:val="008E042A"/>
    <w:rsid w:val="008E0654"/>
    <w:rsid w:val="008E06AF"/>
    <w:rsid w:val="008E0B49"/>
    <w:rsid w:val="008E0FFD"/>
    <w:rsid w:val="008E1259"/>
    <w:rsid w:val="008E12B9"/>
    <w:rsid w:val="008E1693"/>
    <w:rsid w:val="008E1964"/>
    <w:rsid w:val="008E1A5E"/>
    <w:rsid w:val="008E1C6F"/>
    <w:rsid w:val="008E1F37"/>
    <w:rsid w:val="008E2747"/>
    <w:rsid w:val="008E33D8"/>
    <w:rsid w:val="008E3862"/>
    <w:rsid w:val="008E3B1C"/>
    <w:rsid w:val="008E3B29"/>
    <w:rsid w:val="008E3BEB"/>
    <w:rsid w:val="008E4275"/>
    <w:rsid w:val="008E4A6A"/>
    <w:rsid w:val="008E4C89"/>
    <w:rsid w:val="008E4DD8"/>
    <w:rsid w:val="008E4F9E"/>
    <w:rsid w:val="008E5091"/>
    <w:rsid w:val="008E51AF"/>
    <w:rsid w:val="008E548A"/>
    <w:rsid w:val="008E5C7B"/>
    <w:rsid w:val="008E5FB8"/>
    <w:rsid w:val="008E637A"/>
    <w:rsid w:val="008E68CC"/>
    <w:rsid w:val="008E69DD"/>
    <w:rsid w:val="008E6A0D"/>
    <w:rsid w:val="008E6B50"/>
    <w:rsid w:val="008E6BB2"/>
    <w:rsid w:val="008E6C42"/>
    <w:rsid w:val="008E6FE7"/>
    <w:rsid w:val="008E73AD"/>
    <w:rsid w:val="008E74A2"/>
    <w:rsid w:val="008E763F"/>
    <w:rsid w:val="008E78CD"/>
    <w:rsid w:val="008E7971"/>
    <w:rsid w:val="008E7A42"/>
    <w:rsid w:val="008E7BD2"/>
    <w:rsid w:val="008E7C2D"/>
    <w:rsid w:val="008E7DFA"/>
    <w:rsid w:val="008E7EC9"/>
    <w:rsid w:val="008F030E"/>
    <w:rsid w:val="008F0603"/>
    <w:rsid w:val="008F07A9"/>
    <w:rsid w:val="008F097E"/>
    <w:rsid w:val="008F09A1"/>
    <w:rsid w:val="008F0B6F"/>
    <w:rsid w:val="008F0F90"/>
    <w:rsid w:val="008F10B1"/>
    <w:rsid w:val="008F12DD"/>
    <w:rsid w:val="008F1339"/>
    <w:rsid w:val="008F1518"/>
    <w:rsid w:val="008F2409"/>
    <w:rsid w:val="008F2642"/>
    <w:rsid w:val="008F27E9"/>
    <w:rsid w:val="008F2BAC"/>
    <w:rsid w:val="008F2BE7"/>
    <w:rsid w:val="008F2CE1"/>
    <w:rsid w:val="008F3644"/>
    <w:rsid w:val="008F364C"/>
    <w:rsid w:val="008F3706"/>
    <w:rsid w:val="008F39DB"/>
    <w:rsid w:val="008F3A6A"/>
    <w:rsid w:val="008F417E"/>
    <w:rsid w:val="008F4449"/>
    <w:rsid w:val="008F462A"/>
    <w:rsid w:val="008F4712"/>
    <w:rsid w:val="008F48ED"/>
    <w:rsid w:val="008F4B2E"/>
    <w:rsid w:val="008F4B82"/>
    <w:rsid w:val="008F4BF3"/>
    <w:rsid w:val="008F4C67"/>
    <w:rsid w:val="008F4D15"/>
    <w:rsid w:val="008F4EDA"/>
    <w:rsid w:val="008F4EDB"/>
    <w:rsid w:val="008F4FFF"/>
    <w:rsid w:val="008F5485"/>
    <w:rsid w:val="008F56EF"/>
    <w:rsid w:val="008F5751"/>
    <w:rsid w:val="008F596F"/>
    <w:rsid w:val="008F5A84"/>
    <w:rsid w:val="008F5E4B"/>
    <w:rsid w:val="008F6156"/>
    <w:rsid w:val="008F6249"/>
    <w:rsid w:val="008F6496"/>
    <w:rsid w:val="008F69F4"/>
    <w:rsid w:val="008F711A"/>
    <w:rsid w:val="008F76A0"/>
    <w:rsid w:val="008F781E"/>
    <w:rsid w:val="009002C7"/>
    <w:rsid w:val="00900408"/>
    <w:rsid w:val="009004E3"/>
    <w:rsid w:val="00900652"/>
    <w:rsid w:val="00900697"/>
    <w:rsid w:val="009006A6"/>
    <w:rsid w:val="00900779"/>
    <w:rsid w:val="00900846"/>
    <w:rsid w:val="009008C7"/>
    <w:rsid w:val="00901203"/>
    <w:rsid w:val="00901395"/>
    <w:rsid w:val="009013A4"/>
    <w:rsid w:val="009015E0"/>
    <w:rsid w:val="009016D7"/>
    <w:rsid w:val="009017D7"/>
    <w:rsid w:val="00901BFC"/>
    <w:rsid w:val="00901C41"/>
    <w:rsid w:val="00902133"/>
    <w:rsid w:val="009027A6"/>
    <w:rsid w:val="00902DB5"/>
    <w:rsid w:val="00903602"/>
    <w:rsid w:val="009036DB"/>
    <w:rsid w:val="00903AC3"/>
    <w:rsid w:val="00903B96"/>
    <w:rsid w:val="00903C18"/>
    <w:rsid w:val="00903DB5"/>
    <w:rsid w:val="00904031"/>
    <w:rsid w:val="00904070"/>
    <w:rsid w:val="0090412E"/>
    <w:rsid w:val="00904295"/>
    <w:rsid w:val="00904536"/>
    <w:rsid w:val="009046E4"/>
    <w:rsid w:val="0090478A"/>
    <w:rsid w:val="00904942"/>
    <w:rsid w:val="00904C97"/>
    <w:rsid w:val="00904F46"/>
    <w:rsid w:val="00904FE3"/>
    <w:rsid w:val="00904FF3"/>
    <w:rsid w:val="00905436"/>
    <w:rsid w:val="009058A1"/>
    <w:rsid w:val="009059E6"/>
    <w:rsid w:val="00905A41"/>
    <w:rsid w:val="00905C9E"/>
    <w:rsid w:val="00905CEE"/>
    <w:rsid w:val="00905F69"/>
    <w:rsid w:val="00905F7D"/>
    <w:rsid w:val="0090600C"/>
    <w:rsid w:val="00906574"/>
    <w:rsid w:val="009065F4"/>
    <w:rsid w:val="00906A69"/>
    <w:rsid w:val="00906B7E"/>
    <w:rsid w:val="00906D08"/>
    <w:rsid w:val="00906E2A"/>
    <w:rsid w:val="00907652"/>
    <w:rsid w:val="009079A7"/>
    <w:rsid w:val="00910142"/>
    <w:rsid w:val="009102A7"/>
    <w:rsid w:val="0091067C"/>
    <w:rsid w:val="00910853"/>
    <w:rsid w:val="009108DD"/>
    <w:rsid w:val="00910B0D"/>
    <w:rsid w:val="00910B62"/>
    <w:rsid w:val="00910FCA"/>
    <w:rsid w:val="00911000"/>
    <w:rsid w:val="00911390"/>
    <w:rsid w:val="0091139C"/>
    <w:rsid w:val="00911521"/>
    <w:rsid w:val="00911764"/>
    <w:rsid w:val="009118E5"/>
    <w:rsid w:val="00911A28"/>
    <w:rsid w:val="00911A7B"/>
    <w:rsid w:val="00911CE9"/>
    <w:rsid w:val="00911D13"/>
    <w:rsid w:val="00911D86"/>
    <w:rsid w:val="00912065"/>
    <w:rsid w:val="00912280"/>
    <w:rsid w:val="00912404"/>
    <w:rsid w:val="00912416"/>
    <w:rsid w:val="009124B7"/>
    <w:rsid w:val="0091257A"/>
    <w:rsid w:val="009127D0"/>
    <w:rsid w:val="009129C5"/>
    <w:rsid w:val="00912A42"/>
    <w:rsid w:val="00912C1C"/>
    <w:rsid w:val="00912DCD"/>
    <w:rsid w:val="009130A3"/>
    <w:rsid w:val="009131D3"/>
    <w:rsid w:val="00913405"/>
    <w:rsid w:val="009137BC"/>
    <w:rsid w:val="00913941"/>
    <w:rsid w:val="00913A6C"/>
    <w:rsid w:val="00913D2D"/>
    <w:rsid w:val="0091429F"/>
    <w:rsid w:val="0091442C"/>
    <w:rsid w:val="009144B5"/>
    <w:rsid w:val="00914506"/>
    <w:rsid w:val="009145E8"/>
    <w:rsid w:val="009146F6"/>
    <w:rsid w:val="009147A4"/>
    <w:rsid w:val="009148FA"/>
    <w:rsid w:val="009149E2"/>
    <w:rsid w:val="009150FD"/>
    <w:rsid w:val="00915863"/>
    <w:rsid w:val="00915991"/>
    <w:rsid w:val="00915A57"/>
    <w:rsid w:val="00915E47"/>
    <w:rsid w:val="00915E99"/>
    <w:rsid w:val="00915FA1"/>
    <w:rsid w:val="00915FB0"/>
    <w:rsid w:val="00916095"/>
    <w:rsid w:val="009163D2"/>
    <w:rsid w:val="0091655B"/>
    <w:rsid w:val="009165CD"/>
    <w:rsid w:val="0091677C"/>
    <w:rsid w:val="00916ABF"/>
    <w:rsid w:val="00916AFE"/>
    <w:rsid w:val="00916CA9"/>
    <w:rsid w:val="00916ED7"/>
    <w:rsid w:val="00917535"/>
    <w:rsid w:val="00917732"/>
    <w:rsid w:val="00917750"/>
    <w:rsid w:val="00917B0F"/>
    <w:rsid w:val="00917D09"/>
    <w:rsid w:val="00917FBA"/>
    <w:rsid w:val="00917FEB"/>
    <w:rsid w:val="00920531"/>
    <w:rsid w:val="00920625"/>
    <w:rsid w:val="0092062E"/>
    <w:rsid w:val="00920798"/>
    <w:rsid w:val="009207D7"/>
    <w:rsid w:val="00920BA1"/>
    <w:rsid w:val="009212BA"/>
    <w:rsid w:val="009215D4"/>
    <w:rsid w:val="0092181F"/>
    <w:rsid w:val="00921A58"/>
    <w:rsid w:val="00921AA3"/>
    <w:rsid w:val="00921E36"/>
    <w:rsid w:val="00922371"/>
    <w:rsid w:val="009227F9"/>
    <w:rsid w:val="00922817"/>
    <w:rsid w:val="00922B16"/>
    <w:rsid w:val="00922E70"/>
    <w:rsid w:val="0092334A"/>
    <w:rsid w:val="00923394"/>
    <w:rsid w:val="00923473"/>
    <w:rsid w:val="009236B7"/>
    <w:rsid w:val="00923856"/>
    <w:rsid w:val="00923953"/>
    <w:rsid w:val="009241AD"/>
    <w:rsid w:val="009241C8"/>
    <w:rsid w:val="009243E3"/>
    <w:rsid w:val="0092473E"/>
    <w:rsid w:val="00924A6A"/>
    <w:rsid w:val="00924EB7"/>
    <w:rsid w:val="00924F35"/>
    <w:rsid w:val="0092519A"/>
    <w:rsid w:val="0092539C"/>
    <w:rsid w:val="009254B3"/>
    <w:rsid w:val="0092560C"/>
    <w:rsid w:val="00925660"/>
    <w:rsid w:val="00925744"/>
    <w:rsid w:val="00925761"/>
    <w:rsid w:val="009258D6"/>
    <w:rsid w:val="00925FCE"/>
    <w:rsid w:val="00926064"/>
    <w:rsid w:val="009261C5"/>
    <w:rsid w:val="00926597"/>
    <w:rsid w:val="009267D6"/>
    <w:rsid w:val="00926864"/>
    <w:rsid w:val="00926CFC"/>
    <w:rsid w:val="00926E69"/>
    <w:rsid w:val="0092709B"/>
    <w:rsid w:val="00927177"/>
    <w:rsid w:val="0092740A"/>
    <w:rsid w:val="00927908"/>
    <w:rsid w:val="0092791E"/>
    <w:rsid w:val="00927B84"/>
    <w:rsid w:val="00927EA3"/>
    <w:rsid w:val="009303EC"/>
    <w:rsid w:val="0093084A"/>
    <w:rsid w:val="00930BB1"/>
    <w:rsid w:val="00930EF7"/>
    <w:rsid w:val="00930FEF"/>
    <w:rsid w:val="0093125C"/>
    <w:rsid w:val="009313C1"/>
    <w:rsid w:val="0093158B"/>
    <w:rsid w:val="0093170B"/>
    <w:rsid w:val="009317B8"/>
    <w:rsid w:val="009317BE"/>
    <w:rsid w:val="00931BCA"/>
    <w:rsid w:val="00931D0D"/>
    <w:rsid w:val="00931D56"/>
    <w:rsid w:val="00931E86"/>
    <w:rsid w:val="00932057"/>
    <w:rsid w:val="0093209A"/>
    <w:rsid w:val="009320ED"/>
    <w:rsid w:val="00932525"/>
    <w:rsid w:val="0093270D"/>
    <w:rsid w:val="009328E4"/>
    <w:rsid w:val="00932E34"/>
    <w:rsid w:val="009334C8"/>
    <w:rsid w:val="009335FE"/>
    <w:rsid w:val="00933A63"/>
    <w:rsid w:val="00933E8B"/>
    <w:rsid w:val="00934075"/>
    <w:rsid w:val="0093410C"/>
    <w:rsid w:val="0093431E"/>
    <w:rsid w:val="009343BD"/>
    <w:rsid w:val="009344A0"/>
    <w:rsid w:val="0093450F"/>
    <w:rsid w:val="009347DA"/>
    <w:rsid w:val="00934B10"/>
    <w:rsid w:val="009351B0"/>
    <w:rsid w:val="00935412"/>
    <w:rsid w:val="00935FBF"/>
    <w:rsid w:val="009360D6"/>
    <w:rsid w:val="009361FC"/>
    <w:rsid w:val="00936282"/>
    <w:rsid w:val="00936510"/>
    <w:rsid w:val="00936568"/>
    <w:rsid w:val="00936932"/>
    <w:rsid w:val="00936B7D"/>
    <w:rsid w:val="00936B9C"/>
    <w:rsid w:val="00937061"/>
    <w:rsid w:val="00937078"/>
    <w:rsid w:val="009377F7"/>
    <w:rsid w:val="00940150"/>
    <w:rsid w:val="0094016A"/>
    <w:rsid w:val="00940182"/>
    <w:rsid w:val="00940389"/>
    <w:rsid w:val="009403FB"/>
    <w:rsid w:val="00940419"/>
    <w:rsid w:val="009405BF"/>
    <w:rsid w:val="009406F2"/>
    <w:rsid w:val="009411B4"/>
    <w:rsid w:val="00941336"/>
    <w:rsid w:val="009416B6"/>
    <w:rsid w:val="00941AA8"/>
    <w:rsid w:val="00941F8A"/>
    <w:rsid w:val="00942389"/>
    <w:rsid w:val="00942442"/>
    <w:rsid w:val="00942587"/>
    <w:rsid w:val="009426D5"/>
    <w:rsid w:val="00942718"/>
    <w:rsid w:val="009428A0"/>
    <w:rsid w:val="009428BF"/>
    <w:rsid w:val="009428ED"/>
    <w:rsid w:val="00942907"/>
    <w:rsid w:val="00942AB1"/>
    <w:rsid w:val="00942F21"/>
    <w:rsid w:val="009432DE"/>
    <w:rsid w:val="009438EF"/>
    <w:rsid w:val="00943BE8"/>
    <w:rsid w:val="00943F0E"/>
    <w:rsid w:val="009440B4"/>
    <w:rsid w:val="009445BE"/>
    <w:rsid w:val="00944BCB"/>
    <w:rsid w:val="00944C87"/>
    <w:rsid w:val="00944FBA"/>
    <w:rsid w:val="009453CC"/>
    <w:rsid w:val="00945476"/>
    <w:rsid w:val="0094553B"/>
    <w:rsid w:val="009455EA"/>
    <w:rsid w:val="00945D35"/>
    <w:rsid w:val="00945E0A"/>
    <w:rsid w:val="00945E73"/>
    <w:rsid w:val="00945E92"/>
    <w:rsid w:val="00945EBE"/>
    <w:rsid w:val="00945F14"/>
    <w:rsid w:val="009466EE"/>
    <w:rsid w:val="0094698E"/>
    <w:rsid w:val="009469FF"/>
    <w:rsid w:val="009472EB"/>
    <w:rsid w:val="00947514"/>
    <w:rsid w:val="00947921"/>
    <w:rsid w:val="00947978"/>
    <w:rsid w:val="009479A2"/>
    <w:rsid w:val="00947DBE"/>
    <w:rsid w:val="00947E08"/>
    <w:rsid w:val="009506F2"/>
    <w:rsid w:val="00950A01"/>
    <w:rsid w:val="00950AA7"/>
    <w:rsid w:val="00950B90"/>
    <w:rsid w:val="00950F92"/>
    <w:rsid w:val="009511A3"/>
    <w:rsid w:val="009513E7"/>
    <w:rsid w:val="0095140B"/>
    <w:rsid w:val="00951628"/>
    <w:rsid w:val="00951769"/>
    <w:rsid w:val="009517B9"/>
    <w:rsid w:val="00951B9E"/>
    <w:rsid w:val="00951DB6"/>
    <w:rsid w:val="00952167"/>
    <w:rsid w:val="0095251A"/>
    <w:rsid w:val="009528E6"/>
    <w:rsid w:val="00952F7B"/>
    <w:rsid w:val="0095344E"/>
    <w:rsid w:val="009536CE"/>
    <w:rsid w:val="00953A57"/>
    <w:rsid w:val="00953BB0"/>
    <w:rsid w:val="00953D0E"/>
    <w:rsid w:val="00954296"/>
    <w:rsid w:val="0095446A"/>
    <w:rsid w:val="00954755"/>
    <w:rsid w:val="0095475C"/>
    <w:rsid w:val="009549BD"/>
    <w:rsid w:val="00954C4C"/>
    <w:rsid w:val="00954DD9"/>
    <w:rsid w:val="00955A23"/>
    <w:rsid w:val="00955C37"/>
    <w:rsid w:val="00955D80"/>
    <w:rsid w:val="00956004"/>
    <w:rsid w:val="0095604B"/>
    <w:rsid w:val="00956198"/>
    <w:rsid w:val="009562E9"/>
    <w:rsid w:val="0095660A"/>
    <w:rsid w:val="0095664A"/>
    <w:rsid w:val="00956B3D"/>
    <w:rsid w:val="00956BB3"/>
    <w:rsid w:val="00956BF4"/>
    <w:rsid w:val="00957471"/>
    <w:rsid w:val="009575E1"/>
    <w:rsid w:val="00957871"/>
    <w:rsid w:val="0095789E"/>
    <w:rsid w:val="00957944"/>
    <w:rsid w:val="009579DE"/>
    <w:rsid w:val="009579E4"/>
    <w:rsid w:val="00957D21"/>
    <w:rsid w:val="00960013"/>
    <w:rsid w:val="009602D0"/>
    <w:rsid w:val="00960343"/>
    <w:rsid w:val="00960846"/>
    <w:rsid w:val="00960A2A"/>
    <w:rsid w:val="00960BC7"/>
    <w:rsid w:val="00960C09"/>
    <w:rsid w:val="00961237"/>
    <w:rsid w:val="0096155E"/>
    <w:rsid w:val="009617B9"/>
    <w:rsid w:val="009617D7"/>
    <w:rsid w:val="00961976"/>
    <w:rsid w:val="00961AB6"/>
    <w:rsid w:val="00962129"/>
    <w:rsid w:val="00962176"/>
    <w:rsid w:val="009623D8"/>
    <w:rsid w:val="009625EF"/>
    <w:rsid w:val="0096272A"/>
    <w:rsid w:val="00962830"/>
    <w:rsid w:val="00962D71"/>
    <w:rsid w:val="00962E21"/>
    <w:rsid w:val="009632C9"/>
    <w:rsid w:val="0096352D"/>
    <w:rsid w:val="00963A11"/>
    <w:rsid w:val="00963A94"/>
    <w:rsid w:val="009642BB"/>
    <w:rsid w:val="00964625"/>
    <w:rsid w:val="0096467F"/>
    <w:rsid w:val="009646BD"/>
    <w:rsid w:val="00964832"/>
    <w:rsid w:val="0096483D"/>
    <w:rsid w:val="00964BB6"/>
    <w:rsid w:val="00964C2F"/>
    <w:rsid w:val="00964D4F"/>
    <w:rsid w:val="00964D75"/>
    <w:rsid w:val="00964FBA"/>
    <w:rsid w:val="0096502F"/>
    <w:rsid w:val="00965156"/>
    <w:rsid w:val="00965605"/>
    <w:rsid w:val="00965F4D"/>
    <w:rsid w:val="00966040"/>
    <w:rsid w:val="009661B1"/>
    <w:rsid w:val="0096649B"/>
    <w:rsid w:val="00966513"/>
    <w:rsid w:val="00966689"/>
    <w:rsid w:val="009667EE"/>
    <w:rsid w:val="009669D4"/>
    <w:rsid w:val="00966C4F"/>
    <w:rsid w:val="00966EC9"/>
    <w:rsid w:val="00967064"/>
    <w:rsid w:val="009672E4"/>
    <w:rsid w:val="00967695"/>
    <w:rsid w:val="009677AE"/>
    <w:rsid w:val="009677E7"/>
    <w:rsid w:val="00967848"/>
    <w:rsid w:val="00970587"/>
    <w:rsid w:val="009707E1"/>
    <w:rsid w:val="00970848"/>
    <w:rsid w:val="00970E7A"/>
    <w:rsid w:val="00971208"/>
    <w:rsid w:val="0097121C"/>
    <w:rsid w:val="00971584"/>
    <w:rsid w:val="0097176F"/>
    <w:rsid w:val="009718C1"/>
    <w:rsid w:val="00971987"/>
    <w:rsid w:val="00971B01"/>
    <w:rsid w:val="00971C98"/>
    <w:rsid w:val="009720B6"/>
    <w:rsid w:val="009721D7"/>
    <w:rsid w:val="009723DC"/>
    <w:rsid w:val="00972678"/>
    <w:rsid w:val="00972A3A"/>
    <w:rsid w:val="00972A7F"/>
    <w:rsid w:val="00972AD0"/>
    <w:rsid w:val="00972B38"/>
    <w:rsid w:val="00972F19"/>
    <w:rsid w:val="00972FF0"/>
    <w:rsid w:val="0097316B"/>
    <w:rsid w:val="0097354A"/>
    <w:rsid w:val="00973568"/>
    <w:rsid w:val="00973C63"/>
    <w:rsid w:val="00973CF9"/>
    <w:rsid w:val="0097455A"/>
    <w:rsid w:val="009749CB"/>
    <w:rsid w:val="00974FAA"/>
    <w:rsid w:val="0097503D"/>
    <w:rsid w:val="009751A5"/>
    <w:rsid w:val="009751C6"/>
    <w:rsid w:val="00975204"/>
    <w:rsid w:val="009753E7"/>
    <w:rsid w:val="00975658"/>
    <w:rsid w:val="00975B25"/>
    <w:rsid w:val="00975CD1"/>
    <w:rsid w:val="009767B0"/>
    <w:rsid w:val="00976A05"/>
    <w:rsid w:val="00976D8D"/>
    <w:rsid w:val="00976DE7"/>
    <w:rsid w:val="00976FB5"/>
    <w:rsid w:val="00977184"/>
    <w:rsid w:val="0097718F"/>
    <w:rsid w:val="0097758C"/>
    <w:rsid w:val="00977A8E"/>
    <w:rsid w:val="00977B1E"/>
    <w:rsid w:val="00977B62"/>
    <w:rsid w:val="00977C63"/>
    <w:rsid w:val="00977E4A"/>
    <w:rsid w:val="0098007A"/>
    <w:rsid w:val="009802C9"/>
    <w:rsid w:val="009802D0"/>
    <w:rsid w:val="009802D8"/>
    <w:rsid w:val="00980509"/>
    <w:rsid w:val="00980544"/>
    <w:rsid w:val="00980798"/>
    <w:rsid w:val="009808D6"/>
    <w:rsid w:val="009810DD"/>
    <w:rsid w:val="0098111E"/>
    <w:rsid w:val="009811DE"/>
    <w:rsid w:val="009812BD"/>
    <w:rsid w:val="009812F2"/>
    <w:rsid w:val="009817E5"/>
    <w:rsid w:val="009818D3"/>
    <w:rsid w:val="0098196F"/>
    <w:rsid w:val="0098203D"/>
    <w:rsid w:val="00982A76"/>
    <w:rsid w:val="00982C38"/>
    <w:rsid w:val="00982CC7"/>
    <w:rsid w:val="009834C2"/>
    <w:rsid w:val="0098353E"/>
    <w:rsid w:val="00983815"/>
    <w:rsid w:val="00983B1E"/>
    <w:rsid w:val="00983B4B"/>
    <w:rsid w:val="00983B7A"/>
    <w:rsid w:val="00983ECF"/>
    <w:rsid w:val="0098430B"/>
    <w:rsid w:val="00984A3F"/>
    <w:rsid w:val="00984D36"/>
    <w:rsid w:val="00984E48"/>
    <w:rsid w:val="0098502B"/>
    <w:rsid w:val="0098539E"/>
    <w:rsid w:val="00985485"/>
    <w:rsid w:val="009854F4"/>
    <w:rsid w:val="0098552E"/>
    <w:rsid w:val="009857B1"/>
    <w:rsid w:val="00985ABF"/>
    <w:rsid w:val="00985B40"/>
    <w:rsid w:val="00985C6B"/>
    <w:rsid w:val="00985F39"/>
    <w:rsid w:val="0098630C"/>
    <w:rsid w:val="0098652C"/>
    <w:rsid w:val="009865EC"/>
    <w:rsid w:val="00986B8F"/>
    <w:rsid w:val="0098711F"/>
    <w:rsid w:val="0098715A"/>
    <w:rsid w:val="009873A8"/>
    <w:rsid w:val="0098751C"/>
    <w:rsid w:val="00987A2B"/>
    <w:rsid w:val="009900DB"/>
    <w:rsid w:val="009902AB"/>
    <w:rsid w:val="0099039E"/>
    <w:rsid w:val="009906F7"/>
    <w:rsid w:val="0099087A"/>
    <w:rsid w:val="00990DFE"/>
    <w:rsid w:val="00990E79"/>
    <w:rsid w:val="00991054"/>
    <w:rsid w:val="00991160"/>
    <w:rsid w:val="00991685"/>
    <w:rsid w:val="0099222C"/>
    <w:rsid w:val="0099225D"/>
    <w:rsid w:val="0099236A"/>
    <w:rsid w:val="00992480"/>
    <w:rsid w:val="009927B9"/>
    <w:rsid w:val="009927FA"/>
    <w:rsid w:val="00992826"/>
    <w:rsid w:val="00992858"/>
    <w:rsid w:val="0099290F"/>
    <w:rsid w:val="00992A15"/>
    <w:rsid w:val="00992AB8"/>
    <w:rsid w:val="009932BC"/>
    <w:rsid w:val="00993648"/>
    <w:rsid w:val="009937AD"/>
    <w:rsid w:val="009937B2"/>
    <w:rsid w:val="009937FF"/>
    <w:rsid w:val="00993836"/>
    <w:rsid w:val="00993850"/>
    <w:rsid w:val="00993AE4"/>
    <w:rsid w:val="00993BFE"/>
    <w:rsid w:val="00993C78"/>
    <w:rsid w:val="00993F50"/>
    <w:rsid w:val="00994253"/>
    <w:rsid w:val="0099492C"/>
    <w:rsid w:val="00994B1E"/>
    <w:rsid w:val="00994B4D"/>
    <w:rsid w:val="00994BA8"/>
    <w:rsid w:val="0099556C"/>
    <w:rsid w:val="009956D4"/>
    <w:rsid w:val="009957BD"/>
    <w:rsid w:val="0099584B"/>
    <w:rsid w:val="0099586F"/>
    <w:rsid w:val="00995BB7"/>
    <w:rsid w:val="00995D12"/>
    <w:rsid w:val="00995FC8"/>
    <w:rsid w:val="00996267"/>
    <w:rsid w:val="009964F9"/>
    <w:rsid w:val="009967F2"/>
    <w:rsid w:val="0099694E"/>
    <w:rsid w:val="00997020"/>
    <w:rsid w:val="00997299"/>
    <w:rsid w:val="009976D8"/>
    <w:rsid w:val="00997790"/>
    <w:rsid w:val="00997944"/>
    <w:rsid w:val="009979EF"/>
    <w:rsid w:val="00997A02"/>
    <w:rsid w:val="00997E17"/>
    <w:rsid w:val="00997F1C"/>
    <w:rsid w:val="00997F63"/>
    <w:rsid w:val="009A00A8"/>
    <w:rsid w:val="009A00E0"/>
    <w:rsid w:val="009A08E5"/>
    <w:rsid w:val="009A0AE1"/>
    <w:rsid w:val="009A0CDF"/>
    <w:rsid w:val="009A1067"/>
    <w:rsid w:val="009A11D3"/>
    <w:rsid w:val="009A1731"/>
    <w:rsid w:val="009A19B8"/>
    <w:rsid w:val="009A1A39"/>
    <w:rsid w:val="009A1C51"/>
    <w:rsid w:val="009A1E72"/>
    <w:rsid w:val="009A2169"/>
    <w:rsid w:val="009A233E"/>
    <w:rsid w:val="009A2409"/>
    <w:rsid w:val="009A27C1"/>
    <w:rsid w:val="009A2849"/>
    <w:rsid w:val="009A2D31"/>
    <w:rsid w:val="009A3891"/>
    <w:rsid w:val="009A3C9A"/>
    <w:rsid w:val="009A3F97"/>
    <w:rsid w:val="009A403C"/>
    <w:rsid w:val="009A442D"/>
    <w:rsid w:val="009A45A7"/>
    <w:rsid w:val="009A46E4"/>
    <w:rsid w:val="009A4807"/>
    <w:rsid w:val="009A5475"/>
    <w:rsid w:val="009A5504"/>
    <w:rsid w:val="009A56F6"/>
    <w:rsid w:val="009A5705"/>
    <w:rsid w:val="009A571A"/>
    <w:rsid w:val="009A586D"/>
    <w:rsid w:val="009A58AA"/>
    <w:rsid w:val="009A58FC"/>
    <w:rsid w:val="009A5AA7"/>
    <w:rsid w:val="009A5C35"/>
    <w:rsid w:val="009A5E41"/>
    <w:rsid w:val="009A5EA5"/>
    <w:rsid w:val="009A5F1D"/>
    <w:rsid w:val="009A60D8"/>
    <w:rsid w:val="009A6258"/>
    <w:rsid w:val="009A65FC"/>
    <w:rsid w:val="009A6662"/>
    <w:rsid w:val="009A66D0"/>
    <w:rsid w:val="009A6C70"/>
    <w:rsid w:val="009A6CC4"/>
    <w:rsid w:val="009A6DAB"/>
    <w:rsid w:val="009A729A"/>
    <w:rsid w:val="009A72BB"/>
    <w:rsid w:val="009A751B"/>
    <w:rsid w:val="009A7A1D"/>
    <w:rsid w:val="009A7CAE"/>
    <w:rsid w:val="009A7E90"/>
    <w:rsid w:val="009B01F2"/>
    <w:rsid w:val="009B01FC"/>
    <w:rsid w:val="009B0289"/>
    <w:rsid w:val="009B0C3E"/>
    <w:rsid w:val="009B1494"/>
    <w:rsid w:val="009B1A1C"/>
    <w:rsid w:val="009B1AAA"/>
    <w:rsid w:val="009B1B1A"/>
    <w:rsid w:val="009B1BFE"/>
    <w:rsid w:val="009B1CF4"/>
    <w:rsid w:val="009B23F6"/>
    <w:rsid w:val="009B242B"/>
    <w:rsid w:val="009B382C"/>
    <w:rsid w:val="009B397E"/>
    <w:rsid w:val="009B3AEF"/>
    <w:rsid w:val="009B3B8B"/>
    <w:rsid w:val="009B3F51"/>
    <w:rsid w:val="009B4002"/>
    <w:rsid w:val="009B4095"/>
    <w:rsid w:val="009B42E8"/>
    <w:rsid w:val="009B432C"/>
    <w:rsid w:val="009B45B8"/>
    <w:rsid w:val="009B489B"/>
    <w:rsid w:val="009B4A1E"/>
    <w:rsid w:val="009B4ADE"/>
    <w:rsid w:val="009B4F51"/>
    <w:rsid w:val="009B5118"/>
    <w:rsid w:val="009B5368"/>
    <w:rsid w:val="009B5FB2"/>
    <w:rsid w:val="009B61B8"/>
    <w:rsid w:val="009B61C6"/>
    <w:rsid w:val="009B65F3"/>
    <w:rsid w:val="009B679F"/>
    <w:rsid w:val="009B6A68"/>
    <w:rsid w:val="009B6E8A"/>
    <w:rsid w:val="009B6F3E"/>
    <w:rsid w:val="009B7367"/>
    <w:rsid w:val="009B73CB"/>
    <w:rsid w:val="009B7958"/>
    <w:rsid w:val="009C02CD"/>
    <w:rsid w:val="009C0793"/>
    <w:rsid w:val="009C0D21"/>
    <w:rsid w:val="009C14B3"/>
    <w:rsid w:val="009C17C1"/>
    <w:rsid w:val="009C181C"/>
    <w:rsid w:val="009C198C"/>
    <w:rsid w:val="009C1A8A"/>
    <w:rsid w:val="009C1ED2"/>
    <w:rsid w:val="009C21C7"/>
    <w:rsid w:val="009C275F"/>
    <w:rsid w:val="009C2A76"/>
    <w:rsid w:val="009C3063"/>
    <w:rsid w:val="009C3516"/>
    <w:rsid w:val="009C3807"/>
    <w:rsid w:val="009C38C3"/>
    <w:rsid w:val="009C39BB"/>
    <w:rsid w:val="009C3B2B"/>
    <w:rsid w:val="009C3CF7"/>
    <w:rsid w:val="009C3FF1"/>
    <w:rsid w:val="009C40C5"/>
    <w:rsid w:val="009C4126"/>
    <w:rsid w:val="009C412B"/>
    <w:rsid w:val="009C45B0"/>
    <w:rsid w:val="009C4650"/>
    <w:rsid w:val="009C49A1"/>
    <w:rsid w:val="009C4A25"/>
    <w:rsid w:val="009C50A9"/>
    <w:rsid w:val="009C5101"/>
    <w:rsid w:val="009C534B"/>
    <w:rsid w:val="009C5C49"/>
    <w:rsid w:val="009C5FAA"/>
    <w:rsid w:val="009C601C"/>
    <w:rsid w:val="009C6020"/>
    <w:rsid w:val="009C6442"/>
    <w:rsid w:val="009C64EB"/>
    <w:rsid w:val="009C65F1"/>
    <w:rsid w:val="009C660F"/>
    <w:rsid w:val="009C67A4"/>
    <w:rsid w:val="009C689A"/>
    <w:rsid w:val="009C69A6"/>
    <w:rsid w:val="009C6EDC"/>
    <w:rsid w:val="009C6F47"/>
    <w:rsid w:val="009C75E1"/>
    <w:rsid w:val="009C7973"/>
    <w:rsid w:val="009C7B69"/>
    <w:rsid w:val="009C7B70"/>
    <w:rsid w:val="009C7D52"/>
    <w:rsid w:val="009D00FD"/>
    <w:rsid w:val="009D0125"/>
    <w:rsid w:val="009D05C8"/>
    <w:rsid w:val="009D0CB0"/>
    <w:rsid w:val="009D0E50"/>
    <w:rsid w:val="009D0EB9"/>
    <w:rsid w:val="009D0EFB"/>
    <w:rsid w:val="009D0F2F"/>
    <w:rsid w:val="009D1357"/>
    <w:rsid w:val="009D15E4"/>
    <w:rsid w:val="009D1840"/>
    <w:rsid w:val="009D1C8A"/>
    <w:rsid w:val="009D1C91"/>
    <w:rsid w:val="009D1D16"/>
    <w:rsid w:val="009D1D94"/>
    <w:rsid w:val="009D1E4F"/>
    <w:rsid w:val="009D1E89"/>
    <w:rsid w:val="009D230C"/>
    <w:rsid w:val="009D23AB"/>
    <w:rsid w:val="009D2725"/>
    <w:rsid w:val="009D2891"/>
    <w:rsid w:val="009D2A65"/>
    <w:rsid w:val="009D2C11"/>
    <w:rsid w:val="009D2C59"/>
    <w:rsid w:val="009D2FA6"/>
    <w:rsid w:val="009D30F9"/>
    <w:rsid w:val="009D3211"/>
    <w:rsid w:val="009D3508"/>
    <w:rsid w:val="009D3537"/>
    <w:rsid w:val="009D3612"/>
    <w:rsid w:val="009D3662"/>
    <w:rsid w:val="009D36BE"/>
    <w:rsid w:val="009D3DBE"/>
    <w:rsid w:val="009D3E8B"/>
    <w:rsid w:val="009D3F76"/>
    <w:rsid w:val="009D428E"/>
    <w:rsid w:val="009D44B1"/>
    <w:rsid w:val="009D46F0"/>
    <w:rsid w:val="009D501A"/>
    <w:rsid w:val="009D5401"/>
    <w:rsid w:val="009D5765"/>
    <w:rsid w:val="009D57E3"/>
    <w:rsid w:val="009D5916"/>
    <w:rsid w:val="009D5CE6"/>
    <w:rsid w:val="009D6029"/>
    <w:rsid w:val="009D60C6"/>
    <w:rsid w:val="009D6415"/>
    <w:rsid w:val="009D6620"/>
    <w:rsid w:val="009D6B85"/>
    <w:rsid w:val="009D6B91"/>
    <w:rsid w:val="009D6FE9"/>
    <w:rsid w:val="009D73E6"/>
    <w:rsid w:val="009D7860"/>
    <w:rsid w:val="009D7B9C"/>
    <w:rsid w:val="009E06C7"/>
    <w:rsid w:val="009E076E"/>
    <w:rsid w:val="009E0EA2"/>
    <w:rsid w:val="009E1788"/>
    <w:rsid w:val="009E1AEB"/>
    <w:rsid w:val="009E1EF3"/>
    <w:rsid w:val="009E1F0D"/>
    <w:rsid w:val="009E214D"/>
    <w:rsid w:val="009E22D1"/>
    <w:rsid w:val="009E256F"/>
    <w:rsid w:val="009E262D"/>
    <w:rsid w:val="009E27CE"/>
    <w:rsid w:val="009E28EC"/>
    <w:rsid w:val="009E2B3C"/>
    <w:rsid w:val="009E2D35"/>
    <w:rsid w:val="009E2EF0"/>
    <w:rsid w:val="009E2F46"/>
    <w:rsid w:val="009E315A"/>
    <w:rsid w:val="009E34E7"/>
    <w:rsid w:val="009E3536"/>
    <w:rsid w:val="009E3605"/>
    <w:rsid w:val="009E4422"/>
    <w:rsid w:val="009E46AF"/>
    <w:rsid w:val="009E4754"/>
    <w:rsid w:val="009E4841"/>
    <w:rsid w:val="009E5082"/>
    <w:rsid w:val="009E51B1"/>
    <w:rsid w:val="009E55C8"/>
    <w:rsid w:val="009E5701"/>
    <w:rsid w:val="009E57AD"/>
    <w:rsid w:val="009E5853"/>
    <w:rsid w:val="009E5A71"/>
    <w:rsid w:val="009E5A8F"/>
    <w:rsid w:val="009E5A95"/>
    <w:rsid w:val="009E66A9"/>
    <w:rsid w:val="009E701C"/>
    <w:rsid w:val="009E7105"/>
    <w:rsid w:val="009E710C"/>
    <w:rsid w:val="009E7458"/>
    <w:rsid w:val="009E78E7"/>
    <w:rsid w:val="009E7983"/>
    <w:rsid w:val="009F0377"/>
    <w:rsid w:val="009F0937"/>
    <w:rsid w:val="009F0FDB"/>
    <w:rsid w:val="009F114C"/>
    <w:rsid w:val="009F178D"/>
    <w:rsid w:val="009F1863"/>
    <w:rsid w:val="009F19EA"/>
    <w:rsid w:val="009F1BD2"/>
    <w:rsid w:val="009F24C2"/>
    <w:rsid w:val="009F251E"/>
    <w:rsid w:val="009F264F"/>
    <w:rsid w:val="009F2A18"/>
    <w:rsid w:val="009F2E31"/>
    <w:rsid w:val="009F3371"/>
    <w:rsid w:val="009F3F1F"/>
    <w:rsid w:val="009F40D5"/>
    <w:rsid w:val="009F42D8"/>
    <w:rsid w:val="009F46DA"/>
    <w:rsid w:val="009F4FB3"/>
    <w:rsid w:val="009F51C3"/>
    <w:rsid w:val="009F568C"/>
    <w:rsid w:val="009F5811"/>
    <w:rsid w:val="009F5917"/>
    <w:rsid w:val="009F5AC5"/>
    <w:rsid w:val="009F60B9"/>
    <w:rsid w:val="009F6328"/>
    <w:rsid w:val="009F6428"/>
    <w:rsid w:val="009F671B"/>
    <w:rsid w:val="009F69B5"/>
    <w:rsid w:val="009F6ECC"/>
    <w:rsid w:val="009F6F3B"/>
    <w:rsid w:val="009F7054"/>
    <w:rsid w:val="009F71D1"/>
    <w:rsid w:val="009F7430"/>
    <w:rsid w:val="009F7575"/>
    <w:rsid w:val="009F7666"/>
    <w:rsid w:val="009F7A62"/>
    <w:rsid w:val="009F7F31"/>
    <w:rsid w:val="009F7F74"/>
    <w:rsid w:val="00A0010F"/>
    <w:rsid w:val="00A00307"/>
    <w:rsid w:val="00A008B6"/>
    <w:rsid w:val="00A00CAE"/>
    <w:rsid w:val="00A00CD4"/>
    <w:rsid w:val="00A00D0F"/>
    <w:rsid w:val="00A00DBC"/>
    <w:rsid w:val="00A00DD6"/>
    <w:rsid w:val="00A0101E"/>
    <w:rsid w:val="00A01306"/>
    <w:rsid w:val="00A013DD"/>
    <w:rsid w:val="00A01426"/>
    <w:rsid w:val="00A016EB"/>
    <w:rsid w:val="00A017BA"/>
    <w:rsid w:val="00A019C9"/>
    <w:rsid w:val="00A01A33"/>
    <w:rsid w:val="00A01D6A"/>
    <w:rsid w:val="00A01D92"/>
    <w:rsid w:val="00A01EFD"/>
    <w:rsid w:val="00A024DB"/>
    <w:rsid w:val="00A026DF"/>
    <w:rsid w:val="00A02726"/>
    <w:rsid w:val="00A02902"/>
    <w:rsid w:val="00A02C69"/>
    <w:rsid w:val="00A02CF6"/>
    <w:rsid w:val="00A03830"/>
    <w:rsid w:val="00A0395F"/>
    <w:rsid w:val="00A03A5F"/>
    <w:rsid w:val="00A03AAA"/>
    <w:rsid w:val="00A03DBE"/>
    <w:rsid w:val="00A04100"/>
    <w:rsid w:val="00A04425"/>
    <w:rsid w:val="00A045E1"/>
    <w:rsid w:val="00A0480C"/>
    <w:rsid w:val="00A04B67"/>
    <w:rsid w:val="00A05719"/>
    <w:rsid w:val="00A057FE"/>
    <w:rsid w:val="00A058D9"/>
    <w:rsid w:val="00A05E9D"/>
    <w:rsid w:val="00A060AD"/>
    <w:rsid w:val="00A06517"/>
    <w:rsid w:val="00A066DE"/>
    <w:rsid w:val="00A06B6B"/>
    <w:rsid w:val="00A06B7A"/>
    <w:rsid w:val="00A06CD6"/>
    <w:rsid w:val="00A06D39"/>
    <w:rsid w:val="00A07425"/>
    <w:rsid w:val="00A075C8"/>
    <w:rsid w:val="00A07F12"/>
    <w:rsid w:val="00A07FAD"/>
    <w:rsid w:val="00A10116"/>
    <w:rsid w:val="00A10281"/>
    <w:rsid w:val="00A1037D"/>
    <w:rsid w:val="00A1068D"/>
    <w:rsid w:val="00A107FC"/>
    <w:rsid w:val="00A10B65"/>
    <w:rsid w:val="00A10DBD"/>
    <w:rsid w:val="00A110C8"/>
    <w:rsid w:val="00A112ED"/>
    <w:rsid w:val="00A12249"/>
    <w:rsid w:val="00A126ED"/>
    <w:rsid w:val="00A128BE"/>
    <w:rsid w:val="00A12A01"/>
    <w:rsid w:val="00A12CFF"/>
    <w:rsid w:val="00A12D5F"/>
    <w:rsid w:val="00A13138"/>
    <w:rsid w:val="00A136B0"/>
    <w:rsid w:val="00A13778"/>
    <w:rsid w:val="00A13851"/>
    <w:rsid w:val="00A138BD"/>
    <w:rsid w:val="00A13A94"/>
    <w:rsid w:val="00A13C09"/>
    <w:rsid w:val="00A13CE3"/>
    <w:rsid w:val="00A13D1C"/>
    <w:rsid w:val="00A141E5"/>
    <w:rsid w:val="00A14205"/>
    <w:rsid w:val="00A142A5"/>
    <w:rsid w:val="00A146F7"/>
    <w:rsid w:val="00A14734"/>
    <w:rsid w:val="00A147F8"/>
    <w:rsid w:val="00A153DA"/>
    <w:rsid w:val="00A15581"/>
    <w:rsid w:val="00A1567C"/>
    <w:rsid w:val="00A15841"/>
    <w:rsid w:val="00A15845"/>
    <w:rsid w:val="00A1593F"/>
    <w:rsid w:val="00A15A0B"/>
    <w:rsid w:val="00A15B57"/>
    <w:rsid w:val="00A162F7"/>
    <w:rsid w:val="00A16971"/>
    <w:rsid w:val="00A16DCE"/>
    <w:rsid w:val="00A16EDB"/>
    <w:rsid w:val="00A203B2"/>
    <w:rsid w:val="00A204FE"/>
    <w:rsid w:val="00A205CC"/>
    <w:rsid w:val="00A20686"/>
    <w:rsid w:val="00A2074A"/>
    <w:rsid w:val="00A2104B"/>
    <w:rsid w:val="00A21391"/>
    <w:rsid w:val="00A213DD"/>
    <w:rsid w:val="00A215AB"/>
    <w:rsid w:val="00A2162C"/>
    <w:rsid w:val="00A21635"/>
    <w:rsid w:val="00A216B7"/>
    <w:rsid w:val="00A21878"/>
    <w:rsid w:val="00A21CCC"/>
    <w:rsid w:val="00A21EC3"/>
    <w:rsid w:val="00A21EC9"/>
    <w:rsid w:val="00A21F92"/>
    <w:rsid w:val="00A223DE"/>
    <w:rsid w:val="00A227C3"/>
    <w:rsid w:val="00A229AE"/>
    <w:rsid w:val="00A22ED8"/>
    <w:rsid w:val="00A22FDD"/>
    <w:rsid w:val="00A2306D"/>
    <w:rsid w:val="00A23369"/>
    <w:rsid w:val="00A235CB"/>
    <w:rsid w:val="00A235F5"/>
    <w:rsid w:val="00A2388C"/>
    <w:rsid w:val="00A23ED5"/>
    <w:rsid w:val="00A23FF7"/>
    <w:rsid w:val="00A240DC"/>
    <w:rsid w:val="00A245D3"/>
    <w:rsid w:val="00A24D2F"/>
    <w:rsid w:val="00A24F73"/>
    <w:rsid w:val="00A24FA8"/>
    <w:rsid w:val="00A2536F"/>
    <w:rsid w:val="00A25CD6"/>
    <w:rsid w:val="00A25E62"/>
    <w:rsid w:val="00A25EF7"/>
    <w:rsid w:val="00A2612D"/>
    <w:rsid w:val="00A262AE"/>
    <w:rsid w:val="00A262BC"/>
    <w:rsid w:val="00A263F4"/>
    <w:rsid w:val="00A268D5"/>
    <w:rsid w:val="00A269E3"/>
    <w:rsid w:val="00A26A82"/>
    <w:rsid w:val="00A26AA3"/>
    <w:rsid w:val="00A26AF6"/>
    <w:rsid w:val="00A26C76"/>
    <w:rsid w:val="00A26CC8"/>
    <w:rsid w:val="00A26D93"/>
    <w:rsid w:val="00A26DD0"/>
    <w:rsid w:val="00A27285"/>
    <w:rsid w:val="00A2729A"/>
    <w:rsid w:val="00A2756C"/>
    <w:rsid w:val="00A27583"/>
    <w:rsid w:val="00A276A6"/>
    <w:rsid w:val="00A2778E"/>
    <w:rsid w:val="00A278B7"/>
    <w:rsid w:val="00A27A94"/>
    <w:rsid w:val="00A27CB7"/>
    <w:rsid w:val="00A30AF9"/>
    <w:rsid w:val="00A30CCE"/>
    <w:rsid w:val="00A30DB3"/>
    <w:rsid w:val="00A311D0"/>
    <w:rsid w:val="00A31241"/>
    <w:rsid w:val="00A314A1"/>
    <w:rsid w:val="00A31742"/>
    <w:rsid w:val="00A31823"/>
    <w:rsid w:val="00A318B2"/>
    <w:rsid w:val="00A318E5"/>
    <w:rsid w:val="00A31F97"/>
    <w:rsid w:val="00A3203D"/>
    <w:rsid w:val="00A3272F"/>
    <w:rsid w:val="00A33070"/>
    <w:rsid w:val="00A3313B"/>
    <w:rsid w:val="00A33426"/>
    <w:rsid w:val="00A3358A"/>
    <w:rsid w:val="00A33746"/>
    <w:rsid w:val="00A337E2"/>
    <w:rsid w:val="00A338C1"/>
    <w:rsid w:val="00A344A6"/>
    <w:rsid w:val="00A346B0"/>
    <w:rsid w:val="00A349EC"/>
    <w:rsid w:val="00A34A5F"/>
    <w:rsid w:val="00A34B1D"/>
    <w:rsid w:val="00A34C94"/>
    <w:rsid w:val="00A34DA4"/>
    <w:rsid w:val="00A35052"/>
    <w:rsid w:val="00A354C7"/>
    <w:rsid w:val="00A3572E"/>
    <w:rsid w:val="00A357EE"/>
    <w:rsid w:val="00A3593B"/>
    <w:rsid w:val="00A35CC7"/>
    <w:rsid w:val="00A36449"/>
    <w:rsid w:val="00A36947"/>
    <w:rsid w:val="00A36B2F"/>
    <w:rsid w:val="00A36F48"/>
    <w:rsid w:val="00A36FB3"/>
    <w:rsid w:val="00A37041"/>
    <w:rsid w:val="00A370A5"/>
    <w:rsid w:val="00A37305"/>
    <w:rsid w:val="00A37BF1"/>
    <w:rsid w:val="00A37DFC"/>
    <w:rsid w:val="00A4020C"/>
    <w:rsid w:val="00A403E9"/>
    <w:rsid w:val="00A40690"/>
    <w:rsid w:val="00A406DC"/>
    <w:rsid w:val="00A40899"/>
    <w:rsid w:val="00A40A63"/>
    <w:rsid w:val="00A40E83"/>
    <w:rsid w:val="00A40EED"/>
    <w:rsid w:val="00A41119"/>
    <w:rsid w:val="00A413B5"/>
    <w:rsid w:val="00A417E7"/>
    <w:rsid w:val="00A41ADB"/>
    <w:rsid w:val="00A41C88"/>
    <w:rsid w:val="00A41D1B"/>
    <w:rsid w:val="00A41E12"/>
    <w:rsid w:val="00A41E50"/>
    <w:rsid w:val="00A41E55"/>
    <w:rsid w:val="00A4208E"/>
    <w:rsid w:val="00A420DE"/>
    <w:rsid w:val="00A42F4C"/>
    <w:rsid w:val="00A431C3"/>
    <w:rsid w:val="00A4347E"/>
    <w:rsid w:val="00A4348A"/>
    <w:rsid w:val="00A4381E"/>
    <w:rsid w:val="00A439F0"/>
    <w:rsid w:val="00A43BE5"/>
    <w:rsid w:val="00A43E3D"/>
    <w:rsid w:val="00A43E3F"/>
    <w:rsid w:val="00A43EC5"/>
    <w:rsid w:val="00A440F2"/>
    <w:rsid w:val="00A447E6"/>
    <w:rsid w:val="00A4492F"/>
    <w:rsid w:val="00A44AE3"/>
    <w:rsid w:val="00A44B79"/>
    <w:rsid w:val="00A44C36"/>
    <w:rsid w:val="00A452D8"/>
    <w:rsid w:val="00A4545F"/>
    <w:rsid w:val="00A454D9"/>
    <w:rsid w:val="00A45562"/>
    <w:rsid w:val="00A45658"/>
    <w:rsid w:val="00A457FC"/>
    <w:rsid w:val="00A45978"/>
    <w:rsid w:val="00A4599C"/>
    <w:rsid w:val="00A45DB2"/>
    <w:rsid w:val="00A45DF5"/>
    <w:rsid w:val="00A46042"/>
    <w:rsid w:val="00A46291"/>
    <w:rsid w:val="00A4630E"/>
    <w:rsid w:val="00A46B1B"/>
    <w:rsid w:val="00A46C98"/>
    <w:rsid w:val="00A46D8D"/>
    <w:rsid w:val="00A47759"/>
    <w:rsid w:val="00A477BB"/>
    <w:rsid w:val="00A4791D"/>
    <w:rsid w:val="00A47C26"/>
    <w:rsid w:val="00A47CC7"/>
    <w:rsid w:val="00A47DE3"/>
    <w:rsid w:val="00A50422"/>
    <w:rsid w:val="00A505C3"/>
    <w:rsid w:val="00A50606"/>
    <w:rsid w:val="00A5089D"/>
    <w:rsid w:val="00A50A88"/>
    <w:rsid w:val="00A50D29"/>
    <w:rsid w:val="00A5112A"/>
    <w:rsid w:val="00A51C51"/>
    <w:rsid w:val="00A51FCA"/>
    <w:rsid w:val="00A5227A"/>
    <w:rsid w:val="00A52351"/>
    <w:rsid w:val="00A524E1"/>
    <w:rsid w:val="00A52F43"/>
    <w:rsid w:val="00A52F6B"/>
    <w:rsid w:val="00A531ED"/>
    <w:rsid w:val="00A533EA"/>
    <w:rsid w:val="00A5340E"/>
    <w:rsid w:val="00A5356B"/>
    <w:rsid w:val="00A535C5"/>
    <w:rsid w:val="00A5391C"/>
    <w:rsid w:val="00A53CFF"/>
    <w:rsid w:val="00A54087"/>
    <w:rsid w:val="00A54125"/>
    <w:rsid w:val="00A54267"/>
    <w:rsid w:val="00A546A0"/>
    <w:rsid w:val="00A54830"/>
    <w:rsid w:val="00A54860"/>
    <w:rsid w:val="00A54965"/>
    <w:rsid w:val="00A549B4"/>
    <w:rsid w:val="00A54AA1"/>
    <w:rsid w:val="00A54B85"/>
    <w:rsid w:val="00A54B86"/>
    <w:rsid w:val="00A55125"/>
    <w:rsid w:val="00A55368"/>
    <w:rsid w:val="00A55A52"/>
    <w:rsid w:val="00A55C46"/>
    <w:rsid w:val="00A55CA4"/>
    <w:rsid w:val="00A55DE0"/>
    <w:rsid w:val="00A55DEF"/>
    <w:rsid w:val="00A55DFE"/>
    <w:rsid w:val="00A561C6"/>
    <w:rsid w:val="00A56661"/>
    <w:rsid w:val="00A56864"/>
    <w:rsid w:val="00A56A99"/>
    <w:rsid w:val="00A5748F"/>
    <w:rsid w:val="00A5765F"/>
    <w:rsid w:val="00A57D42"/>
    <w:rsid w:val="00A57FFB"/>
    <w:rsid w:val="00A600D3"/>
    <w:rsid w:val="00A601E8"/>
    <w:rsid w:val="00A6033B"/>
    <w:rsid w:val="00A6043F"/>
    <w:rsid w:val="00A60B0F"/>
    <w:rsid w:val="00A60BBB"/>
    <w:rsid w:val="00A60C83"/>
    <w:rsid w:val="00A60ED1"/>
    <w:rsid w:val="00A6117D"/>
    <w:rsid w:val="00A612D5"/>
    <w:rsid w:val="00A61452"/>
    <w:rsid w:val="00A61748"/>
    <w:rsid w:val="00A61948"/>
    <w:rsid w:val="00A61EF3"/>
    <w:rsid w:val="00A61F69"/>
    <w:rsid w:val="00A626C1"/>
    <w:rsid w:val="00A62C3E"/>
    <w:rsid w:val="00A62DDD"/>
    <w:rsid w:val="00A62E0F"/>
    <w:rsid w:val="00A62FA9"/>
    <w:rsid w:val="00A62FD9"/>
    <w:rsid w:val="00A6315F"/>
    <w:rsid w:val="00A63A99"/>
    <w:rsid w:val="00A63B11"/>
    <w:rsid w:val="00A63B6F"/>
    <w:rsid w:val="00A64275"/>
    <w:rsid w:val="00A64394"/>
    <w:rsid w:val="00A644FB"/>
    <w:rsid w:val="00A64A9B"/>
    <w:rsid w:val="00A64B69"/>
    <w:rsid w:val="00A64CA7"/>
    <w:rsid w:val="00A64EE6"/>
    <w:rsid w:val="00A64FF0"/>
    <w:rsid w:val="00A65292"/>
    <w:rsid w:val="00A65826"/>
    <w:rsid w:val="00A65A0C"/>
    <w:rsid w:val="00A65D5A"/>
    <w:rsid w:val="00A65F1E"/>
    <w:rsid w:val="00A66286"/>
    <w:rsid w:val="00A66903"/>
    <w:rsid w:val="00A66935"/>
    <w:rsid w:val="00A66C35"/>
    <w:rsid w:val="00A66C5B"/>
    <w:rsid w:val="00A66DB1"/>
    <w:rsid w:val="00A66DD2"/>
    <w:rsid w:val="00A672BE"/>
    <w:rsid w:val="00A67438"/>
    <w:rsid w:val="00A676B1"/>
    <w:rsid w:val="00A67B91"/>
    <w:rsid w:val="00A67FDC"/>
    <w:rsid w:val="00A7095A"/>
    <w:rsid w:val="00A70C74"/>
    <w:rsid w:val="00A71215"/>
    <w:rsid w:val="00A7133E"/>
    <w:rsid w:val="00A71360"/>
    <w:rsid w:val="00A715BB"/>
    <w:rsid w:val="00A71A7D"/>
    <w:rsid w:val="00A722D7"/>
    <w:rsid w:val="00A72343"/>
    <w:rsid w:val="00A72564"/>
    <w:rsid w:val="00A726D4"/>
    <w:rsid w:val="00A727A9"/>
    <w:rsid w:val="00A72823"/>
    <w:rsid w:val="00A7329C"/>
    <w:rsid w:val="00A73861"/>
    <w:rsid w:val="00A739AD"/>
    <w:rsid w:val="00A73C64"/>
    <w:rsid w:val="00A73DC3"/>
    <w:rsid w:val="00A73DF8"/>
    <w:rsid w:val="00A73E22"/>
    <w:rsid w:val="00A73F1F"/>
    <w:rsid w:val="00A7400F"/>
    <w:rsid w:val="00A744E8"/>
    <w:rsid w:val="00A746F4"/>
    <w:rsid w:val="00A749EF"/>
    <w:rsid w:val="00A74B59"/>
    <w:rsid w:val="00A74EB3"/>
    <w:rsid w:val="00A74EB9"/>
    <w:rsid w:val="00A75720"/>
    <w:rsid w:val="00A757AF"/>
    <w:rsid w:val="00A75BB3"/>
    <w:rsid w:val="00A75C22"/>
    <w:rsid w:val="00A75DA0"/>
    <w:rsid w:val="00A75EA9"/>
    <w:rsid w:val="00A75EB8"/>
    <w:rsid w:val="00A75F08"/>
    <w:rsid w:val="00A760CF"/>
    <w:rsid w:val="00A76407"/>
    <w:rsid w:val="00A766B4"/>
    <w:rsid w:val="00A769EF"/>
    <w:rsid w:val="00A76AE6"/>
    <w:rsid w:val="00A76F1F"/>
    <w:rsid w:val="00A7701C"/>
    <w:rsid w:val="00A770DF"/>
    <w:rsid w:val="00A7752B"/>
    <w:rsid w:val="00A7762F"/>
    <w:rsid w:val="00A778D5"/>
    <w:rsid w:val="00A77A0A"/>
    <w:rsid w:val="00A77A53"/>
    <w:rsid w:val="00A77BEA"/>
    <w:rsid w:val="00A8008E"/>
    <w:rsid w:val="00A80342"/>
    <w:rsid w:val="00A8036D"/>
    <w:rsid w:val="00A8049D"/>
    <w:rsid w:val="00A80964"/>
    <w:rsid w:val="00A80B07"/>
    <w:rsid w:val="00A80C3E"/>
    <w:rsid w:val="00A80DE6"/>
    <w:rsid w:val="00A8149B"/>
    <w:rsid w:val="00A81A9D"/>
    <w:rsid w:val="00A81BBB"/>
    <w:rsid w:val="00A81E97"/>
    <w:rsid w:val="00A82208"/>
    <w:rsid w:val="00A82604"/>
    <w:rsid w:val="00A828C9"/>
    <w:rsid w:val="00A82986"/>
    <w:rsid w:val="00A82D98"/>
    <w:rsid w:val="00A83111"/>
    <w:rsid w:val="00A8345C"/>
    <w:rsid w:val="00A834E6"/>
    <w:rsid w:val="00A83752"/>
    <w:rsid w:val="00A838CF"/>
    <w:rsid w:val="00A83CC8"/>
    <w:rsid w:val="00A83CCC"/>
    <w:rsid w:val="00A83DD3"/>
    <w:rsid w:val="00A83FBC"/>
    <w:rsid w:val="00A84047"/>
    <w:rsid w:val="00A84154"/>
    <w:rsid w:val="00A8415D"/>
    <w:rsid w:val="00A846EA"/>
    <w:rsid w:val="00A847C6"/>
    <w:rsid w:val="00A84862"/>
    <w:rsid w:val="00A84A46"/>
    <w:rsid w:val="00A84EB2"/>
    <w:rsid w:val="00A8501B"/>
    <w:rsid w:val="00A85278"/>
    <w:rsid w:val="00A85293"/>
    <w:rsid w:val="00A8539C"/>
    <w:rsid w:val="00A8558B"/>
    <w:rsid w:val="00A855AA"/>
    <w:rsid w:val="00A85762"/>
    <w:rsid w:val="00A85888"/>
    <w:rsid w:val="00A85982"/>
    <w:rsid w:val="00A85998"/>
    <w:rsid w:val="00A85A28"/>
    <w:rsid w:val="00A85D99"/>
    <w:rsid w:val="00A85F82"/>
    <w:rsid w:val="00A86521"/>
    <w:rsid w:val="00A8656A"/>
    <w:rsid w:val="00A866F5"/>
    <w:rsid w:val="00A86B36"/>
    <w:rsid w:val="00A86EED"/>
    <w:rsid w:val="00A86F9F"/>
    <w:rsid w:val="00A870D0"/>
    <w:rsid w:val="00A873BC"/>
    <w:rsid w:val="00A873C7"/>
    <w:rsid w:val="00A87753"/>
    <w:rsid w:val="00A87811"/>
    <w:rsid w:val="00A87874"/>
    <w:rsid w:val="00A879FB"/>
    <w:rsid w:val="00A87C72"/>
    <w:rsid w:val="00A87D92"/>
    <w:rsid w:val="00A90123"/>
    <w:rsid w:val="00A9042E"/>
    <w:rsid w:val="00A904EA"/>
    <w:rsid w:val="00A9059F"/>
    <w:rsid w:val="00A90799"/>
    <w:rsid w:val="00A90814"/>
    <w:rsid w:val="00A91A9D"/>
    <w:rsid w:val="00A91B7B"/>
    <w:rsid w:val="00A91C35"/>
    <w:rsid w:val="00A91CC0"/>
    <w:rsid w:val="00A91F68"/>
    <w:rsid w:val="00A91F96"/>
    <w:rsid w:val="00A92301"/>
    <w:rsid w:val="00A9244B"/>
    <w:rsid w:val="00A92909"/>
    <w:rsid w:val="00A92925"/>
    <w:rsid w:val="00A92ACE"/>
    <w:rsid w:val="00A92C55"/>
    <w:rsid w:val="00A93430"/>
    <w:rsid w:val="00A934C1"/>
    <w:rsid w:val="00A93BD2"/>
    <w:rsid w:val="00A93C41"/>
    <w:rsid w:val="00A93CFD"/>
    <w:rsid w:val="00A943EB"/>
    <w:rsid w:val="00A944B0"/>
    <w:rsid w:val="00A9489C"/>
    <w:rsid w:val="00A94EE6"/>
    <w:rsid w:val="00A94F90"/>
    <w:rsid w:val="00A952FE"/>
    <w:rsid w:val="00A95347"/>
    <w:rsid w:val="00A95548"/>
    <w:rsid w:val="00A9567E"/>
    <w:rsid w:val="00A958AA"/>
    <w:rsid w:val="00A95B3C"/>
    <w:rsid w:val="00A9612F"/>
    <w:rsid w:val="00A962A5"/>
    <w:rsid w:val="00A965FD"/>
    <w:rsid w:val="00A96A50"/>
    <w:rsid w:val="00A96AA2"/>
    <w:rsid w:val="00A96D42"/>
    <w:rsid w:val="00A972FF"/>
    <w:rsid w:val="00A97919"/>
    <w:rsid w:val="00A97E97"/>
    <w:rsid w:val="00AA03C2"/>
    <w:rsid w:val="00AA03CC"/>
    <w:rsid w:val="00AA04CF"/>
    <w:rsid w:val="00AA0A05"/>
    <w:rsid w:val="00AA0B12"/>
    <w:rsid w:val="00AA0B7E"/>
    <w:rsid w:val="00AA137C"/>
    <w:rsid w:val="00AA1AED"/>
    <w:rsid w:val="00AA1B08"/>
    <w:rsid w:val="00AA1B2C"/>
    <w:rsid w:val="00AA2028"/>
    <w:rsid w:val="00AA2116"/>
    <w:rsid w:val="00AA2121"/>
    <w:rsid w:val="00AA2226"/>
    <w:rsid w:val="00AA22FC"/>
    <w:rsid w:val="00AA2B85"/>
    <w:rsid w:val="00AA2D2A"/>
    <w:rsid w:val="00AA2E1E"/>
    <w:rsid w:val="00AA314D"/>
    <w:rsid w:val="00AA3D52"/>
    <w:rsid w:val="00AA3F42"/>
    <w:rsid w:val="00AA400D"/>
    <w:rsid w:val="00AA40CF"/>
    <w:rsid w:val="00AA423E"/>
    <w:rsid w:val="00AA471A"/>
    <w:rsid w:val="00AA4BF2"/>
    <w:rsid w:val="00AA505A"/>
    <w:rsid w:val="00AA535D"/>
    <w:rsid w:val="00AA5936"/>
    <w:rsid w:val="00AA5AB3"/>
    <w:rsid w:val="00AA67A3"/>
    <w:rsid w:val="00AA6E27"/>
    <w:rsid w:val="00AA7930"/>
    <w:rsid w:val="00AA7ACB"/>
    <w:rsid w:val="00AB0161"/>
    <w:rsid w:val="00AB0683"/>
    <w:rsid w:val="00AB07A9"/>
    <w:rsid w:val="00AB091B"/>
    <w:rsid w:val="00AB1143"/>
    <w:rsid w:val="00AB16B8"/>
    <w:rsid w:val="00AB179B"/>
    <w:rsid w:val="00AB197C"/>
    <w:rsid w:val="00AB199E"/>
    <w:rsid w:val="00AB1D33"/>
    <w:rsid w:val="00AB20E6"/>
    <w:rsid w:val="00AB22FC"/>
    <w:rsid w:val="00AB2514"/>
    <w:rsid w:val="00AB264B"/>
    <w:rsid w:val="00AB27F0"/>
    <w:rsid w:val="00AB2DA9"/>
    <w:rsid w:val="00AB2E04"/>
    <w:rsid w:val="00AB2F05"/>
    <w:rsid w:val="00AB32C0"/>
    <w:rsid w:val="00AB3404"/>
    <w:rsid w:val="00AB358C"/>
    <w:rsid w:val="00AB35AE"/>
    <w:rsid w:val="00AB3736"/>
    <w:rsid w:val="00AB3879"/>
    <w:rsid w:val="00AB396A"/>
    <w:rsid w:val="00AB399F"/>
    <w:rsid w:val="00AB3AC7"/>
    <w:rsid w:val="00AB3BEE"/>
    <w:rsid w:val="00AB3CC5"/>
    <w:rsid w:val="00AB3EF9"/>
    <w:rsid w:val="00AB3F2B"/>
    <w:rsid w:val="00AB40C5"/>
    <w:rsid w:val="00AB415C"/>
    <w:rsid w:val="00AB4742"/>
    <w:rsid w:val="00AB4950"/>
    <w:rsid w:val="00AB4A4F"/>
    <w:rsid w:val="00AB4AD7"/>
    <w:rsid w:val="00AB4BDC"/>
    <w:rsid w:val="00AB5052"/>
    <w:rsid w:val="00AB5560"/>
    <w:rsid w:val="00AB5B59"/>
    <w:rsid w:val="00AB606A"/>
    <w:rsid w:val="00AB60FA"/>
    <w:rsid w:val="00AB6165"/>
    <w:rsid w:val="00AB617C"/>
    <w:rsid w:val="00AB6338"/>
    <w:rsid w:val="00AB682D"/>
    <w:rsid w:val="00AB6BFA"/>
    <w:rsid w:val="00AB6C96"/>
    <w:rsid w:val="00AB6C9B"/>
    <w:rsid w:val="00AB6D27"/>
    <w:rsid w:val="00AB6D57"/>
    <w:rsid w:val="00AB704D"/>
    <w:rsid w:val="00AB7AC1"/>
    <w:rsid w:val="00AB7D3E"/>
    <w:rsid w:val="00AC053D"/>
    <w:rsid w:val="00AC05A4"/>
    <w:rsid w:val="00AC091C"/>
    <w:rsid w:val="00AC0F40"/>
    <w:rsid w:val="00AC1252"/>
    <w:rsid w:val="00AC136D"/>
    <w:rsid w:val="00AC167A"/>
    <w:rsid w:val="00AC16F2"/>
    <w:rsid w:val="00AC1D19"/>
    <w:rsid w:val="00AC218E"/>
    <w:rsid w:val="00AC22AD"/>
    <w:rsid w:val="00AC2E32"/>
    <w:rsid w:val="00AC2F1A"/>
    <w:rsid w:val="00AC2FD2"/>
    <w:rsid w:val="00AC3122"/>
    <w:rsid w:val="00AC31C3"/>
    <w:rsid w:val="00AC393A"/>
    <w:rsid w:val="00AC3CA8"/>
    <w:rsid w:val="00AC3CC0"/>
    <w:rsid w:val="00AC3D35"/>
    <w:rsid w:val="00AC4065"/>
    <w:rsid w:val="00AC41FF"/>
    <w:rsid w:val="00AC441B"/>
    <w:rsid w:val="00AC474A"/>
    <w:rsid w:val="00AC492B"/>
    <w:rsid w:val="00AC4996"/>
    <w:rsid w:val="00AC49E6"/>
    <w:rsid w:val="00AC4AF3"/>
    <w:rsid w:val="00AC4C49"/>
    <w:rsid w:val="00AC4C77"/>
    <w:rsid w:val="00AC4EE6"/>
    <w:rsid w:val="00AC4F8A"/>
    <w:rsid w:val="00AC500D"/>
    <w:rsid w:val="00AC512E"/>
    <w:rsid w:val="00AC55D1"/>
    <w:rsid w:val="00AC5769"/>
    <w:rsid w:val="00AC58FC"/>
    <w:rsid w:val="00AC5ADA"/>
    <w:rsid w:val="00AC5B8F"/>
    <w:rsid w:val="00AC5CD5"/>
    <w:rsid w:val="00AC5E2E"/>
    <w:rsid w:val="00AC60C1"/>
    <w:rsid w:val="00AC6114"/>
    <w:rsid w:val="00AC6254"/>
    <w:rsid w:val="00AC6349"/>
    <w:rsid w:val="00AC6977"/>
    <w:rsid w:val="00AC6A99"/>
    <w:rsid w:val="00AC6B65"/>
    <w:rsid w:val="00AC6D67"/>
    <w:rsid w:val="00AC6F30"/>
    <w:rsid w:val="00AC6F6B"/>
    <w:rsid w:val="00AC6FEC"/>
    <w:rsid w:val="00AC74AA"/>
    <w:rsid w:val="00AC7769"/>
    <w:rsid w:val="00AC79C3"/>
    <w:rsid w:val="00AC7A8E"/>
    <w:rsid w:val="00AC7C88"/>
    <w:rsid w:val="00AC7D76"/>
    <w:rsid w:val="00AD07FC"/>
    <w:rsid w:val="00AD08D8"/>
    <w:rsid w:val="00AD0CA3"/>
    <w:rsid w:val="00AD1131"/>
    <w:rsid w:val="00AD12B4"/>
    <w:rsid w:val="00AD1797"/>
    <w:rsid w:val="00AD1A77"/>
    <w:rsid w:val="00AD2287"/>
    <w:rsid w:val="00AD2447"/>
    <w:rsid w:val="00AD2689"/>
    <w:rsid w:val="00AD2C53"/>
    <w:rsid w:val="00AD2D6C"/>
    <w:rsid w:val="00AD2EE8"/>
    <w:rsid w:val="00AD310A"/>
    <w:rsid w:val="00AD3279"/>
    <w:rsid w:val="00AD3374"/>
    <w:rsid w:val="00AD393E"/>
    <w:rsid w:val="00AD39AC"/>
    <w:rsid w:val="00AD3DE4"/>
    <w:rsid w:val="00AD3EF3"/>
    <w:rsid w:val="00AD3F4B"/>
    <w:rsid w:val="00AD3F4F"/>
    <w:rsid w:val="00AD43FA"/>
    <w:rsid w:val="00AD44E0"/>
    <w:rsid w:val="00AD45E4"/>
    <w:rsid w:val="00AD48BE"/>
    <w:rsid w:val="00AD4B09"/>
    <w:rsid w:val="00AD4B1B"/>
    <w:rsid w:val="00AD4B38"/>
    <w:rsid w:val="00AD4CC2"/>
    <w:rsid w:val="00AD4D98"/>
    <w:rsid w:val="00AD4F00"/>
    <w:rsid w:val="00AD51D6"/>
    <w:rsid w:val="00AD5462"/>
    <w:rsid w:val="00AD5690"/>
    <w:rsid w:val="00AD583F"/>
    <w:rsid w:val="00AD58F6"/>
    <w:rsid w:val="00AD5E69"/>
    <w:rsid w:val="00AD5F64"/>
    <w:rsid w:val="00AD6C19"/>
    <w:rsid w:val="00AD7019"/>
    <w:rsid w:val="00AD7780"/>
    <w:rsid w:val="00AD77C4"/>
    <w:rsid w:val="00AD789F"/>
    <w:rsid w:val="00AD7AA1"/>
    <w:rsid w:val="00AD7E86"/>
    <w:rsid w:val="00AE0039"/>
    <w:rsid w:val="00AE023D"/>
    <w:rsid w:val="00AE06A4"/>
    <w:rsid w:val="00AE06B7"/>
    <w:rsid w:val="00AE090E"/>
    <w:rsid w:val="00AE0EAF"/>
    <w:rsid w:val="00AE0FA5"/>
    <w:rsid w:val="00AE1264"/>
    <w:rsid w:val="00AE1268"/>
    <w:rsid w:val="00AE1528"/>
    <w:rsid w:val="00AE16EC"/>
    <w:rsid w:val="00AE1911"/>
    <w:rsid w:val="00AE1959"/>
    <w:rsid w:val="00AE1A22"/>
    <w:rsid w:val="00AE1A7C"/>
    <w:rsid w:val="00AE1AFF"/>
    <w:rsid w:val="00AE20BE"/>
    <w:rsid w:val="00AE2494"/>
    <w:rsid w:val="00AE263A"/>
    <w:rsid w:val="00AE2B29"/>
    <w:rsid w:val="00AE2B67"/>
    <w:rsid w:val="00AE2FA5"/>
    <w:rsid w:val="00AE308D"/>
    <w:rsid w:val="00AE30E2"/>
    <w:rsid w:val="00AE3203"/>
    <w:rsid w:val="00AE3400"/>
    <w:rsid w:val="00AE35BF"/>
    <w:rsid w:val="00AE3836"/>
    <w:rsid w:val="00AE3CA6"/>
    <w:rsid w:val="00AE3CFE"/>
    <w:rsid w:val="00AE3DF9"/>
    <w:rsid w:val="00AE43EA"/>
    <w:rsid w:val="00AE44A0"/>
    <w:rsid w:val="00AE44A7"/>
    <w:rsid w:val="00AE4628"/>
    <w:rsid w:val="00AE4BC2"/>
    <w:rsid w:val="00AE4C26"/>
    <w:rsid w:val="00AE51B7"/>
    <w:rsid w:val="00AE545E"/>
    <w:rsid w:val="00AE58C3"/>
    <w:rsid w:val="00AE59EF"/>
    <w:rsid w:val="00AE5D9D"/>
    <w:rsid w:val="00AE63C2"/>
    <w:rsid w:val="00AE65F2"/>
    <w:rsid w:val="00AE6C7F"/>
    <w:rsid w:val="00AE6D21"/>
    <w:rsid w:val="00AE74B1"/>
    <w:rsid w:val="00AE777D"/>
    <w:rsid w:val="00AE7B86"/>
    <w:rsid w:val="00AF00DF"/>
    <w:rsid w:val="00AF04BF"/>
    <w:rsid w:val="00AF04FE"/>
    <w:rsid w:val="00AF0A41"/>
    <w:rsid w:val="00AF0C5B"/>
    <w:rsid w:val="00AF0EF0"/>
    <w:rsid w:val="00AF0FD7"/>
    <w:rsid w:val="00AF137E"/>
    <w:rsid w:val="00AF16CF"/>
    <w:rsid w:val="00AF1800"/>
    <w:rsid w:val="00AF1A22"/>
    <w:rsid w:val="00AF1AC1"/>
    <w:rsid w:val="00AF2305"/>
    <w:rsid w:val="00AF24D2"/>
    <w:rsid w:val="00AF2780"/>
    <w:rsid w:val="00AF28EF"/>
    <w:rsid w:val="00AF2950"/>
    <w:rsid w:val="00AF2A93"/>
    <w:rsid w:val="00AF2B53"/>
    <w:rsid w:val="00AF2E29"/>
    <w:rsid w:val="00AF306E"/>
    <w:rsid w:val="00AF3192"/>
    <w:rsid w:val="00AF32C3"/>
    <w:rsid w:val="00AF35AF"/>
    <w:rsid w:val="00AF38D7"/>
    <w:rsid w:val="00AF3A59"/>
    <w:rsid w:val="00AF3A80"/>
    <w:rsid w:val="00AF3A86"/>
    <w:rsid w:val="00AF3AC3"/>
    <w:rsid w:val="00AF3E50"/>
    <w:rsid w:val="00AF408F"/>
    <w:rsid w:val="00AF4126"/>
    <w:rsid w:val="00AF41BD"/>
    <w:rsid w:val="00AF426B"/>
    <w:rsid w:val="00AF444A"/>
    <w:rsid w:val="00AF461E"/>
    <w:rsid w:val="00AF46AA"/>
    <w:rsid w:val="00AF489C"/>
    <w:rsid w:val="00AF4AEA"/>
    <w:rsid w:val="00AF4DC4"/>
    <w:rsid w:val="00AF506C"/>
    <w:rsid w:val="00AF52C1"/>
    <w:rsid w:val="00AF537D"/>
    <w:rsid w:val="00AF55FF"/>
    <w:rsid w:val="00AF567D"/>
    <w:rsid w:val="00AF57CD"/>
    <w:rsid w:val="00AF59AE"/>
    <w:rsid w:val="00AF5B27"/>
    <w:rsid w:val="00AF5D98"/>
    <w:rsid w:val="00AF6223"/>
    <w:rsid w:val="00AF6897"/>
    <w:rsid w:val="00AF69E5"/>
    <w:rsid w:val="00AF6F05"/>
    <w:rsid w:val="00AF7039"/>
    <w:rsid w:val="00AF713C"/>
    <w:rsid w:val="00AF7307"/>
    <w:rsid w:val="00AF739C"/>
    <w:rsid w:val="00AF7CC9"/>
    <w:rsid w:val="00B00C76"/>
    <w:rsid w:val="00B0107D"/>
    <w:rsid w:val="00B01239"/>
    <w:rsid w:val="00B0158B"/>
    <w:rsid w:val="00B019F0"/>
    <w:rsid w:val="00B01B64"/>
    <w:rsid w:val="00B01D00"/>
    <w:rsid w:val="00B01EBF"/>
    <w:rsid w:val="00B021A0"/>
    <w:rsid w:val="00B0235F"/>
    <w:rsid w:val="00B02877"/>
    <w:rsid w:val="00B02883"/>
    <w:rsid w:val="00B0296E"/>
    <w:rsid w:val="00B030CA"/>
    <w:rsid w:val="00B031A6"/>
    <w:rsid w:val="00B03892"/>
    <w:rsid w:val="00B03A2C"/>
    <w:rsid w:val="00B03A57"/>
    <w:rsid w:val="00B03F27"/>
    <w:rsid w:val="00B03F72"/>
    <w:rsid w:val="00B04029"/>
    <w:rsid w:val="00B04321"/>
    <w:rsid w:val="00B044C6"/>
    <w:rsid w:val="00B04B63"/>
    <w:rsid w:val="00B050B5"/>
    <w:rsid w:val="00B05147"/>
    <w:rsid w:val="00B053D2"/>
    <w:rsid w:val="00B05856"/>
    <w:rsid w:val="00B05898"/>
    <w:rsid w:val="00B058DF"/>
    <w:rsid w:val="00B05A64"/>
    <w:rsid w:val="00B05C1B"/>
    <w:rsid w:val="00B05C82"/>
    <w:rsid w:val="00B05CBC"/>
    <w:rsid w:val="00B05D67"/>
    <w:rsid w:val="00B05F92"/>
    <w:rsid w:val="00B05FBF"/>
    <w:rsid w:val="00B06195"/>
    <w:rsid w:val="00B062C9"/>
    <w:rsid w:val="00B065AF"/>
    <w:rsid w:val="00B06648"/>
    <w:rsid w:val="00B0667F"/>
    <w:rsid w:val="00B06878"/>
    <w:rsid w:val="00B0689F"/>
    <w:rsid w:val="00B06BF8"/>
    <w:rsid w:val="00B072C6"/>
    <w:rsid w:val="00B075DE"/>
    <w:rsid w:val="00B079A2"/>
    <w:rsid w:val="00B079B7"/>
    <w:rsid w:val="00B07AF9"/>
    <w:rsid w:val="00B07C04"/>
    <w:rsid w:val="00B07C0B"/>
    <w:rsid w:val="00B07D03"/>
    <w:rsid w:val="00B07D78"/>
    <w:rsid w:val="00B100B0"/>
    <w:rsid w:val="00B1016F"/>
    <w:rsid w:val="00B102EE"/>
    <w:rsid w:val="00B106EE"/>
    <w:rsid w:val="00B10755"/>
    <w:rsid w:val="00B10772"/>
    <w:rsid w:val="00B10990"/>
    <w:rsid w:val="00B10CB6"/>
    <w:rsid w:val="00B10D39"/>
    <w:rsid w:val="00B10EDB"/>
    <w:rsid w:val="00B10EEB"/>
    <w:rsid w:val="00B10F1D"/>
    <w:rsid w:val="00B10F76"/>
    <w:rsid w:val="00B1105E"/>
    <w:rsid w:val="00B1162F"/>
    <w:rsid w:val="00B119EC"/>
    <w:rsid w:val="00B11FCE"/>
    <w:rsid w:val="00B11FF2"/>
    <w:rsid w:val="00B1234C"/>
    <w:rsid w:val="00B1242A"/>
    <w:rsid w:val="00B1259D"/>
    <w:rsid w:val="00B128D6"/>
    <w:rsid w:val="00B12B83"/>
    <w:rsid w:val="00B12CEE"/>
    <w:rsid w:val="00B12E5A"/>
    <w:rsid w:val="00B12ED7"/>
    <w:rsid w:val="00B1304A"/>
    <w:rsid w:val="00B133EB"/>
    <w:rsid w:val="00B136DF"/>
    <w:rsid w:val="00B13729"/>
    <w:rsid w:val="00B13A86"/>
    <w:rsid w:val="00B14570"/>
    <w:rsid w:val="00B14ABF"/>
    <w:rsid w:val="00B14B6A"/>
    <w:rsid w:val="00B14BE8"/>
    <w:rsid w:val="00B14E4B"/>
    <w:rsid w:val="00B14EC4"/>
    <w:rsid w:val="00B1529E"/>
    <w:rsid w:val="00B1583D"/>
    <w:rsid w:val="00B15BBC"/>
    <w:rsid w:val="00B15BE4"/>
    <w:rsid w:val="00B15F7E"/>
    <w:rsid w:val="00B162D2"/>
    <w:rsid w:val="00B1649D"/>
    <w:rsid w:val="00B16896"/>
    <w:rsid w:val="00B16B24"/>
    <w:rsid w:val="00B16D9D"/>
    <w:rsid w:val="00B16DDF"/>
    <w:rsid w:val="00B17200"/>
    <w:rsid w:val="00B17386"/>
    <w:rsid w:val="00B174C4"/>
    <w:rsid w:val="00B17A8E"/>
    <w:rsid w:val="00B17F0F"/>
    <w:rsid w:val="00B20339"/>
    <w:rsid w:val="00B20790"/>
    <w:rsid w:val="00B207BC"/>
    <w:rsid w:val="00B20A6A"/>
    <w:rsid w:val="00B21327"/>
    <w:rsid w:val="00B2144D"/>
    <w:rsid w:val="00B2148D"/>
    <w:rsid w:val="00B21E64"/>
    <w:rsid w:val="00B22027"/>
    <w:rsid w:val="00B2222C"/>
    <w:rsid w:val="00B222FA"/>
    <w:rsid w:val="00B22344"/>
    <w:rsid w:val="00B224D9"/>
    <w:rsid w:val="00B22A2E"/>
    <w:rsid w:val="00B22C5A"/>
    <w:rsid w:val="00B22D5A"/>
    <w:rsid w:val="00B2357A"/>
    <w:rsid w:val="00B23896"/>
    <w:rsid w:val="00B2426B"/>
    <w:rsid w:val="00B243A6"/>
    <w:rsid w:val="00B248DA"/>
    <w:rsid w:val="00B2497F"/>
    <w:rsid w:val="00B24F9D"/>
    <w:rsid w:val="00B251A4"/>
    <w:rsid w:val="00B257C1"/>
    <w:rsid w:val="00B25950"/>
    <w:rsid w:val="00B26221"/>
    <w:rsid w:val="00B2640F"/>
    <w:rsid w:val="00B269B9"/>
    <w:rsid w:val="00B26F14"/>
    <w:rsid w:val="00B26F4F"/>
    <w:rsid w:val="00B27475"/>
    <w:rsid w:val="00B27523"/>
    <w:rsid w:val="00B27A34"/>
    <w:rsid w:val="00B27B7F"/>
    <w:rsid w:val="00B27D00"/>
    <w:rsid w:val="00B27D43"/>
    <w:rsid w:val="00B30175"/>
    <w:rsid w:val="00B302B9"/>
    <w:rsid w:val="00B305DD"/>
    <w:rsid w:val="00B31860"/>
    <w:rsid w:val="00B3196A"/>
    <w:rsid w:val="00B3198A"/>
    <w:rsid w:val="00B320F5"/>
    <w:rsid w:val="00B32418"/>
    <w:rsid w:val="00B32DF4"/>
    <w:rsid w:val="00B33005"/>
    <w:rsid w:val="00B330FA"/>
    <w:rsid w:val="00B3362E"/>
    <w:rsid w:val="00B33890"/>
    <w:rsid w:val="00B344E6"/>
    <w:rsid w:val="00B347E4"/>
    <w:rsid w:val="00B3487B"/>
    <w:rsid w:val="00B34A27"/>
    <w:rsid w:val="00B34D43"/>
    <w:rsid w:val="00B34F63"/>
    <w:rsid w:val="00B351C5"/>
    <w:rsid w:val="00B351C9"/>
    <w:rsid w:val="00B353C6"/>
    <w:rsid w:val="00B353DC"/>
    <w:rsid w:val="00B35670"/>
    <w:rsid w:val="00B35866"/>
    <w:rsid w:val="00B35A14"/>
    <w:rsid w:val="00B35A21"/>
    <w:rsid w:val="00B35CC0"/>
    <w:rsid w:val="00B35CE8"/>
    <w:rsid w:val="00B35E1A"/>
    <w:rsid w:val="00B360CE"/>
    <w:rsid w:val="00B364A7"/>
    <w:rsid w:val="00B369A2"/>
    <w:rsid w:val="00B36BF9"/>
    <w:rsid w:val="00B36E52"/>
    <w:rsid w:val="00B3706C"/>
    <w:rsid w:val="00B371AF"/>
    <w:rsid w:val="00B372C3"/>
    <w:rsid w:val="00B37437"/>
    <w:rsid w:val="00B3766D"/>
    <w:rsid w:val="00B379AF"/>
    <w:rsid w:val="00B37A95"/>
    <w:rsid w:val="00B37E46"/>
    <w:rsid w:val="00B37E98"/>
    <w:rsid w:val="00B4012B"/>
    <w:rsid w:val="00B40C1A"/>
    <w:rsid w:val="00B40C3D"/>
    <w:rsid w:val="00B40C80"/>
    <w:rsid w:val="00B40CBB"/>
    <w:rsid w:val="00B40EDB"/>
    <w:rsid w:val="00B418B0"/>
    <w:rsid w:val="00B41957"/>
    <w:rsid w:val="00B41BEB"/>
    <w:rsid w:val="00B41FCF"/>
    <w:rsid w:val="00B420AE"/>
    <w:rsid w:val="00B42144"/>
    <w:rsid w:val="00B42339"/>
    <w:rsid w:val="00B42441"/>
    <w:rsid w:val="00B429C0"/>
    <w:rsid w:val="00B429D2"/>
    <w:rsid w:val="00B42AAD"/>
    <w:rsid w:val="00B42FD8"/>
    <w:rsid w:val="00B430E6"/>
    <w:rsid w:val="00B43126"/>
    <w:rsid w:val="00B43264"/>
    <w:rsid w:val="00B433E0"/>
    <w:rsid w:val="00B435C7"/>
    <w:rsid w:val="00B43B0C"/>
    <w:rsid w:val="00B43C72"/>
    <w:rsid w:val="00B43C96"/>
    <w:rsid w:val="00B43D90"/>
    <w:rsid w:val="00B44125"/>
    <w:rsid w:val="00B44430"/>
    <w:rsid w:val="00B44762"/>
    <w:rsid w:val="00B447CB"/>
    <w:rsid w:val="00B44806"/>
    <w:rsid w:val="00B449CD"/>
    <w:rsid w:val="00B44B2C"/>
    <w:rsid w:val="00B44E68"/>
    <w:rsid w:val="00B44FD1"/>
    <w:rsid w:val="00B45920"/>
    <w:rsid w:val="00B45A45"/>
    <w:rsid w:val="00B45F1E"/>
    <w:rsid w:val="00B46256"/>
    <w:rsid w:val="00B4644A"/>
    <w:rsid w:val="00B467A8"/>
    <w:rsid w:val="00B46D1B"/>
    <w:rsid w:val="00B46EE1"/>
    <w:rsid w:val="00B46FBD"/>
    <w:rsid w:val="00B474C5"/>
    <w:rsid w:val="00B4755E"/>
    <w:rsid w:val="00B47636"/>
    <w:rsid w:val="00B477BD"/>
    <w:rsid w:val="00B47B89"/>
    <w:rsid w:val="00B47BC9"/>
    <w:rsid w:val="00B47C0F"/>
    <w:rsid w:val="00B47FCB"/>
    <w:rsid w:val="00B50A91"/>
    <w:rsid w:val="00B50EA0"/>
    <w:rsid w:val="00B51528"/>
    <w:rsid w:val="00B517DD"/>
    <w:rsid w:val="00B520A2"/>
    <w:rsid w:val="00B523E2"/>
    <w:rsid w:val="00B52434"/>
    <w:rsid w:val="00B526CB"/>
    <w:rsid w:val="00B5275C"/>
    <w:rsid w:val="00B52A54"/>
    <w:rsid w:val="00B52B12"/>
    <w:rsid w:val="00B52DA8"/>
    <w:rsid w:val="00B52DB0"/>
    <w:rsid w:val="00B532F9"/>
    <w:rsid w:val="00B539BB"/>
    <w:rsid w:val="00B53A21"/>
    <w:rsid w:val="00B53A78"/>
    <w:rsid w:val="00B53B49"/>
    <w:rsid w:val="00B53D6B"/>
    <w:rsid w:val="00B54640"/>
    <w:rsid w:val="00B548FA"/>
    <w:rsid w:val="00B54A0A"/>
    <w:rsid w:val="00B54C52"/>
    <w:rsid w:val="00B54F58"/>
    <w:rsid w:val="00B550F6"/>
    <w:rsid w:val="00B55115"/>
    <w:rsid w:val="00B55613"/>
    <w:rsid w:val="00B55710"/>
    <w:rsid w:val="00B557CA"/>
    <w:rsid w:val="00B55A58"/>
    <w:rsid w:val="00B55B25"/>
    <w:rsid w:val="00B5662B"/>
    <w:rsid w:val="00B56AD7"/>
    <w:rsid w:val="00B56B03"/>
    <w:rsid w:val="00B56EE2"/>
    <w:rsid w:val="00B56FF3"/>
    <w:rsid w:val="00B57225"/>
    <w:rsid w:val="00B5726E"/>
    <w:rsid w:val="00B572F6"/>
    <w:rsid w:val="00B574D5"/>
    <w:rsid w:val="00B57A6F"/>
    <w:rsid w:val="00B57AFD"/>
    <w:rsid w:val="00B57DF6"/>
    <w:rsid w:val="00B57EA9"/>
    <w:rsid w:val="00B60117"/>
    <w:rsid w:val="00B60376"/>
    <w:rsid w:val="00B6046E"/>
    <w:rsid w:val="00B60761"/>
    <w:rsid w:val="00B6091A"/>
    <w:rsid w:val="00B6095D"/>
    <w:rsid w:val="00B6122A"/>
    <w:rsid w:val="00B617DD"/>
    <w:rsid w:val="00B61AD5"/>
    <w:rsid w:val="00B61AFA"/>
    <w:rsid w:val="00B61B79"/>
    <w:rsid w:val="00B61D39"/>
    <w:rsid w:val="00B61F54"/>
    <w:rsid w:val="00B62316"/>
    <w:rsid w:val="00B6274C"/>
    <w:rsid w:val="00B62AE2"/>
    <w:rsid w:val="00B62D59"/>
    <w:rsid w:val="00B63156"/>
    <w:rsid w:val="00B63213"/>
    <w:rsid w:val="00B63248"/>
    <w:rsid w:val="00B633EB"/>
    <w:rsid w:val="00B63492"/>
    <w:rsid w:val="00B636B8"/>
    <w:rsid w:val="00B63999"/>
    <w:rsid w:val="00B63C9B"/>
    <w:rsid w:val="00B63C9C"/>
    <w:rsid w:val="00B63E3D"/>
    <w:rsid w:val="00B63F4C"/>
    <w:rsid w:val="00B641F8"/>
    <w:rsid w:val="00B64399"/>
    <w:rsid w:val="00B6458D"/>
    <w:rsid w:val="00B64667"/>
    <w:rsid w:val="00B64707"/>
    <w:rsid w:val="00B64B68"/>
    <w:rsid w:val="00B64DAE"/>
    <w:rsid w:val="00B64E01"/>
    <w:rsid w:val="00B652BA"/>
    <w:rsid w:val="00B6532D"/>
    <w:rsid w:val="00B6546A"/>
    <w:rsid w:val="00B654CB"/>
    <w:rsid w:val="00B655C4"/>
    <w:rsid w:val="00B65A1D"/>
    <w:rsid w:val="00B65D0D"/>
    <w:rsid w:val="00B65FCC"/>
    <w:rsid w:val="00B66289"/>
    <w:rsid w:val="00B664A8"/>
    <w:rsid w:val="00B664B6"/>
    <w:rsid w:val="00B66BC4"/>
    <w:rsid w:val="00B66CE1"/>
    <w:rsid w:val="00B66DFA"/>
    <w:rsid w:val="00B67086"/>
    <w:rsid w:val="00B67569"/>
    <w:rsid w:val="00B675F4"/>
    <w:rsid w:val="00B67828"/>
    <w:rsid w:val="00B678C8"/>
    <w:rsid w:val="00B7027B"/>
    <w:rsid w:val="00B704D2"/>
    <w:rsid w:val="00B70881"/>
    <w:rsid w:val="00B70B07"/>
    <w:rsid w:val="00B70B71"/>
    <w:rsid w:val="00B7102B"/>
    <w:rsid w:val="00B710B2"/>
    <w:rsid w:val="00B710CD"/>
    <w:rsid w:val="00B71796"/>
    <w:rsid w:val="00B71EFF"/>
    <w:rsid w:val="00B7201A"/>
    <w:rsid w:val="00B7228A"/>
    <w:rsid w:val="00B72909"/>
    <w:rsid w:val="00B72A68"/>
    <w:rsid w:val="00B72DD3"/>
    <w:rsid w:val="00B72F09"/>
    <w:rsid w:val="00B73083"/>
    <w:rsid w:val="00B734EA"/>
    <w:rsid w:val="00B739E6"/>
    <w:rsid w:val="00B73C17"/>
    <w:rsid w:val="00B7409B"/>
    <w:rsid w:val="00B7420D"/>
    <w:rsid w:val="00B743FC"/>
    <w:rsid w:val="00B74502"/>
    <w:rsid w:val="00B75006"/>
    <w:rsid w:val="00B75124"/>
    <w:rsid w:val="00B7515E"/>
    <w:rsid w:val="00B75CDF"/>
    <w:rsid w:val="00B76029"/>
    <w:rsid w:val="00B7658E"/>
    <w:rsid w:val="00B7662E"/>
    <w:rsid w:val="00B769BB"/>
    <w:rsid w:val="00B76A0D"/>
    <w:rsid w:val="00B76DEC"/>
    <w:rsid w:val="00B76E6B"/>
    <w:rsid w:val="00B77FDE"/>
    <w:rsid w:val="00B8007A"/>
    <w:rsid w:val="00B800A3"/>
    <w:rsid w:val="00B80196"/>
    <w:rsid w:val="00B801AC"/>
    <w:rsid w:val="00B802A7"/>
    <w:rsid w:val="00B803ED"/>
    <w:rsid w:val="00B805FF"/>
    <w:rsid w:val="00B806E2"/>
    <w:rsid w:val="00B81297"/>
    <w:rsid w:val="00B81341"/>
    <w:rsid w:val="00B81371"/>
    <w:rsid w:val="00B8148A"/>
    <w:rsid w:val="00B8180E"/>
    <w:rsid w:val="00B819C4"/>
    <w:rsid w:val="00B81CA3"/>
    <w:rsid w:val="00B82086"/>
    <w:rsid w:val="00B823DF"/>
    <w:rsid w:val="00B82418"/>
    <w:rsid w:val="00B829B8"/>
    <w:rsid w:val="00B82B18"/>
    <w:rsid w:val="00B82B9E"/>
    <w:rsid w:val="00B82D0D"/>
    <w:rsid w:val="00B833D7"/>
    <w:rsid w:val="00B8365D"/>
    <w:rsid w:val="00B83CBD"/>
    <w:rsid w:val="00B83D06"/>
    <w:rsid w:val="00B84430"/>
    <w:rsid w:val="00B848F0"/>
    <w:rsid w:val="00B84B52"/>
    <w:rsid w:val="00B8514C"/>
    <w:rsid w:val="00B85281"/>
    <w:rsid w:val="00B85335"/>
    <w:rsid w:val="00B8538E"/>
    <w:rsid w:val="00B85606"/>
    <w:rsid w:val="00B86387"/>
    <w:rsid w:val="00B86982"/>
    <w:rsid w:val="00B86AE0"/>
    <w:rsid w:val="00B86E6A"/>
    <w:rsid w:val="00B8702E"/>
    <w:rsid w:val="00B87063"/>
    <w:rsid w:val="00B870D6"/>
    <w:rsid w:val="00B87223"/>
    <w:rsid w:val="00B87549"/>
    <w:rsid w:val="00B878A5"/>
    <w:rsid w:val="00B87D0A"/>
    <w:rsid w:val="00B87DA3"/>
    <w:rsid w:val="00B87E20"/>
    <w:rsid w:val="00B90372"/>
    <w:rsid w:val="00B9038D"/>
    <w:rsid w:val="00B903E1"/>
    <w:rsid w:val="00B906F3"/>
    <w:rsid w:val="00B907FB"/>
    <w:rsid w:val="00B90B23"/>
    <w:rsid w:val="00B9105C"/>
    <w:rsid w:val="00B91180"/>
    <w:rsid w:val="00B91263"/>
    <w:rsid w:val="00B91BAE"/>
    <w:rsid w:val="00B91C1E"/>
    <w:rsid w:val="00B91FB8"/>
    <w:rsid w:val="00B920B5"/>
    <w:rsid w:val="00B921A8"/>
    <w:rsid w:val="00B92436"/>
    <w:rsid w:val="00B92624"/>
    <w:rsid w:val="00B9277F"/>
    <w:rsid w:val="00B927E5"/>
    <w:rsid w:val="00B9280C"/>
    <w:rsid w:val="00B929A0"/>
    <w:rsid w:val="00B92CC0"/>
    <w:rsid w:val="00B92D39"/>
    <w:rsid w:val="00B92F54"/>
    <w:rsid w:val="00B9376E"/>
    <w:rsid w:val="00B93BCE"/>
    <w:rsid w:val="00B93D99"/>
    <w:rsid w:val="00B9421A"/>
    <w:rsid w:val="00B947A1"/>
    <w:rsid w:val="00B94AA0"/>
    <w:rsid w:val="00B94B1F"/>
    <w:rsid w:val="00B94B5E"/>
    <w:rsid w:val="00B951E3"/>
    <w:rsid w:val="00B95799"/>
    <w:rsid w:val="00B95ABD"/>
    <w:rsid w:val="00B95C51"/>
    <w:rsid w:val="00B95E4E"/>
    <w:rsid w:val="00B96339"/>
    <w:rsid w:val="00B9673B"/>
    <w:rsid w:val="00B96C4B"/>
    <w:rsid w:val="00B96D6F"/>
    <w:rsid w:val="00B97405"/>
    <w:rsid w:val="00B975F3"/>
    <w:rsid w:val="00B97E60"/>
    <w:rsid w:val="00BA015E"/>
    <w:rsid w:val="00BA018C"/>
    <w:rsid w:val="00BA0219"/>
    <w:rsid w:val="00BA03FB"/>
    <w:rsid w:val="00BA061B"/>
    <w:rsid w:val="00BA0650"/>
    <w:rsid w:val="00BA08A8"/>
    <w:rsid w:val="00BA08AC"/>
    <w:rsid w:val="00BA0AD0"/>
    <w:rsid w:val="00BA0CA1"/>
    <w:rsid w:val="00BA1113"/>
    <w:rsid w:val="00BA11BA"/>
    <w:rsid w:val="00BA12F5"/>
    <w:rsid w:val="00BA16BC"/>
    <w:rsid w:val="00BA172D"/>
    <w:rsid w:val="00BA188A"/>
    <w:rsid w:val="00BA1A83"/>
    <w:rsid w:val="00BA1C04"/>
    <w:rsid w:val="00BA1DB0"/>
    <w:rsid w:val="00BA1E11"/>
    <w:rsid w:val="00BA2247"/>
    <w:rsid w:val="00BA224C"/>
    <w:rsid w:val="00BA2694"/>
    <w:rsid w:val="00BA26EF"/>
    <w:rsid w:val="00BA2705"/>
    <w:rsid w:val="00BA2B37"/>
    <w:rsid w:val="00BA34E6"/>
    <w:rsid w:val="00BA3511"/>
    <w:rsid w:val="00BA3A35"/>
    <w:rsid w:val="00BA4068"/>
    <w:rsid w:val="00BA434E"/>
    <w:rsid w:val="00BA43B2"/>
    <w:rsid w:val="00BA469F"/>
    <w:rsid w:val="00BA47B4"/>
    <w:rsid w:val="00BA4A6E"/>
    <w:rsid w:val="00BA5148"/>
    <w:rsid w:val="00BA5CF5"/>
    <w:rsid w:val="00BA6022"/>
    <w:rsid w:val="00BA70B1"/>
    <w:rsid w:val="00BA721C"/>
    <w:rsid w:val="00BA7290"/>
    <w:rsid w:val="00BA733B"/>
    <w:rsid w:val="00BA75AA"/>
    <w:rsid w:val="00BA7CBE"/>
    <w:rsid w:val="00BA7D70"/>
    <w:rsid w:val="00BB00FC"/>
    <w:rsid w:val="00BB028C"/>
    <w:rsid w:val="00BB03CB"/>
    <w:rsid w:val="00BB0709"/>
    <w:rsid w:val="00BB1425"/>
    <w:rsid w:val="00BB1A0F"/>
    <w:rsid w:val="00BB1A55"/>
    <w:rsid w:val="00BB1F17"/>
    <w:rsid w:val="00BB22B2"/>
    <w:rsid w:val="00BB26EB"/>
    <w:rsid w:val="00BB2922"/>
    <w:rsid w:val="00BB29BC"/>
    <w:rsid w:val="00BB30DE"/>
    <w:rsid w:val="00BB3169"/>
    <w:rsid w:val="00BB3811"/>
    <w:rsid w:val="00BB3990"/>
    <w:rsid w:val="00BB3B42"/>
    <w:rsid w:val="00BB3DA3"/>
    <w:rsid w:val="00BB3DF6"/>
    <w:rsid w:val="00BB40E5"/>
    <w:rsid w:val="00BB416C"/>
    <w:rsid w:val="00BB4542"/>
    <w:rsid w:val="00BB4555"/>
    <w:rsid w:val="00BB4657"/>
    <w:rsid w:val="00BB49BA"/>
    <w:rsid w:val="00BB4B52"/>
    <w:rsid w:val="00BB4F7E"/>
    <w:rsid w:val="00BB509C"/>
    <w:rsid w:val="00BB534B"/>
    <w:rsid w:val="00BB56AE"/>
    <w:rsid w:val="00BB5A25"/>
    <w:rsid w:val="00BB5C9A"/>
    <w:rsid w:val="00BB6363"/>
    <w:rsid w:val="00BB64B4"/>
    <w:rsid w:val="00BB64E1"/>
    <w:rsid w:val="00BB6911"/>
    <w:rsid w:val="00BB6956"/>
    <w:rsid w:val="00BB6962"/>
    <w:rsid w:val="00BB69A5"/>
    <w:rsid w:val="00BB6A9A"/>
    <w:rsid w:val="00BB6D14"/>
    <w:rsid w:val="00BB6E2A"/>
    <w:rsid w:val="00BB71A5"/>
    <w:rsid w:val="00BB74EC"/>
    <w:rsid w:val="00BB7951"/>
    <w:rsid w:val="00BB7ACC"/>
    <w:rsid w:val="00BB7ADC"/>
    <w:rsid w:val="00BB7C86"/>
    <w:rsid w:val="00BC008E"/>
    <w:rsid w:val="00BC072E"/>
    <w:rsid w:val="00BC0998"/>
    <w:rsid w:val="00BC09B8"/>
    <w:rsid w:val="00BC0EFB"/>
    <w:rsid w:val="00BC0F7E"/>
    <w:rsid w:val="00BC11CA"/>
    <w:rsid w:val="00BC14A3"/>
    <w:rsid w:val="00BC1A84"/>
    <w:rsid w:val="00BC21EE"/>
    <w:rsid w:val="00BC22D9"/>
    <w:rsid w:val="00BC248E"/>
    <w:rsid w:val="00BC2657"/>
    <w:rsid w:val="00BC282F"/>
    <w:rsid w:val="00BC2965"/>
    <w:rsid w:val="00BC2A0B"/>
    <w:rsid w:val="00BC2E6B"/>
    <w:rsid w:val="00BC316F"/>
    <w:rsid w:val="00BC319A"/>
    <w:rsid w:val="00BC3275"/>
    <w:rsid w:val="00BC32E4"/>
    <w:rsid w:val="00BC342D"/>
    <w:rsid w:val="00BC3862"/>
    <w:rsid w:val="00BC3C0A"/>
    <w:rsid w:val="00BC3DD1"/>
    <w:rsid w:val="00BC40DD"/>
    <w:rsid w:val="00BC41FC"/>
    <w:rsid w:val="00BC43C2"/>
    <w:rsid w:val="00BC44F0"/>
    <w:rsid w:val="00BC46E9"/>
    <w:rsid w:val="00BC47FB"/>
    <w:rsid w:val="00BC4884"/>
    <w:rsid w:val="00BC49F0"/>
    <w:rsid w:val="00BC4B7A"/>
    <w:rsid w:val="00BC4D6E"/>
    <w:rsid w:val="00BC4F78"/>
    <w:rsid w:val="00BC4F83"/>
    <w:rsid w:val="00BC501E"/>
    <w:rsid w:val="00BC54FF"/>
    <w:rsid w:val="00BC56CB"/>
    <w:rsid w:val="00BC56EB"/>
    <w:rsid w:val="00BC5989"/>
    <w:rsid w:val="00BC5BAE"/>
    <w:rsid w:val="00BC5F96"/>
    <w:rsid w:val="00BC62ED"/>
    <w:rsid w:val="00BC65D8"/>
    <w:rsid w:val="00BC6A69"/>
    <w:rsid w:val="00BC6CBA"/>
    <w:rsid w:val="00BC6D14"/>
    <w:rsid w:val="00BC6FD8"/>
    <w:rsid w:val="00BC70F0"/>
    <w:rsid w:val="00BC7104"/>
    <w:rsid w:val="00BC710F"/>
    <w:rsid w:val="00BC71AC"/>
    <w:rsid w:val="00BC71F3"/>
    <w:rsid w:val="00BC72FF"/>
    <w:rsid w:val="00BC782D"/>
    <w:rsid w:val="00BC7938"/>
    <w:rsid w:val="00BC79DB"/>
    <w:rsid w:val="00BC7CE0"/>
    <w:rsid w:val="00BC7D79"/>
    <w:rsid w:val="00BD06B9"/>
    <w:rsid w:val="00BD0808"/>
    <w:rsid w:val="00BD082C"/>
    <w:rsid w:val="00BD08D5"/>
    <w:rsid w:val="00BD09D5"/>
    <w:rsid w:val="00BD0BBE"/>
    <w:rsid w:val="00BD0BCF"/>
    <w:rsid w:val="00BD134F"/>
    <w:rsid w:val="00BD1415"/>
    <w:rsid w:val="00BD152C"/>
    <w:rsid w:val="00BD166F"/>
    <w:rsid w:val="00BD17FA"/>
    <w:rsid w:val="00BD1BB7"/>
    <w:rsid w:val="00BD1DE3"/>
    <w:rsid w:val="00BD1F9A"/>
    <w:rsid w:val="00BD20BB"/>
    <w:rsid w:val="00BD2142"/>
    <w:rsid w:val="00BD241F"/>
    <w:rsid w:val="00BD2463"/>
    <w:rsid w:val="00BD2619"/>
    <w:rsid w:val="00BD2A3F"/>
    <w:rsid w:val="00BD2BD8"/>
    <w:rsid w:val="00BD2C37"/>
    <w:rsid w:val="00BD316B"/>
    <w:rsid w:val="00BD32A3"/>
    <w:rsid w:val="00BD3A6C"/>
    <w:rsid w:val="00BD3C41"/>
    <w:rsid w:val="00BD3C82"/>
    <w:rsid w:val="00BD3DE2"/>
    <w:rsid w:val="00BD3E26"/>
    <w:rsid w:val="00BD3F67"/>
    <w:rsid w:val="00BD422D"/>
    <w:rsid w:val="00BD434A"/>
    <w:rsid w:val="00BD4653"/>
    <w:rsid w:val="00BD4E1A"/>
    <w:rsid w:val="00BD518A"/>
    <w:rsid w:val="00BD51BB"/>
    <w:rsid w:val="00BD5426"/>
    <w:rsid w:val="00BD560B"/>
    <w:rsid w:val="00BD5982"/>
    <w:rsid w:val="00BD606E"/>
    <w:rsid w:val="00BD60E0"/>
    <w:rsid w:val="00BD61A6"/>
    <w:rsid w:val="00BD6475"/>
    <w:rsid w:val="00BD6861"/>
    <w:rsid w:val="00BD691C"/>
    <w:rsid w:val="00BD6D0A"/>
    <w:rsid w:val="00BD6E90"/>
    <w:rsid w:val="00BD6F6A"/>
    <w:rsid w:val="00BD6FB1"/>
    <w:rsid w:val="00BD7950"/>
    <w:rsid w:val="00BD7CE7"/>
    <w:rsid w:val="00BE0008"/>
    <w:rsid w:val="00BE03C5"/>
    <w:rsid w:val="00BE063C"/>
    <w:rsid w:val="00BE080F"/>
    <w:rsid w:val="00BE09F7"/>
    <w:rsid w:val="00BE0B44"/>
    <w:rsid w:val="00BE0B96"/>
    <w:rsid w:val="00BE0C25"/>
    <w:rsid w:val="00BE0E34"/>
    <w:rsid w:val="00BE1460"/>
    <w:rsid w:val="00BE14E1"/>
    <w:rsid w:val="00BE14EF"/>
    <w:rsid w:val="00BE16C0"/>
    <w:rsid w:val="00BE1700"/>
    <w:rsid w:val="00BE1A67"/>
    <w:rsid w:val="00BE1C46"/>
    <w:rsid w:val="00BE2499"/>
    <w:rsid w:val="00BE27AC"/>
    <w:rsid w:val="00BE3184"/>
    <w:rsid w:val="00BE35F4"/>
    <w:rsid w:val="00BE42BB"/>
    <w:rsid w:val="00BE4368"/>
    <w:rsid w:val="00BE44EB"/>
    <w:rsid w:val="00BE4C4D"/>
    <w:rsid w:val="00BE4CB7"/>
    <w:rsid w:val="00BE4F1C"/>
    <w:rsid w:val="00BE5058"/>
    <w:rsid w:val="00BE517A"/>
    <w:rsid w:val="00BE5A4F"/>
    <w:rsid w:val="00BE5C48"/>
    <w:rsid w:val="00BE5C4D"/>
    <w:rsid w:val="00BE5C95"/>
    <w:rsid w:val="00BE5F78"/>
    <w:rsid w:val="00BE603D"/>
    <w:rsid w:val="00BE62AB"/>
    <w:rsid w:val="00BE6721"/>
    <w:rsid w:val="00BE6923"/>
    <w:rsid w:val="00BE6A26"/>
    <w:rsid w:val="00BE704B"/>
    <w:rsid w:val="00BE7299"/>
    <w:rsid w:val="00BE73BF"/>
    <w:rsid w:val="00BE7BFB"/>
    <w:rsid w:val="00BE7CBA"/>
    <w:rsid w:val="00BF0271"/>
    <w:rsid w:val="00BF039E"/>
    <w:rsid w:val="00BF03EB"/>
    <w:rsid w:val="00BF047B"/>
    <w:rsid w:val="00BF05CC"/>
    <w:rsid w:val="00BF06DD"/>
    <w:rsid w:val="00BF075C"/>
    <w:rsid w:val="00BF0836"/>
    <w:rsid w:val="00BF0B3A"/>
    <w:rsid w:val="00BF0D36"/>
    <w:rsid w:val="00BF0E9C"/>
    <w:rsid w:val="00BF1063"/>
    <w:rsid w:val="00BF12C4"/>
    <w:rsid w:val="00BF15B6"/>
    <w:rsid w:val="00BF16DF"/>
    <w:rsid w:val="00BF1913"/>
    <w:rsid w:val="00BF1C2F"/>
    <w:rsid w:val="00BF1DE5"/>
    <w:rsid w:val="00BF1E40"/>
    <w:rsid w:val="00BF20D9"/>
    <w:rsid w:val="00BF212E"/>
    <w:rsid w:val="00BF251A"/>
    <w:rsid w:val="00BF29A8"/>
    <w:rsid w:val="00BF2BAD"/>
    <w:rsid w:val="00BF2C0E"/>
    <w:rsid w:val="00BF2C83"/>
    <w:rsid w:val="00BF2D38"/>
    <w:rsid w:val="00BF2DF6"/>
    <w:rsid w:val="00BF2EDE"/>
    <w:rsid w:val="00BF2F2D"/>
    <w:rsid w:val="00BF305A"/>
    <w:rsid w:val="00BF339B"/>
    <w:rsid w:val="00BF3DA2"/>
    <w:rsid w:val="00BF3F7E"/>
    <w:rsid w:val="00BF3FD2"/>
    <w:rsid w:val="00BF43B4"/>
    <w:rsid w:val="00BF43D8"/>
    <w:rsid w:val="00BF4A21"/>
    <w:rsid w:val="00BF4B25"/>
    <w:rsid w:val="00BF4D24"/>
    <w:rsid w:val="00BF514D"/>
    <w:rsid w:val="00BF53D3"/>
    <w:rsid w:val="00BF5E81"/>
    <w:rsid w:val="00BF62D3"/>
    <w:rsid w:val="00BF631B"/>
    <w:rsid w:val="00BF6450"/>
    <w:rsid w:val="00BF65CA"/>
    <w:rsid w:val="00BF6854"/>
    <w:rsid w:val="00BF6A1E"/>
    <w:rsid w:val="00BF7024"/>
    <w:rsid w:val="00BF7A96"/>
    <w:rsid w:val="00BF7D39"/>
    <w:rsid w:val="00BF7F5A"/>
    <w:rsid w:val="00C008FA"/>
    <w:rsid w:val="00C009E1"/>
    <w:rsid w:val="00C01005"/>
    <w:rsid w:val="00C01123"/>
    <w:rsid w:val="00C012A3"/>
    <w:rsid w:val="00C012AC"/>
    <w:rsid w:val="00C012B9"/>
    <w:rsid w:val="00C0148F"/>
    <w:rsid w:val="00C016D6"/>
    <w:rsid w:val="00C01B7A"/>
    <w:rsid w:val="00C02388"/>
    <w:rsid w:val="00C023B0"/>
    <w:rsid w:val="00C026D8"/>
    <w:rsid w:val="00C02A00"/>
    <w:rsid w:val="00C02A6B"/>
    <w:rsid w:val="00C02AB1"/>
    <w:rsid w:val="00C02E35"/>
    <w:rsid w:val="00C02F71"/>
    <w:rsid w:val="00C02FAC"/>
    <w:rsid w:val="00C02FB0"/>
    <w:rsid w:val="00C0315C"/>
    <w:rsid w:val="00C033F8"/>
    <w:rsid w:val="00C0340C"/>
    <w:rsid w:val="00C035C9"/>
    <w:rsid w:val="00C03775"/>
    <w:rsid w:val="00C037BE"/>
    <w:rsid w:val="00C0380A"/>
    <w:rsid w:val="00C03A44"/>
    <w:rsid w:val="00C03B54"/>
    <w:rsid w:val="00C03B69"/>
    <w:rsid w:val="00C03B7F"/>
    <w:rsid w:val="00C03C1B"/>
    <w:rsid w:val="00C03C76"/>
    <w:rsid w:val="00C0404C"/>
    <w:rsid w:val="00C04132"/>
    <w:rsid w:val="00C04360"/>
    <w:rsid w:val="00C045FE"/>
    <w:rsid w:val="00C04660"/>
    <w:rsid w:val="00C04688"/>
    <w:rsid w:val="00C046D4"/>
    <w:rsid w:val="00C04777"/>
    <w:rsid w:val="00C04A37"/>
    <w:rsid w:val="00C04BA7"/>
    <w:rsid w:val="00C04FEC"/>
    <w:rsid w:val="00C05380"/>
    <w:rsid w:val="00C05522"/>
    <w:rsid w:val="00C0568B"/>
    <w:rsid w:val="00C05A25"/>
    <w:rsid w:val="00C0632F"/>
    <w:rsid w:val="00C06B3B"/>
    <w:rsid w:val="00C06DC6"/>
    <w:rsid w:val="00C06DDC"/>
    <w:rsid w:val="00C06E2A"/>
    <w:rsid w:val="00C06F50"/>
    <w:rsid w:val="00C06F95"/>
    <w:rsid w:val="00C07372"/>
    <w:rsid w:val="00C0740C"/>
    <w:rsid w:val="00C074D4"/>
    <w:rsid w:val="00C07565"/>
    <w:rsid w:val="00C07929"/>
    <w:rsid w:val="00C07976"/>
    <w:rsid w:val="00C07BFC"/>
    <w:rsid w:val="00C104B3"/>
    <w:rsid w:val="00C10592"/>
    <w:rsid w:val="00C10983"/>
    <w:rsid w:val="00C109D5"/>
    <w:rsid w:val="00C10A70"/>
    <w:rsid w:val="00C10C4E"/>
    <w:rsid w:val="00C10CF0"/>
    <w:rsid w:val="00C1103F"/>
    <w:rsid w:val="00C1107F"/>
    <w:rsid w:val="00C110F8"/>
    <w:rsid w:val="00C1110D"/>
    <w:rsid w:val="00C111D6"/>
    <w:rsid w:val="00C11A50"/>
    <w:rsid w:val="00C11EC3"/>
    <w:rsid w:val="00C1210E"/>
    <w:rsid w:val="00C12179"/>
    <w:rsid w:val="00C1221F"/>
    <w:rsid w:val="00C122FC"/>
    <w:rsid w:val="00C12373"/>
    <w:rsid w:val="00C1264B"/>
    <w:rsid w:val="00C12788"/>
    <w:rsid w:val="00C127B1"/>
    <w:rsid w:val="00C12939"/>
    <w:rsid w:val="00C12A06"/>
    <w:rsid w:val="00C134B7"/>
    <w:rsid w:val="00C13570"/>
    <w:rsid w:val="00C13AAF"/>
    <w:rsid w:val="00C13F97"/>
    <w:rsid w:val="00C1437D"/>
    <w:rsid w:val="00C14A0C"/>
    <w:rsid w:val="00C14A60"/>
    <w:rsid w:val="00C14BF8"/>
    <w:rsid w:val="00C14D60"/>
    <w:rsid w:val="00C1518F"/>
    <w:rsid w:val="00C15597"/>
    <w:rsid w:val="00C159CC"/>
    <w:rsid w:val="00C15E87"/>
    <w:rsid w:val="00C16391"/>
    <w:rsid w:val="00C163F9"/>
    <w:rsid w:val="00C1648F"/>
    <w:rsid w:val="00C166B9"/>
    <w:rsid w:val="00C16A7D"/>
    <w:rsid w:val="00C16A80"/>
    <w:rsid w:val="00C16F7B"/>
    <w:rsid w:val="00C17172"/>
    <w:rsid w:val="00C17479"/>
    <w:rsid w:val="00C17512"/>
    <w:rsid w:val="00C175D0"/>
    <w:rsid w:val="00C1764D"/>
    <w:rsid w:val="00C17D90"/>
    <w:rsid w:val="00C17EA8"/>
    <w:rsid w:val="00C17EB1"/>
    <w:rsid w:val="00C17F5B"/>
    <w:rsid w:val="00C20472"/>
    <w:rsid w:val="00C206C9"/>
    <w:rsid w:val="00C206F1"/>
    <w:rsid w:val="00C2096B"/>
    <w:rsid w:val="00C20AE5"/>
    <w:rsid w:val="00C20B0E"/>
    <w:rsid w:val="00C2114C"/>
    <w:rsid w:val="00C21463"/>
    <w:rsid w:val="00C21500"/>
    <w:rsid w:val="00C21880"/>
    <w:rsid w:val="00C218E3"/>
    <w:rsid w:val="00C21A8D"/>
    <w:rsid w:val="00C21D35"/>
    <w:rsid w:val="00C21E2C"/>
    <w:rsid w:val="00C221FC"/>
    <w:rsid w:val="00C2270B"/>
    <w:rsid w:val="00C22B81"/>
    <w:rsid w:val="00C22C21"/>
    <w:rsid w:val="00C22D8B"/>
    <w:rsid w:val="00C23472"/>
    <w:rsid w:val="00C23A09"/>
    <w:rsid w:val="00C23A1B"/>
    <w:rsid w:val="00C23C25"/>
    <w:rsid w:val="00C23C34"/>
    <w:rsid w:val="00C23DE1"/>
    <w:rsid w:val="00C23EE0"/>
    <w:rsid w:val="00C23F55"/>
    <w:rsid w:val="00C24178"/>
    <w:rsid w:val="00C2453E"/>
    <w:rsid w:val="00C24986"/>
    <w:rsid w:val="00C24A6C"/>
    <w:rsid w:val="00C24C44"/>
    <w:rsid w:val="00C24D39"/>
    <w:rsid w:val="00C24DB0"/>
    <w:rsid w:val="00C250E5"/>
    <w:rsid w:val="00C25933"/>
    <w:rsid w:val="00C25B3B"/>
    <w:rsid w:val="00C25BE9"/>
    <w:rsid w:val="00C25DE9"/>
    <w:rsid w:val="00C266C3"/>
    <w:rsid w:val="00C26871"/>
    <w:rsid w:val="00C269C0"/>
    <w:rsid w:val="00C26ADE"/>
    <w:rsid w:val="00C26B1C"/>
    <w:rsid w:val="00C274AA"/>
    <w:rsid w:val="00C276CA"/>
    <w:rsid w:val="00C276D5"/>
    <w:rsid w:val="00C30080"/>
    <w:rsid w:val="00C300DB"/>
    <w:rsid w:val="00C30565"/>
    <w:rsid w:val="00C307D1"/>
    <w:rsid w:val="00C30E38"/>
    <w:rsid w:val="00C30E54"/>
    <w:rsid w:val="00C30EF5"/>
    <w:rsid w:val="00C31993"/>
    <w:rsid w:val="00C31A8A"/>
    <w:rsid w:val="00C31F2F"/>
    <w:rsid w:val="00C32391"/>
    <w:rsid w:val="00C32454"/>
    <w:rsid w:val="00C32572"/>
    <w:rsid w:val="00C325AC"/>
    <w:rsid w:val="00C32965"/>
    <w:rsid w:val="00C32C5D"/>
    <w:rsid w:val="00C32CD0"/>
    <w:rsid w:val="00C32E22"/>
    <w:rsid w:val="00C33412"/>
    <w:rsid w:val="00C33779"/>
    <w:rsid w:val="00C3394F"/>
    <w:rsid w:val="00C33D99"/>
    <w:rsid w:val="00C3413D"/>
    <w:rsid w:val="00C3426D"/>
    <w:rsid w:val="00C342EC"/>
    <w:rsid w:val="00C3443A"/>
    <w:rsid w:val="00C345AD"/>
    <w:rsid w:val="00C347DD"/>
    <w:rsid w:val="00C348E8"/>
    <w:rsid w:val="00C34B31"/>
    <w:rsid w:val="00C34D69"/>
    <w:rsid w:val="00C3501D"/>
    <w:rsid w:val="00C35246"/>
    <w:rsid w:val="00C35724"/>
    <w:rsid w:val="00C358FF"/>
    <w:rsid w:val="00C35AE5"/>
    <w:rsid w:val="00C35E5E"/>
    <w:rsid w:val="00C362EB"/>
    <w:rsid w:val="00C363B9"/>
    <w:rsid w:val="00C363F5"/>
    <w:rsid w:val="00C36AA9"/>
    <w:rsid w:val="00C36D49"/>
    <w:rsid w:val="00C372E2"/>
    <w:rsid w:val="00C37778"/>
    <w:rsid w:val="00C377C7"/>
    <w:rsid w:val="00C37A93"/>
    <w:rsid w:val="00C37A97"/>
    <w:rsid w:val="00C37D0C"/>
    <w:rsid w:val="00C37EA0"/>
    <w:rsid w:val="00C40123"/>
    <w:rsid w:val="00C40155"/>
    <w:rsid w:val="00C405ED"/>
    <w:rsid w:val="00C409A5"/>
    <w:rsid w:val="00C42944"/>
    <w:rsid w:val="00C42B72"/>
    <w:rsid w:val="00C42B9B"/>
    <w:rsid w:val="00C42DF1"/>
    <w:rsid w:val="00C43045"/>
    <w:rsid w:val="00C4355F"/>
    <w:rsid w:val="00C43664"/>
    <w:rsid w:val="00C43F2A"/>
    <w:rsid w:val="00C441F2"/>
    <w:rsid w:val="00C446DF"/>
    <w:rsid w:val="00C4477C"/>
    <w:rsid w:val="00C44904"/>
    <w:rsid w:val="00C44ADA"/>
    <w:rsid w:val="00C44AFC"/>
    <w:rsid w:val="00C44D17"/>
    <w:rsid w:val="00C44F00"/>
    <w:rsid w:val="00C44F9C"/>
    <w:rsid w:val="00C45257"/>
    <w:rsid w:val="00C45539"/>
    <w:rsid w:val="00C45937"/>
    <w:rsid w:val="00C46060"/>
    <w:rsid w:val="00C4633D"/>
    <w:rsid w:val="00C4635F"/>
    <w:rsid w:val="00C46481"/>
    <w:rsid w:val="00C4665C"/>
    <w:rsid w:val="00C46877"/>
    <w:rsid w:val="00C469E4"/>
    <w:rsid w:val="00C46A5E"/>
    <w:rsid w:val="00C46AAC"/>
    <w:rsid w:val="00C47281"/>
    <w:rsid w:val="00C4749B"/>
    <w:rsid w:val="00C474F8"/>
    <w:rsid w:val="00C4751F"/>
    <w:rsid w:val="00C47953"/>
    <w:rsid w:val="00C47A56"/>
    <w:rsid w:val="00C50151"/>
    <w:rsid w:val="00C5030F"/>
    <w:rsid w:val="00C5032D"/>
    <w:rsid w:val="00C50711"/>
    <w:rsid w:val="00C509A0"/>
    <w:rsid w:val="00C50C6B"/>
    <w:rsid w:val="00C5137B"/>
    <w:rsid w:val="00C5144A"/>
    <w:rsid w:val="00C517C8"/>
    <w:rsid w:val="00C519E8"/>
    <w:rsid w:val="00C51B3F"/>
    <w:rsid w:val="00C51C74"/>
    <w:rsid w:val="00C51DF3"/>
    <w:rsid w:val="00C51ED6"/>
    <w:rsid w:val="00C51FDC"/>
    <w:rsid w:val="00C520A6"/>
    <w:rsid w:val="00C5216F"/>
    <w:rsid w:val="00C523C6"/>
    <w:rsid w:val="00C523F7"/>
    <w:rsid w:val="00C525A4"/>
    <w:rsid w:val="00C525BA"/>
    <w:rsid w:val="00C529DB"/>
    <w:rsid w:val="00C52A1B"/>
    <w:rsid w:val="00C52A3F"/>
    <w:rsid w:val="00C52B7B"/>
    <w:rsid w:val="00C52BFD"/>
    <w:rsid w:val="00C52D36"/>
    <w:rsid w:val="00C52DEC"/>
    <w:rsid w:val="00C52F04"/>
    <w:rsid w:val="00C53065"/>
    <w:rsid w:val="00C53493"/>
    <w:rsid w:val="00C5349F"/>
    <w:rsid w:val="00C53714"/>
    <w:rsid w:val="00C5396A"/>
    <w:rsid w:val="00C53C2B"/>
    <w:rsid w:val="00C53D48"/>
    <w:rsid w:val="00C54204"/>
    <w:rsid w:val="00C5476B"/>
    <w:rsid w:val="00C549F9"/>
    <w:rsid w:val="00C54AC6"/>
    <w:rsid w:val="00C54C05"/>
    <w:rsid w:val="00C55224"/>
    <w:rsid w:val="00C55300"/>
    <w:rsid w:val="00C555F7"/>
    <w:rsid w:val="00C55B1C"/>
    <w:rsid w:val="00C55B81"/>
    <w:rsid w:val="00C55CCE"/>
    <w:rsid w:val="00C55E6A"/>
    <w:rsid w:val="00C55EEE"/>
    <w:rsid w:val="00C55EF8"/>
    <w:rsid w:val="00C55F8A"/>
    <w:rsid w:val="00C56446"/>
    <w:rsid w:val="00C5691D"/>
    <w:rsid w:val="00C56A06"/>
    <w:rsid w:val="00C56DCE"/>
    <w:rsid w:val="00C56E07"/>
    <w:rsid w:val="00C57098"/>
    <w:rsid w:val="00C574D0"/>
    <w:rsid w:val="00C575FA"/>
    <w:rsid w:val="00C578FE"/>
    <w:rsid w:val="00C57CC3"/>
    <w:rsid w:val="00C57FF6"/>
    <w:rsid w:val="00C602D0"/>
    <w:rsid w:val="00C603A8"/>
    <w:rsid w:val="00C6067A"/>
    <w:rsid w:val="00C60779"/>
    <w:rsid w:val="00C60863"/>
    <w:rsid w:val="00C60983"/>
    <w:rsid w:val="00C60ED2"/>
    <w:rsid w:val="00C61054"/>
    <w:rsid w:val="00C611EC"/>
    <w:rsid w:val="00C61A70"/>
    <w:rsid w:val="00C61B85"/>
    <w:rsid w:val="00C62105"/>
    <w:rsid w:val="00C6217D"/>
    <w:rsid w:val="00C621A9"/>
    <w:rsid w:val="00C621DC"/>
    <w:rsid w:val="00C62477"/>
    <w:rsid w:val="00C6285D"/>
    <w:rsid w:val="00C62865"/>
    <w:rsid w:val="00C62E42"/>
    <w:rsid w:val="00C635EF"/>
    <w:rsid w:val="00C6361E"/>
    <w:rsid w:val="00C636F4"/>
    <w:rsid w:val="00C639E3"/>
    <w:rsid w:val="00C63C2C"/>
    <w:rsid w:val="00C63D51"/>
    <w:rsid w:val="00C640E3"/>
    <w:rsid w:val="00C64220"/>
    <w:rsid w:val="00C642AA"/>
    <w:rsid w:val="00C64402"/>
    <w:rsid w:val="00C64475"/>
    <w:rsid w:val="00C644C8"/>
    <w:rsid w:val="00C64685"/>
    <w:rsid w:val="00C64C82"/>
    <w:rsid w:val="00C64CD4"/>
    <w:rsid w:val="00C653D6"/>
    <w:rsid w:val="00C65594"/>
    <w:rsid w:val="00C65636"/>
    <w:rsid w:val="00C65644"/>
    <w:rsid w:val="00C65802"/>
    <w:rsid w:val="00C65C18"/>
    <w:rsid w:val="00C660AE"/>
    <w:rsid w:val="00C661E7"/>
    <w:rsid w:val="00C66363"/>
    <w:rsid w:val="00C66769"/>
    <w:rsid w:val="00C66839"/>
    <w:rsid w:val="00C668D4"/>
    <w:rsid w:val="00C6720B"/>
    <w:rsid w:val="00C67462"/>
    <w:rsid w:val="00C67559"/>
    <w:rsid w:val="00C67780"/>
    <w:rsid w:val="00C67871"/>
    <w:rsid w:val="00C67A91"/>
    <w:rsid w:val="00C67B0D"/>
    <w:rsid w:val="00C67E83"/>
    <w:rsid w:val="00C704ED"/>
    <w:rsid w:val="00C70563"/>
    <w:rsid w:val="00C70775"/>
    <w:rsid w:val="00C70B3D"/>
    <w:rsid w:val="00C70B46"/>
    <w:rsid w:val="00C70F49"/>
    <w:rsid w:val="00C70FF9"/>
    <w:rsid w:val="00C710E9"/>
    <w:rsid w:val="00C71292"/>
    <w:rsid w:val="00C7138D"/>
    <w:rsid w:val="00C71484"/>
    <w:rsid w:val="00C715B7"/>
    <w:rsid w:val="00C71653"/>
    <w:rsid w:val="00C716CA"/>
    <w:rsid w:val="00C71874"/>
    <w:rsid w:val="00C71CB8"/>
    <w:rsid w:val="00C71D6C"/>
    <w:rsid w:val="00C71E6B"/>
    <w:rsid w:val="00C71EE8"/>
    <w:rsid w:val="00C72305"/>
    <w:rsid w:val="00C727CB"/>
    <w:rsid w:val="00C72890"/>
    <w:rsid w:val="00C72B5C"/>
    <w:rsid w:val="00C72B86"/>
    <w:rsid w:val="00C72C17"/>
    <w:rsid w:val="00C72FDB"/>
    <w:rsid w:val="00C7341F"/>
    <w:rsid w:val="00C735A7"/>
    <w:rsid w:val="00C73C18"/>
    <w:rsid w:val="00C73E4E"/>
    <w:rsid w:val="00C73E91"/>
    <w:rsid w:val="00C73EC8"/>
    <w:rsid w:val="00C74080"/>
    <w:rsid w:val="00C7410E"/>
    <w:rsid w:val="00C74605"/>
    <w:rsid w:val="00C747F6"/>
    <w:rsid w:val="00C74CAE"/>
    <w:rsid w:val="00C74DE0"/>
    <w:rsid w:val="00C751E6"/>
    <w:rsid w:val="00C752F7"/>
    <w:rsid w:val="00C75455"/>
    <w:rsid w:val="00C75526"/>
    <w:rsid w:val="00C75622"/>
    <w:rsid w:val="00C75717"/>
    <w:rsid w:val="00C75A4E"/>
    <w:rsid w:val="00C76865"/>
    <w:rsid w:val="00C769ED"/>
    <w:rsid w:val="00C76B08"/>
    <w:rsid w:val="00C76C04"/>
    <w:rsid w:val="00C76C61"/>
    <w:rsid w:val="00C76EEC"/>
    <w:rsid w:val="00C76F9F"/>
    <w:rsid w:val="00C76FAC"/>
    <w:rsid w:val="00C77019"/>
    <w:rsid w:val="00C7761A"/>
    <w:rsid w:val="00C7790C"/>
    <w:rsid w:val="00C80070"/>
    <w:rsid w:val="00C8014A"/>
    <w:rsid w:val="00C802CE"/>
    <w:rsid w:val="00C80471"/>
    <w:rsid w:val="00C80750"/>
    <w:rsid w:val="00C80AC4"/>
    <w:rsid w:val="00C80B3C"/>
    <w:rsid w:val="00C80C47"/>
    <w:rsid w:val="00C80F0B"/>
    <w:rsid w:val="00C80F70"/>
    <w:rsid w:val="00C8126D"/>
    <w:rsid w:val="00C81421"/>
    <w:rsid w:val="00C816A3"/>
    <w:rsid w:val="00C81916"/>
    <w:rsid w:val="00C81942"/>
    <w:rsid w:val="00C819BD"/>
    <w:rsid w:val="00C81F75"/>
    <w:rsid w:val="00C823B1"/>
    <w:rsid w:val="00C82838"/>
    <w:rsid w:val="00C8283C"/>
    <w:rsid w:val="00C82889"/>
    <w:rsid w:val="00C82D80"/>
    <w:rsid w:val="00C82E58"/>
    <w:rsid w:val="00C83765"/>
    <w:rsid w:val="00C837EE"/>
    <w:rsid w:val="00C83C6D"/>
    <w:rsid w:val="00C83D11"/>
    <w:rsid w:val="00C84204"/>
    <w:rsid w:val="00C8461D"/>
    <w:rsid w:val="00C848DC"/>
    <w:rsid w:val="00C84903"/>
    <w:rsid w:val="00C85384"/>
    <w:rsid w:val="00C8566F"/>
    <w:rsid w:val="00C859AE"/>
    <w:rsid w:val="00C8603E"/>
    <w:rsid w:val="00C86307"/>
    <w:rsid w:val="00C863B2"/>
    <w:rsid w:val="00C863C8"/>
    <w:rsid w:val="00C86692"/>
    <w:rsid w:val="00C868EF"/>
    <w:rsid w:val="00C869AF"/>
    <w:rsid w:val="00C86D40"/>
    <w:rsid w:val="00C86DD4"/>
    <w:rsid w:val="00C86F45"/>
    <w:rsid w:val="00C87445"/>
    <w:rsid w:val="00C874FD"/>
    <w:rsid w:val="00C87A96"/>
    <w:rsid w:val="00C87AE0"/>
    <w:rsid w:val="00C87BBA"/>
    <w:rsid w:val="00C87C43"/>
    <w:rsid w:val="00C87E29"/>
    <w:rsid w:val="00C87EFC"/>
    <w:rsid w:val="00C90048"/>
    <w:rsid w:val="00C9013D"/>
    <w:rsid w:val="00C90214"/>
    <w:rsid w:val="00C9021B"/>
    <w:rsid w:val="00C9049F"/>
    <w:rsid w:val="00C905BF"/>
    <w:rsid w:val="00C9080E"/>
    <w:rsid w:val="00C90B2D"/>
    <w:rsid w:val="00C90CDC"/>
    <w:rsid w:val="00C91BD1"/>
    <w:rsid w:val="00C91E7A"/>
    <w:rsid w:val="00C91F46"/>
    <w:rsid w:val="00C91F58"/>
    <w:rsid w:val="00C9207D"/>
    <w:rsid w:val="00C921DE"/>
    <w:rsid w:val="00C922BA"/>
    <w:rsid w:val="00C9254F"/>
    <w:rsid w:val="00C9273E"/>
    <w:rsid w:val="00C92C5B"/>
    <w:rsid w:val="00C92C6C"/>
    <w:rsid w:val="00C92C9B"/>
    <w:rsid w:val="00C93594"/>
    <w:rsid w:val="00C93642"/>
    <w:rsid w:val="00C936FB"/>
    <w:rsid w:val="00C9370D"/>
    <w:rsid w:val="00C937D7"/>
    <w:rsid w:val="00C93B0E"/>
    <w:rsid w:val="00C93B67"/>
    <w:rsid w:val="00C93C3F"/>
    <w:rsid w:val="00C94038"/>
    <w:rsid w:val="00C940B0"/>
    <w:rsid w:val="00C94157"/>
    <w:rsid w:val="00C94CF1"/>
    <w:rsid w:val="00C95106"/>
    <w:rsid w:val="00C95239"/>
    <w:rsid w:val="00C95565"/>
    <w:rsid w:val="00C95811"/>
    <w:rsid w:val="00C95AEB"/>
    <w:rsid w:val="00C95F4C"/>
    <w:rsid w:val="00C961EE"/>
    <w:rsid w:val="00C96253"/>
    <w:rsid w:val="00C9642C"/>
    <w:rsid w:val="00C964FA"/>
    <w:rsid w:val="00C966B1"/>
    <w:rsid w:val="00C96ABE"/>
    <w:rsid w:val="00C96BF3"/>
    <w:rsid w:val="00C96DB0"/>
    <w:rsid w:val="00C96FD3"/>
    <w:rsid w:val="00C96FF2"/>
    <w:rsid w:val="00C972E0"/>
    <w:rsid w:val="00C97303"/>
    <w:rsid w:val="00C97438"/>
    <w:rsid w:val="00C97459"/>
    <w:rsid w:val="00C979C4"/>
    <w:rsid w:val="00C979D0"/>
    <w:rsid w:val="00C97A11"/>
    <w:rsid w:val="00C97C79"/>
    <w:rsid w:val="00CA0732"/>
    <w:rsid w:val="00CA0BB8"/>
    <w:rsid w:val="00CA1253"/>
    <w:rsid w:val="00CA1264"/>
    <w:rsid w:val="00CA1D8F"/>
    <w:rsid w:val="00CA229A"/>
    <w:rsid w:val="00CA24E2"/>
    <w:rsid w:val="00CA2694"/>
    <w:rsid w:val="00CA2794"/>
    <w:rsid w:val="00CA28EA"/>
    <w:rsid w:val="00CA2AE8"/>
    <w:rsid w:val="00CA35AB"/>
    <w:rsid w:val="00CA3640"/>
    <w:rsid w:val="00CA3893"/>
    <w:rsid w:val="00CA3A8A"/>
    <w:rsid w:val="00CA3BA2"/>
    <w:rsid w:val="00CA3E17"/>
    <w:rsid w:val="00CA3FF5"/>
    <w:rsid w:val="00CA410E"/>
    <w:rsid w:val="00CA447E"/>
    <w:rsid w:val="00CA47BE"/>
    <w:rsid w:val="00CA47F5"/>
    <w:rsid w:val="00CA4829"/>
    <w:rsid w:val="00CA48F8"/>
    <w:rsid w:val="00CA4C54"/>
    <w:rsid w:val="00CA4CF5"/>
    <w:rsid w:val="00CA4D21"/>
    <w:rsid w:val="00CA4E7F"/>
    <w:rsid w:val="00CA4FAC"/>
    <w:rsid w:val="00CA50DE"/>
    <w:rsid w:val="00CA55BF"/>
    <w:rsid w:val="00CA5607"/>
    <w:rsid w:val="00CA5727"/>
    <w:rsid w:val="00CA5845"/>
    <w:rsid w:val="00CA58DF"/>
    <w:rsid w:val="00CA5ADE"/>
    <w:rsid w:val="00CA5C8B"/>
    <w:rsid w:val="00CA5DEB"/>
    <w:rsid w:val="00CA5FEB"/>
    <w:rsid w:val="00CA60D2"/>
    <w:rsid w:val="00CA6184"/>
    <w:rsid w:val="00CA656B"/>
    <w:rsid w:val="00CA65FD"/>
    <w:rsid w:val="00CA6A53"/>
    <w:rsid w:val="00CA74E4"/>
    <w:rsid w:val="00CA77B2"/>
    <w:rsid w:val="00CA7C59"/>
    <w:rsid w:val="00CA7CF0"/>
    <w:rsid w:val="00CA7EA5"/>
    <w:rsid w:val="00CB03E6"/>
    <w:rsid w:val="00CB0C49"/>
    <w:rsid w:val="00CB0CA1"/>
    <w:rsid w:val="00CB0CDF"/>
    <w:rsid w:val="00CB0E40"/>
    <w:rsid w:val="00CB0FE7"/>
    <w:rsid w:val="00CB10CA"/>
    <w:rsid w:val="00CB1515"/>
    <w:rsid w:val="00CB1ACB"/>
    <w:rsid w:val="00CB1DDE"/>
    <w:rsid w:val="00CB2094"/>
    <w:rsid w:val="00CB254B"/>
    <w:rsid w:val="00CB264D"/>
    <w:rsid w:val="00CB27FD"/>
    <w:rsid w:val="00CB2C23"/>
    <w:rsid w:val="00CB342B"/>
    <w:rsid w:val="00CB35A9"/>
    <w:rsid w:val="00CB35B9"/>
    <w:rsid w:val="00CB3D47"/>
    <w:rsid w:val="00CB41F6"/>
    <w:rsid w:val="00CB496F"/>
    <w:rsid w:val="00CB511E"/>
    <w:rsid w:val="00CB5223"/>
    <w:rsid w:val="00CB528D"/>
    <w:rsid w:val="00CB5457"/>
    <w:rsid w:val="00CB5D38"/>
    <w:rsid w:val="00CB635C"/>
    <w:rsid w:val="00CB63F2"/>
    <w:rsid w:val="00CB6541"/>
    <w:rsid w:val="00CB65A2"/>
    <w:rsid w:val="00CB6795"/>
    <w:rsid w:val="00CB6813"/>
    <w:rsid w:val="00CB6FBB"/>
    <w:rsid w:val="00CB709B"/>
    <w:rsid w:val="00CB7321"/>
    <w:rsid w:val="00CB7C4E"/>
    <w:rsid w:val="00CB7E0A"/>
    <w:rsid w:val="00CC00A9"/>
    <w:rsid w:val="00CC0273"/>
    <w:rsid w:val="00CC02E1"/>
    <w:rsid w:val="00CC0397"/>
    <w:rsid w:val="00CC0F68"/>
    <w:rsid w:val="00CC0F9B"/>
    <w:rsid w:val="00CC1389"/>
    <w:rsid w:val="00CC1791"/>
    <w:rsid w:val="00CC17AF"/>
    <w:rsid w:val="00CC19DD"/>
    <w:rsid w:val="00CC25A7"/>
    <w:rsid w:val="00CC2685"/>
    <w:rsid w:val="00CC275B"/>
    <w:rsid w:val="00CC2871"/>
    <w:rsid w:val="00CC2BC7"/>
    <w:rsid w:val="00CC2C6F"/>
    <w:rsid w:val="00CC2FF6"/>
    <w:rsid w:val="00CC3027"/>
    <w:rsid w:val="00CC3169"/>
    <w:rsid w:val="00CC322B"/>
    <w:rsid w:val="00CC34B7"/>
    <w:rsid w:val="00CC36AB"/>
    <w:rsid w:val="00CC387D"/>
    <w:rsid w:val="00CC390D"/>
    <w:rsid w:val="00CC403D"/>
    <w:rsid w:val="00CC4125"/>
    <w:rsid w:val="00CC421B"/>
    <w:rsid w:val="00CC48E8"/>
    <w:rsid w:val="00CC4909"/>
    <w:rsid w:val="00CC4B22"/>
    <w:rsid w:val="00CC4B85"/>
    <w:rsid w:val="00CC4BB3"/>
    <w:rsid w:val="00CC4C16"/>
    <w:rsid w:val="00CC4D12"/>
    <w:rsid w:val="00CC4EB8"/>
    <w:rsid w:val="00CC5078"/>
    <w:rsid w:val="00CC5157"/>
    <w:rsid w:val="00CC51EC"/>
    <w:rsid w:val="00CC574C"/>
    <w:rsid w:val="00CC57BB"/>
    <w:rsid w:val="00CC5EC4"/>
    <w:rsid w:val="00CC5EF0"/>
    <w:rsid w:val="00CC6CFE"/>
    <w:rsid w:val="00CC71D5"/>
    <w:rsid w:val="00CC72F7"/>
    <w:rsid w:val="00CC76E5"/>
    <w:rsid w:val="00CC76FF"/>
    <w:rsid w:val="00CC7952"/>
    <w:rsid w:val="00CC7C06"/>
    <w:rsid w:val="00CC7CE1"/>
    <w:rsid w:val="00CC7D28"/>
    <w:rsid w:val="00CC7DA8"/>
    <w:rsid w:val="00CD0098"/>
    <w:rsid w:val="00CD019E"/>
    <w:rsid w:val="00CD0590"/>
    <w:rsid w:val="00CD0952"/>
    <w:rsid w:val="00CD0A68"/>
    <w:rsid w:val="00CD0BB1"/>
    <w:rsid w:val="00CD0FE8"/>
    <w:rsid w:val="00CD111F"/>
    <w:rsid w:val="00CD11D4"/>
    <w:rsid w:val="00CD144E"/>
    <w:rsid w:val="00CD16B4"/>
    <w:rsid w:val="00CD1820"/>
    <w:rsid w:val="00CD1999"/>
    <w:rsid w:val="00CD1BC6"/>
    <w:rsid w:val="00CD1FB8"/>
    <w:rsid w:val="00CD253A"/>
    <w:rsid w:val="00CD2622"/>
    <w:rsid w:val="00CD274E"/>
    <w:rsid w:val="00CD27EE"/>
    <w:rsid w:val="00CD27FF"/>
    <w:rsid w:val="00CD2816"/>
    <w:rsid w:val="00CD295F"/>
    <w:rsid w:val="00CD2D02"/>
    <w:rsid w:val="00CD2F4F"/>
    <w:rsid w:val="00CD2FE2"/>
    <w:rsid w:val="00CD3106"/>
    <w:rsid w:val="00CD32B1"/>
    <w:rsid w:val="00CD32D7"/>
    <w:rsid w:val="00CD365A"/>
    <w:rsid w:val="00CD36FA"/>
    <w:rsid w:val="00CD3745"/>
    <w:rsid w:val="00CD3C11"/>
    <w:rsid w:val="00CD3C35"/>
    <w:rsid w:val="00CD3CB0"/>
    <w:rsid w:val="00CD4337"/>
    <w:rsid w:val="00CD4350"/>
    <w:rsid w:val="00CD469D"/>
    <w:rsid w:val="00CD46B0"/>
    <w:rsid w:val="00CD4C2D"/>
    <w:rsid w:val="00CD53B0"/>
    <w:rsid w:val="00CD55C5"/>
    <w:rsid w:val="00CD5621"/>
    <w:rsid w:val="00CD584B"/>
    <w:rsid w:val="00CD5A27"/>
    <w:rsid w:val="00CD644B"/>
    <w:rsid w:val="00CD6B45"/>
    <w:rsid w:val="00CD6EEA"/>
    <w:rsid w:val="00CD711C"/>
    <w:rsid w:val="00CD7232"/>
    <w:rsid w:val="00CD7331"/>
    <w:rsid w:val="00CD7F2B"/>
    <w:rsid w:val="00CD7F5B"/>
    <w:rsid w:val="00CE03AC"/>
    <w:rsid w:val="00CE03AF"/>
    <w:rsid w:val="00CE03F5"/>
    <w:rsid w:val="00CE0AE0"/>
    <w:rsid w:val="00CE0CCF"/>
    <w:rsid w:val="00CE10BD"/>
    <w:rsid w:val="00CE1A24"/>
    <w:rsid w:val="00CE1BF4"/>
    <w:rsid w:val="00CE1CA3"/>
    <w:rsid w:val="00CE1F17"/>
    <w:rsid w:val="00CE1F9C"/>
    <w:rsid w:val="00CE2449"/>
    <w:rsid w:val="00CE2633"/>
    <w:rsid w:val="00CE26B0"/>
    <w:rsid w:val="00CE27CB"/>
    <w:rsid w:val="00CE2E94"/>
    <w:rsid w:val="00CE2F48"/>
    <w:rsid w:val="00CE3134"/>
    <w:rsid w:val="00CE32E9"/>
    <w:rsid w:val="00CE3825"/>
    <w:rsid w:val="00CE3B0B"/>
    <w:rsid w:val="00CE3CE3"/>
    <w:rsid w:val="00CE3DDF"/>
    <w:rsid w:val="00CE41FE"/>
    <w:rsid w:val="00CE4BAD"/>
    <w:rsid w:val="00CE4CE8"/>
    <w:rsid w:val="00CE4DC8"/>
    <w:rsid w:val="00CE4F1F"/>
    <w:rsid w:val="00CE5220"/>
    <w:rsid w:val="00CE5347"/>
    <w:rsid w:val="00CE5750"/>
    <w:rsid w:val="00CE5A8A"/>
    <w:rsid w:val="00CE641E"/>
    <w:rsid w:val="00CE6ABB"/>
    <w:rsid w:val="00CE6CA8"/>
    <w:rsid w:val="00CE6D4A"/>
    <w:rsid w:val="00CE6E3A"/>
    <w:rsid w:val="00CE6E92"/>
    <w:rsid w:val="00CE7033"/>
    <w:rsid w:val="00CE730E"/>
    <w:rsid w:val="00CE75BD"/>
    <w:rsid w:val="00CE763A"/>
    <w:rsid w:val="00CE77D1"/>
    <w:rsid w:val="00CE78B1"/>
    <w:rsid w:val="00CE7B53"/>
    <w:rsid w:val="00CE7F13"/>
    <w:rsid w:val="00CF0051"/>
    <w:rsid w:val="00CF061B"/>
    <w:rsid w:val="00CF067C"/>
    <w:rsid w:val="00CF0732"/>
    <w:rsid w:val="00CF077D"/>
    <w:rsid w:val="00CF0797"/>
    <w:rsid w:val="00CF07ED"/>
    <w:rsid w:val="00CF09D4"/>
    <w:rsid w:val="00CF09E8"/>
    <w:rsid w:val="00CF0A46"/>
    <w:rsid w:val="00CF122E"/>
    <w:rsid w:val="00CF134C"/>
    <w:rsid w:val="00CF1478"/>
    <w:rsid w:val="00CF1A57"/>
    <w:rsid w:val="00CF2241"/>
    <w:rsid w:val="00CF26BF"/>
    <w:rsid w:val="00CF2E59"/>
    <w:rsid w:val="00CF2EB1"/>
    <w:rsid w:val="00CF3094"/>
    <w:rsid w:val="00CF3175"/>
    <w:rsid w:val="00CF3288"/>
    <w:rsid w:val="00CF328C"/>
    <w:rsid w:val="00CF33A8"/>
    <w:rsid w:val="00CF33DD"/>
    <w:rsid w:val="00CF33F1"/>
    <w:rsid w:val="00CF3993"/>
    <w:rsid w:val="00CF3AE3"/>
    <w:rsid w:val="00CF3E90"/>
    <w:rsid w:val="00CF3FB2"/>
    <w:rsid w:val="00CF44BA"/>
    <w:rsid w:val="00CF44EE"/>
    <w:rsid w:val="00CF47B3"/>
    <w:rsid w:val="00CF4996"/>
    <w:rsid w:val="00CF49C0"/>
    <w:rsid w:val="00CF4B7E"/>
    <w:rsid w:val="00CF4DFE"/>
    <w:rsid w:val="00CF5549"/>
    <w:rsid w:val="00CF561F"/>
    <w:rsid w:val="00CF58AB"/>
    <w:rsid w:val="00CF5C07"/>
    <w:rsid w:val="00CF5C9F"/>
    <w:rsid w:val="00CF5DB3"/>
    <w:rsid w:val="00CF615C"/>
    <w:rsid w:val="00CF6549"/>
    <w:rsid w:val="00CF66A7"/>
    <w:rsid w:val="00CF67E7"/>
    <w:rsid w:val="00CF68C9"/>
    <w:rsid w:val="00CF6F62"/>
    <w:rsid w:val="00CF71D3"/>
    <w:rsid w:val="00CF7665"/>
    <w:rsid w:val="00CF7E72"/>
    <w:rsid w:val="00D001EA"/>
    <w:rsid w:val="00D00261"/>
    <w:rsid w:val="00D004BE"/>
    <w:rsid w:val="00D00691"/>
    <w:rsid w:val="00D00852"/>
    <w:rsid w:val="00D009F6"/>
    <w:rsid w:val="00D00A3E"/>
    <w:rsid w:val="00D00CA0"/>
    <w:rsid w:val="00D00DBC"/>
    <w:rsid w:val="00D013F5"/>
    <w:rsid w:val="00D0156B"/>
    <w:rsid w:val="00D01604"/>
    <w:rsid w:val="00D01671"/>
    <w:rsid w:val="00D018FC"/>
    <w:rsid w:val="00D021FC"/>
    <w:rsid w:val="00D022A5"/>
    <w:rsid w:val="00D02675"/>
    <w:rsid w:val="00D028A6"/>
    <w:rsid w:val="00D03510"/>
    <w:rsid w:val="00D03586"/>
    <w:rsid w:val="00D035ED"/>
    <w:rsid w:val="00D03B28"/>
    <w:rsid w:val="00D03CC6"/>
    <w:rsid w:val="00D046E0"/>
    <w:rsid w:val="00D04A3E"/>
    <w:rsid w:val="00D04C5C"/>
    <w:rsid w:val="00D04E55"/>
    <w:rsid w:val="00D04E73"/>
    <w:rsid w:val="00D0505B"/>
    <w:rsid w:val="00D05726"/>
    <w:rsid w:val="00D05767"/>
    <w:rsid w:val="00D05B9A"/>
    <w:rsid w:val="00D05E6A"/>
    <w:rsid w:val="00D060CB"/>
    <w:rsid w:val="00D0615A"/>
    <w:rsid w:val="00D06193"/>
    <w:rsid w:val="00D061FC"/>
    <w:rsid w:val="00D06278"/>
    <w:rsid w:val="00D06340"/>
    <w:rsid w:val="00D06493"/>
    <w:rsid w:val="00D06671"/>
    <w:rsid w:val="00D066F5"/>
    <w:rsid w:val="00D06959"/>
    <w:rsid w:val="00D06E56"/>
    <w:rsid w:val="00D072DA"/>
    <w:rsid w:val="00D073B8"/>
    <w:rsid w:val="00D075C6"/>
    <w:rsid w:val="00D077FA"/>
    <w:rsid w:val="00D07897"/>
    <w:rsid w:val="00D078E7"/>
    <w:rsid w:val="00D07AC4"/>
    <w:rsid w:val="00D07BD2"/>
    <w:rsid w:val="00D07C7F"/>
    <w:rsid w:val="00D07E2E"/>
    <w:rsid w:val="00D10065"/>
    <w:rsid w:val="00D100B6"/>
    <w:rsid w:val="00D10AF6"/>
    <w:rsid w:val="00D10F3B"/>
    <w:rsid w:val="00D10F98"/>
    <w:rsid w:val="00D111F7"/>
    <w:rsid w:val="00D1136F"/>
    <w:rsid w:val="00D12083"/>
    <w:rsid w:val="00D12264"/>
    <w:rsid w:val="00D1244C"/>
    <w:rsid w:val="00D12953"/>
    <w:rsid w:val="00D12974"/>
    <w:rsid w:val="00D132E6"/>
    <w:rsid w:val="00D13403"/>
    <w:rsid w:val="00D1361F"/>
    <w:rsid w:val="00D13883"/>
    <w:rsid w:val="00D13983"/>
    <w:rsid w:val="00D13A01"/>
    <w:rsid w:val="00D13BA3"/>
    <w:rsid w:val="00D14096"/>
    <w:rsid w:val="00D140F5"/>
    <w:rsid w:val="00D1417A"/>
    <w:rsid w:val="00D142CD"/>
    <w:rsid w:val="00D143BF"/>
    <w:rsid w:val="00D1445D"/>
    <w:rsid w:val="00D1461D"/>
    <w:rsid w:val="00D14791"/>
    <w:rsid w:val="00D14855"/>
    <w:rsid w:val="00D14E8F"/>
    <w:rsid w:val="00D14FB1"/>
    <w:rsid w:val="00D14FB8"/>
    <w:rsid w:val="00D14FB9"/>
    <w:rsid w:val="00D153CC"/>
    <w:rsid w:val="00D1561D"/>
    <w:rsid w:val="00D1567F"/>
    <w:rsid w:val="00D156D3"/>
    <w:rsid w:val="00D1595B"/>
    <w:rsid w:val="00D15A03"/>
    <w:rsid w:val="00D15B74"/>
    <w:rsid w:val="00D160B5"/>
    <w:rsid w:val="00D16E54"/>
    <w:rsid w:val="00D17045"/>
    <w:rsid w:val="00D17146"/>
    <w:rsid w:val="00D17993"/>
    <w:rsid w:val="00D179F2"/>
    <w:rsid w:val="00D17CD6"/>
    <w:rsid w:val="00D20582"/>
    <w:rsid w:val="00D20F67"/>
    <w:rsid w:val="00D20F77"/>
    <w:rsid w:val="00D20FC9"/>
    <w:rsid w:val="00D213E9"/>
    <w:rsid w:val="00D21725"/>
    <w:rsid w:val="00D21AAE"/>
    <w:rsid w:val="00D21C99"/>
    <w:rsid w:val="00D21FD8"/>
    <w:rsid w:val="00D2248D"/>
    <w:rsid w:val="00D229A6"/>
    <w:rsid w:val="00D22C52"/>
    <w:rsid w:val="00D22FDA"/>
    <w:rsid w:val="00D23023"/>
    <w:rsid w:val="00D23149"/>
    <w:rsid w:val="00D231E8"/>
    <w:rsid w:val="00D23956"/>
    <w:rsid w:val="00D23A75"/>
    <w:rsid w:val="00D23DF8"/>
    <w:rsid w:val="00D23E6B"/>
    <w:rsid w:val="00D23ED6"/>
    <w:rsid w:val="00D24285"/>
    <w:rsid w:val="00D2476A"/>
    <w:rsid w:val="00D247C6"/>
    <w:rsid w:val="00D24CCF"/>
    <w:rsid w:val="00D2526B"/>
    <w:rsid w:val="00D25465"/>
    <w:rsid w:val="00D255C1"/>
    <w:rsid w:val="00D2577C"/>
    <w:rsid w:val="00D25860"/>
    <w:rsid w:val="00D25EEE"/>
    <w:rsid w:val="00D264B2"/>
    <w:rsid w:val="00D264C0"/>
    <w:rsid w:val="00D2659D"/>
    <w:rsid w:val="00D26C2F"/>
    <w:rsid w:val="00D26D7E"/>
    <w:rsid w:val="00D26D87"/>
    <w:rsid w:val="00D26E3A"/>
    <w:rsid w:val="00D26FC6"/>
    <w:rsid w:val="00D277E1"/>
    <w:rsid w:val="00D27916"/>
    <w:rsid w:val="00D27B7E"/>
    <w:rsid w:val="00D27B9C"/>
    <w:rsid w:val="00D303DD"/>
    <w:rsid w:val="00D30751"/>
    <w:rsid w:val="00D30CDD"/>
    <w:rsid w:val="00D30E55"/>
    <w:rsid w:val="00D30E72"/>
    <w:rsid w:val="00D30E78"/>
    <w:rsid w:val="00D313DA"/>
    <w:rsid w:val="00D315EB"/>
    <w:rsid w:val="00D3196A"/>
    <w:rsid w:val="00D31A6D"/>
    <w:rsid w:val="00D31EE1"/>
    <w:rsid w:val="00D3223D"/>
    <w:rsid w:val="00D32575"/>
    <w:rsid w:val="00D32689"/>
    <w:rsid w:val="00D32899"/>
    <w:rsid w:val="00D330E5"/>
    <w:rsid w:val="00D3385A"/>
    <w:rsid w:val="00D338D2"/>
    <w:rsid w:val="00D33A89"/>
    <w:rsid w:val="00D33B6C"/>
    <w:rsid w:val="00D33F75"/>
    <w:rsid w:val="00D34328"/>
    <w:rsid w:val="00D3454C"/>
    <w:rsid w:val="00D34655"/>
    <w:rsid w:val="00D347E9"/>
    <w:rsid w:val="00D34A4C"/>
    <w:rsid w:val="00D34B79"/>
    <w:rsid w:val="00D34E94"/>
    <w:rsid w:val="00D34FEF"/>
    <w:rsid w:val="00D351C7"/>
    <w:rsid w:val="00D35470"/>
    <w:rsid w:val="00D355E0"/>
    <w:rsid w:val="00D357E5"/>
    <w:rsid w:val="00D35B79"/>
    <w:rsid w:val="00D35E16"/>
    <w:rsid w:val="00D363A1"/>
    <w:rsid w:val="00D366B4"/>
    <w:rsid w:val="00D36C54"/>
    <w:rsid w:val="00D36EB9"/>
    <w:rsid w:val="00D36FA4"/>
    <w:rsid w:val="00D3713C"/>
    <w:rsid w:val="00D37AF6"/>
    <w:rsid w:val="00D37C05"/>
    <w:rsid w:val="00D37EC5"/>
    <w:rsid w:val="00D37F45"/>
    <w:rsid w:val="00D37F6B"/>
    <w:rsid w:val="00D40299"/>
    <w:rsid w:val="00D4043D"/>
    <w:rsid w:val="00D405C6"/>
    <w:rsid w:val="00D40D59"/>
    <w:rsid w:val="00D40F4B"/>
    <w:rsid w:val="00D4105E"/>
    <w:rsid w:val="00D41239"/>
    <w:rsid w:val="00D412B3"/>
    <w:rsid w:val="00D41410"/>
    <w:rsid w:val="00D4141A"/>
    <w:rsid w:val="00D4163B"/>
    <w:rsid w:val="00D416A1"/>
    <w:rsid w:val="00D41778"/>
    <w:rsid w:val="00D41E4A"/>
    <w:rsid w:val="00D42165"/>
    <w:rsid w:val="00D42E24"/>
    <w:rsid w:val="00D4345F"/>
    <w:rsid w:val="00D43A6C"/>
    <w:rsid w:val="00D43ABD"/>
    <w:rsid w:val="00D43B5B"/>
    <w:rsid w:val="00D43B6C"/>
    <w:rsid w:val="00D43C01"/>
    <w:rsid w:val="00D43DF6"/>
    <w:rsid w:val="00D4409C"/>
    <w:rsid w:val="00D442C7"/>
    <w:rsid w:val="00D44A44"/>
    <w:rsid w:val="00D44C2D"/>
    <w:rsid w:val="00D453A6"/>
    <w:rsid w:val="00D45444"/>
    <w:rsid w:val="00D454FB"/>
    <w:rsid w:val="00D45646"/>
    <w:rsid w:val="00D45838"/>
    <w:rsid w:val="00D4591F"/>
    <w:rsid w:val="00D45AA3"/>
    <w:rsid w:val="00D45D14"/>
    <w:rsid w:val="00D460A2"/>
    <w:rsid w:val="00D46107"/>
    <w:rsid w:val="00D4686D"/>
    <w:rsid w:val="00D4698E"/>
    <w:rsid w:val="00D46BE5"/>
    <w:rsid w:val="00D46C1C"/>
    <w:rsid w:val="00D47588"/>
    <w:rsid w:val="00D4759C"/>
    <w:rsid w:val="00D475F2"/>
    <w:rsid w:val="00D476F1"/>
    <w:rsid w:val="00D47738"/>
    <w:rsid w:val="00D47895"/>
    <w:rsid w:val="00D478C6"/>
    <w:rsid w:val="00D47B32"/>
    <w:rsid w:val="00D47BAB"/>
    <w:rsid w:val="00D50021"/>
    <w:rsid w:val="00D502DA"/>
    <w:rsid w:val="00D50854"/>
    <w:rsid w:val="00D50899"/>
    <w:rsid w:val="00D50B2E"/>
    <w:rsid w:val="00D50BD8"/>
    <w:rsid w:val="00D50C42"/>
    <w:rsid w:val="00D51133"/>
    <w:rsid w:val="00D5170C"/>
    <w:rsid w:val="00D51E94"/>
    <w:rsid w:val="00D51ED3"/>
    <w:rsid w:val="00D52369"/>
    <w:rsid w:val="00D526A2"/>
    <w:rsid w:val="00D52A65"/>
    <w:rsid w:val="00D52CB6"/>
    <w:rsid w:val="00D52DD2"/>
    <w:rsid w:val="00D52F0A"/>
    <w:rsid w:val="00D5306F"/>
    <w:rsid w:val="00D53114"/>
    <w:rsid w:val="00D53976"/>
    <w:rsid w:val="00D53BBC"/>
    <w:rsid w:val="00D53F3F"/>
    <w:rsid w:val="00D5405D"/>
    <w:rsid w:val="00D54158"/>
    <w:rsid w:val="00D542A6"/>
    <w:rsid w:val="00D5431B"/>
    <w:rsid w:val="00D544F9"/>
    <w:rsid w:val="00D545B3"/>
    <w:rsid w:val="00D54B9E"/>
    <w:rsid w:val="00D550BE"/>
    <w:rsid w:val="00D5521B"/>
    <w:rsid w:val="00D5530D"/>
    <w:rsid w:val="00D562E7"/>
    <w:rsid w:val="00D56331"/>
    <w:rsid w:val="00D566E2"/>
    <w:rsid w:val="00D5688B"/>
    <w:rsid w:val="00D568FE"/>
    <w:rsid w:val="00D569EB"/>
    <w:rsid w:val="00D56BA8"/>
    <w:rsid w:val="00D56C37"/>
    <w:rsid w:val="00D56F30"/>
    <w:rsid w:val="00D5704E"/>
    <w:rsid w:val="00D571A5"/>
    <w:rsid w:val="00D579B6"/>
    <w:rsid w:val="00D579C8"/>
    <w:rsid w:val="00D57DC6"/>
    <w:rsid w:val="00D57F10"/>
    <w:rsid w:val="00D6036B"/>
    <w:rsid w:val="00D60606"/>
    <w:rsid w:val="00D6097A"/>
    <w:rsid w:val="00D60A74"/>
    <w:rsid w:val="00D60BDE"/>
    <w:rsid w:val="00D60DAA"/>
    <w:rsid w:val="00D60ECA"/>
    <w:rsid w:val="00D615C2"/>
    <w:rsid w:val="00D61679"/>
    <w:rsid w:val="00D61BC5"/>
    <w:rsid w:val="00D6234C"/>
    <w:rsid w:val="00D624BB"/>
    <w:rsid w:val="00D62794"/>
    <w:rsid w:val="00D62A79"/>
    <w:rsid w:val="00D63372"/>
    <w:rsid w:val="00D63855"/>
    <w:rsid w:val="00D63D53"/>
    <w:rsid w:val="00D63F13"/>
    <w:rsid w:val="00D63FAD"/>
    <w:rsid w:val="00D63FEA"/>
    <w:rsid w:val="00D641DA"/>
    <w:rsid w:val="00D642AC"/>
    <w:rsid w:val="00D6432C"/>
    <w:rsid w:val="00D6440D"/>
    <w:rsid w:val="00D6464B"/>
    <w:rsid w:val="00D64D4C"/>
    <w:rsid w:val="00D64E29"/>
    <w:rsid w:val="00D651DB"/>
    <w:rsid w:val="00D65678"/>
    <w:rsid w:val="00D6575D"/>
    <w:rsid w:val="00D65818"/>
    <w:rsid w:val="00D65DB5"/>
    <w:rsid w:val="00D6640D"/>
    <w:rsid w:val="00D6660D"/>
    <w:rsid w:val="00D66ABE"/>
    <w:rsid w:val="00D66BA8"/>
    <w:rsid w:val="00D66CA5"/>
    <w:rsid w:val="00D671EF"/>
    <w:rsid w:val="00D673DA"/>
    <w:rsid w:val="00D67549"/>
    <w:rsid w:val="00D6763B"/>
    <w:rsid w:val="00D676D9"/>
    <w:rsid w:val="00D67917"/>
    <w:rsid w:val="00D67993"/>
    <w:rsid w:val="00D67A1F"/>
    <w:rsid w:val="00D67CBA"/>
    <w:rsid w:val="00D67FCA"/>
    <w:rsid w:val="00D70046"/>
    <w:rsid w:val="00D7059D"/>
    <w:rsid w:val="00D70AC1"/>
    <w:rsid w:val="00D70C66"/>
    <w:rsid w:val="00D70CFE"/>
    <w:rsid w:val="00D70D36"/>
    <w:rsid w:val="00D70E17"/>
    <w:rsid w:val="00D71546"/>
    <w:rsid w:val="00D7186D"/>
    <w:rsid w:val="00D718F3"/>
    <w:rsid w:val="00D71A40"/>
    <w:rsid w:val="00D71AD3"/>
    <w:rsid w:val="00D72181"/>
    <w:rsid w:val="00D721D8"/>
    <w:rsid w:val="00D7272A"/>
    <w:rsid w:val="00D72920"/>
    <w:rsid w:val="00D72B94"/>
    <w:rsid w:val="00D731FD"/>
    <w:rsid w:val="00D7320B"/>
    <w:rsid w:val="00D7345B"/>
    <w:rsid w:val="00D737A0"/>
    <w:rsid w:val="00D7396F"/>
    <w:rsid w:val="00D73A02"/>
    <w:rsid w:val="00D74226"/>
    <w:rsid w:val="00D742F2"/>
    <w:rsid w:val="00D74613"/>
    <w:rsid w:val="00D74650"/>
    <w:rsid w:val="00D74E3A"/>
    <w:rsid w:val="00D7523E"/>
    <w:rsid w:val="00D75591"/>
    <w:rsid w:val="00D75B6F"/>
    <w:rsid w:val="00D75C0D"/>
    <w:rsid w:val="00D76132"/>
    <w:rsid w:val="00D7619A"/>
    <w:rsid w:val="00D762F9"/>
    <w:rsid w:val="00D763C3"/>
    <w:rsid w:val="00D7664D"/>
    <w:rsid w:val="00D7666C"/>
    <w:rsid w:val="00D769A1"/>
    <w:rsid w:val="00D76A33"/>
    <w:rsid w:val="00D771AE"/>
    <w:rsid w:val="00D77F6C"/>
    <w:rsid w:val="00D80018"/>
    <w:rsid w:val="00D80067"/>
    <w:rsid w:val="00D803A1"/>
    <w:rsid w:val="00D8054D"/>
    <w:rsid w:val="00D80835"/>
    <w:rsid w:val="00D80A18"/>
    <w:rsid w:val="00D80A99"/>
    <w:rsid w:val="00D80AA0"/>
    <w:rsid w:val="00D80B73"/>
    <w:rsid w:val="00D80D23"/>
    <w:rsid w:val="00D8127C"/>
    <w:rsid w:val="00D8147C"/>
    <w:rsid w:val="00D8175B"/>
    <w:rsid w:val="00D81AF1"/>
    <w:rsid w:val="00D81C6B"/>
    <w:rsid w:val="00D81E83"/>
    <w:rsid w:val="00D821F6"/>
    <w:rsid w:val="00D822BA"/>
    <w:rsid w:val="00D8281C"/>
    <w:rsid w:val="00D82AB4"/>
    <w:rsid w:val="00D82B42"/>
    <w:rsid w:val="00D82D31"/>
    <w:rsid w:val="00D82E00"/>
    <w:rsid w:val="00D82E4F"/>
    <w:rsid w:val="00D83245"/>
    <w:rsid w:val="00D83784"/>
    <w:rsid w:val="00D83C31"/>
    <w:rsid w:val="00D83D3B"/>
    <w:rsid w:val="00D843AB"/>
    <w:rsid w:val="00D843D7"/>
    <w:rsid w:val="00D84D1B"/>
    <w:rsid w:val="00D84D9E"/>
    <w:rsid w:val="00D84E4B"/>
    <w:rsid w:val="00D84F42"/>
    <w:rsid w:val="00D8501D"/>
    <w:rsid w:val="00D858B5"/>
    <w:rsid w:val="00D85CDB"/>
    <w:rsid w:val="00D85EDA"/>
    <w:rsid w:val="00D860CA"/>
    <w:rsid w:val="00D861A3"/>
    <w:rsid w:val="00D8633D"/>
    <w:rsid w:val="00D868B9"/>
    <w:rsid w:val="00D868E1"/>
    <w:rsid w:val="00D86ACD"/>
    <w:rsid w:val="00D86F1E"/>
    <w:rsid w:val="00D87064"/>
    <w:rsid w:val="00D870A8"/>
    <w:rsid w:val="00D8798B"/>
    <w:rsid w:val="00D900A0"/>
    <w:rsid w:val="00D90345"/>
    <w:rsid w:val="00D90362"/>
    <w:rsid w:val="00D90416"/>
    <w:rsid w:val="00D904C9"/>
    <w:rsid w:val="00D904CE"/>
    <w:rsid w:val="00D906AD"/>
    <w:rsid w:val="00D913BF"/>
    <w:rsid w:val="00D91567"/>
    <w:rsid w:val="00D91DAE"/>
    <w:rsid w:val="00D91F68"/>
    <w:rsid w:val="00D92864"/>
    <w:rsid w:val="00D929E7"/>
    <w:rsid w:val="00D92A31"/>
    <w:rsid w:val="00D92A4E"/>
    <w:rsid w:val="00D92DEE"/>
    <w:rsid w:val="00D93291"/>
    <w:rsid w:val="00D9397E"/>
    <w:rsid w:val="00D93C95"/>
    <w:rsid w:val="00D93F32"/>
    <w:rsid w:val="00D941F5"/>
    <w:rsid w:val="00D947A3"/>
    <w:rsid w:val="00D947A9"/>
    <w:rsid w:val="00D947FE"/>
    <w:rsid w:val="00D94C52"/>
    <w:rsid w:val="00D94D04"/>
    <w:rsid w:val="00D94DB3"/>
    <w:rsid w:val="00D94E62"/>
    <w:rsid w:val="00D94EC1"/>
    <w:rsid w:val="00D952D5"/>
    <w:rsid w:val="00D95781"/>
    <w:rsid w:val="00D95BB2"/>
    <w:rsid w:val="00D95EAF"/>
    <w:rsid w:val="00D96017"/>
    <w:rsid w:val="00D9607F"/>
    <w:rsid w:val="00D964D9"/>
    <w:rsid w:val="00D96656"/>
    <w:rsid w:val="00D96693"/>
    <w:rsid w:val="00D966F0"/>
    <w:rsid w:val="00D9672F"/>
    <w:rsid w:val="00D96C35"/>
    <w:rsid w:val="00D97078"/>
    <w:rsid w:val="00D9758B"/>
    <w:rsid w:val="00D97608"/>
    <w:rsid w:val="00D97827"/>
    <w:rsid w:val="00D97846"/>
    <w:rsid w:val="00D97A05"/>
    <w:rsid w:val="00D97D5E"/>
    <w:rsid w:val="00DA0101"/>
    <w:rsid w:val="00DA02D8"/>
    <w:rsid w:val="00DA0E44"/>
    <w:rsid w:val="00DA11BB"/>
    <w:rsid w:val="00DA11BF"/>
    <w:rsid w:val="00DA12E9"/>
    <w:rsid w:val="00DA133F"/>
    <w:rsid w:val="00DA140F"/>
    <w:rsid w:val="00DA151C"/>
    <w:rsid w:val="00DA1540"/>
    <w:rsid w:val="00DA161A"/>
    <w:rsid w:val="00DA17A9"/>
    <w:rsid w:val="00DA2234"/>
    <w:rsid w:val="00DA22D3"/>
    <w:rsid w:val="00DA2310"/>
    <w:rsid w:val="00DA2469"/>
    <w:rsid w:val="00DA27E5"/>
    <w:rsid w:val="00DA2B68"/>
    <w:rsid w:val="00DA2D3D"/>
    <w:rsid w:val="00DA2D60"/>
    <w:rsid w:val="00DA2F45"/>
    <w:rsid w:val="00DA3174"/>
    <w:rsid w:val="00DA340D"/>
    <w:rsid w:val="00DA350F"/>
    <w:rsid w:val="00DA396A"/>
    <w:rsid w:val="00DA396D"/>
    <w:rsid w:val="00DA4001"/>
    <w:rsid w:val="00DA4017"/>
    <w:rsid w:val="00DA41A1"/>
    <w:rsid w:val="00DA4642"/>
    <w:rsid w:val="00DA472F"/>
    <w:rsid w:val="00DA4813"/>
    <w:rsid w:val="00DA4867"/>
    <w:rsid w:val="00DA4AA3"/>
    <w:rsid w:val="00DA4D12"/>
    <w:rsid w:val="00DA4D1A"/>
    <w:rsid w:val="00DA5084"/>
    <w:rsid w:val="00DA52EF"/>
    <w:rsid w:val="00DA5732"/>
    <w:rsid w:val="00DA5747"/>
    <w:rsid w:val="00DA5A0B"/>
    <w:rsid w:val="00DA5B5D"/>
    <w:rsid w:val="00DA5B94"/>
    <w:rsid w:val="00DA5BF1"/>
    <w:rsid w:val="00DA5E0D"/>
    <w:rsid w:val="00DA5FE4"/>
    <w:rsid w:val="00DA6A05"/>
    <w:rsid w:val="00DA6CD0"/>
    <w:rsid w:val="00DA6D75"/>
    <w:rsid w:val="00DA6F39"/>
    <w:rsid w:val="00DA6F8A"/>
    <w:rsid w:val="00DA72DC"/>
    <w:rsid w:val="00DA7937"/>
    <w:rsid w:val="00DA7B4E"/>
    <w:rsid w:val="00DB0176"/>
    <w:rsid w:val="00DB02FA"/>
    <w:rsid w:val="00DB0356"/>
    <w:rsid w:val="00DB0E99"/>
    <w:rsid w:val="00DB10F3"/>
    <w:rsid w:val="00DB16ED"/>
    <w:rsid w:val="00DB1863"/>
    <w:rsid w:val="00DB1B1E"/>
    <w:rsid w:val="00DB1F9E"/>
    <w:rsid w:val="00DB1FFD"/>
    <w:rsid w:val="00DB21BC"/>
    <w:rsid w:val="00DB21DD"/>
    <w:rsid w:val="00DB2505"/>
    <w:rsid w:val="00DB292C"/>
    <w:rsid w:val="00DB2A2F"/>
    <w:rsid w:val="00DB2ADF"/>
    <w:rsid w:val="00DB2B25"/>
    <w:rsid w:val="00DB2C27"/>
    <w:rsid w:val="00DB2C90"/>
    <w:rsid w:val="00DB32F4"/>
    <w:rsid w:val="00DB347F"/>
    <w:rsid w:val="00DB3548"/>
    <w:rsid w:val="00DB3D40"/>
    <w:rsid w:val="00DB3DA0"/>
    <w:rsid w:val="00DB4327"/>
    <w:rsid w:val="00DB438E"/>
    <w:rsid w:val="00DB453B"/>
    <w:rsid w:val="00DB481B"/>
    <w:rsid w:val="00DB4924"/>
    <w:rsid w:val="00DB49B2"/>
    <w:rsid w:val="00DB4C09"/>
    <w:rsid w:val="00DB4D65"/>
    <w:rsid w:val="00DB4DF1"/>
    <w:rsid w:val="00DB4F89"/>
    <w:rsid w:val="00DB5150"/>
    <w:rsid w:val="00DB51D8"/>
    <w:rsid w:val="00DB51F4"/>
    <w:rsid w:val="00DB527D"/>
    <w:rsid w:val="00DB52C8"/>
    <w:rsid w:val="00DB5431"/>
    <w:rsid w:val="00DB579A"/>
    <w:rsid w:val="00DB5C76"/>
    <w:rsid w:val="00DB60C6"/>
    <w:rsid w:val="00DB60F2"/>
    <w:rsid w:val="00DB62BD"/>
    <w:rsid w:val="00DB647F"/>
    <w:rsid w:val="00DB64E2"/>
    <w:rsid w:val="00DB678B"/>
    <w:rsid w:val="00DB6804"/>
    <w:rsid w:val="00DB6BEF"/>
    <w:rsid w:val="00DB6E5E"/>
    <w:rsid w:val="00DB6F51"/>
    <w:rsid w:val="00DB72B0"/>
    <w:rsid w:val="00DB74BA"/>
    <w:rsid w:val="00DB75AB"/>
    <w:rsid w:val="00DB77A6"/>
    <w:rsid w:val="00DB7BF0"/>
    <w:rsid w:val="00DC004B"/>
    <w:rsid w:val="00DC0159"/>
    <w:rsid w:val="00DC0500"/>
    <w:rsid w:val="00DC06E1"/>
    <w:rsid w:val="00DC06FA"/>
    <w:rsid w:val="00DC0904"/>
    <w:rsid w:val="00DC0BB4"/>
    <w:rsid w:val="00DC132D"/>
    <w:rsid w:val="00DC1480"/>
    <w:rsid w:val="00DC1ADF"/>
    <w:rsid w:val="00DC202B"/>
    <w:rsid w:val="00DC2186"/>
    <w:rsid w:val="00DC2247"/>
    <w:rsid w:val="00DC2271"/>
    <w:rsid w:val="00DC25CB"/>
    <w:rsid w:val="00DC274C"/>
    <w:rsid w:val="00DC28A6"/>
    <w:rsid w:val="00DC2D5F"/>
    <w:rsid w:val="00DC314B"/>
    <w:rsid w:val="00DC3207"/>
    <w:rsid w:val="00DC3544"/>
    <w:rsid w:val="00DC35A2"/>
    <w:rsid w:val="00DC385B"/>
    <w:rsid w:val="00DC3C0C"/>
    <w:rsid w:val="00DC3E4A"/>
    <w:rsid w:val="00DC3E77"/>
    <w:rsid w:val="00DC4216"/>
    <w:rsid w:val="00DC4292"/>
    <w:rsid w:val="00DC42F2"/>
    <w:rsid w:val="00DC44DC"/>
    <w:rsid w:val="00DC46F3"/>
    <w:rsid w:val="00DC4842"/>
    <w:rsid w:val="00DC48D5"/>
    <w:rsid w:val="00DC4908"/>
    <w:rsid w:val="00DC4A4B"/>
    <w:rsid w:val="00DC4C92"/>
    <w:rsid w:val="00DC4DE1"/>
    <w:rsid w:val="00DC5000"/>
    <w:rsid w:val="00DC5090"/>
    <w:rsid w:val="00DC5323"/>
    <w:rsid w:val="00DC5D5D"/>
    <w:rsid w:val="00DC5FCE"/>
    <w:rsid w:val="00DC5FFA"/>
    <w:rsid w:val="00DC6573"/>
    <w:rsid w:val="00DC65A5"/>
    <w:rsid w:val="00DC6602"/>
    <w:rsid w:val="00DC691C"/>
    <w:rsid w:val="00DC6A7F"/>
    <w:rsid w:val="00DC75F3"/>
    <w:rsid w:val="00DC76DD"/>
    <w:rsid w:val="00DC781A"/>
    <w:rsid w:val="00DC7A5D"/>
    <w:rsid w:val="00DC7D0C"/>
    <w:rsid w:val="00DC7EA0"/>
    <w:rsid w:val="00DC7ED6"/>
    <w:rsid w:val="00DD01CA"/>
    <w:rsid w:val="00DD043C"/>
    <w:rsid w:val="00DD098A"/>
    <w:rsid w:val="00DD0E64"/>
    <w:rsid w:val="00DD0EA4"/>
    <w:rsid w:val="00DD0EBF"/>
    <w:rsid w:val="00DD0FB0"/>
    <w:rsid w:val="00DD1268"/>
    <w:rsid w:val="00DD1306"/>
    <w:rsid w:val="00DD14DA"/>
    <w:rsid w:val="00DD1675"/>
    <w:rsid w:val="00DD1854"/>
    <w:rsid w:val="00DD20B3"/>
    <w:rsid w:val="00DD2423"/>
    <w:rsid w:val="00DD2690"/>
    <w:rsid w:val="00DD271D"/>
    <w:rsid w:val="00DD2813"/>
    <w:rsid w:val="00DD2861"/>
    <w:rsid w:val="00DD28CD"/>
    <w:rsid w:val="00DD2996"/>
    <w:rsid w:val="00DD29D8"/>
    <w:rsid w:val="00DD29EE"/>
    <w:rsid w:val="00DD2B27"/>
    <w:rsid w:val="00DD2F32"/>
    <w:rsid w:val="00DD2F42"/>
    <w:rsid w:val="00DD2F92"/>
    <w:rsid w:val="00DD37A2"/>
    <w:rsid w:val="00DD3918"/>
    <w:rsid w:val="00DD3D23"/>
    <w:rsid w:val="00DD4027"/>
    <w:rsid w:val="00DD41DD"/>
    <w:rsid w:val="00DD440A"/>
    <w:rsid w:val="00DD4416"/>
    <w:rsid w:val="00DD4461"/>
    <w:rsid w:val="00DD446D"/>
    <w:rsid w:val="00DD44BB"/>
    <w:rsid w:val="00DD45EC"/>
    <w:rsid w:val="00DD46EB"/>
    <w:rsid w:val="00DD47E9"/>
    <w:rsid w:val="00DD499E"/>
    <w:rsid w:val="00DD4AC6"/>
    <w:rsid w:val="00DD4E62"/>
    <w:rsid w:val="00DD4E8D"/>
    <w:rsid w:val="00DD50DF"/>
    <w:rsid w:val="00DD519D"/>
    <w:rsid w:val="00DD528B"/>
    <w:rsid w:val="00DD533A"/>
    <w:rsid w:val="00DD5930"/>
    <w:rsid w:val="00DD5BC3"/>
    <w:rsid w:val="00DD5C2C"/>
    <w:rsid w:val="00DD5DE7"/>
    <w:rsid w:val="00DD5ECF"/>
    <w:rsid w:val="00DD614D"/>
    <w:rsid w:val="00DD62C7"/>
    <w:rsid w:val="00DD63B4"/>
    <w:rsid w:val="00DD68DC"/>
    <w:rsid w:val="00DD69DD"/>
    <w:rsid w:val="00DD6D90"/>
    <w:rsid w:val="00DD711D"/>
    <w:rsid w:val="00DD726C"/>
    <w:rsid w:val="00DD73E6"/>
    <w:rsid w:val="00DD76CB"/>
    <w:rsid w:val="00DD776A"/>
    <w:rsid w:val="00DD7AD1"/>
    <w:rsid w:val="00DD7DB0"/>
    <w:rsid w:val="00DD7E17"/>
    <w:rsid w:val="00DE03E9"/>
    <w:rsid w:val="00DE0489"/>
    <w:rsid w:val="00DE06A1"/>
    <w:rsid w:val="00DE09EF"/>
    <w:rsid w:val="00DE0A01"/>
    <w:rsid w:val="00DE1216"/>
    <w:rsid w:val="00DE199C"/>
    <w:rsid w:val="00DE1A9A"/>
    <w:rsid w:val="00DE1B98"/>
    <w:rsid w:val="00DE1DFB"/>
    <w:rsid w:val="00DE2463"/>
    <w:rsid w:val="00DE261E"/>
    <w:rsid w:val="00DE2795"/>
    <w:rsid w:val="00DE2900"/>
    <w:rsid w:val="00DE2D3E"/>
    <w:rsid w:val="00DE2F54"/>
    <w:rsid w:val="00DE2F58"/>
    <w:rsid w:val="00DE2FCF"/>
    <w:rsid w:val="00DE3168"/>
    <w:rsid w:val="00DE320D"/>
    <w:rsid w:val="00DE33A5"/>
    <w:rsid w:val="00DE356D"/>
    <w:rsid w:val="00DE35DB"/>
    <w:rsid w:val="00DE39A9"/>
    <w:rsid w:val="00DE3EDE"/>
    <w:rsid w:val="00DE3F7C"/>
    <w:rsid w:val="00DE43B6"/>
    <w:rsid w:val="00DE48C3"/>
    <w:rsid w:val="00DE4952"/>
    <w:rsid w:val="00DE4C92"/>
    <w:rsid w:val="00DE4C98"/>
    <w:rsid w:val="00DE4D8A"/>
    <w:rsid w:val="00DE4F3F"/>
    <w:rsid w:val="00DE4F99"/>
    <w:rsid w:val="00DE53B1"/>
    <w:rsid w:val="00DE5793"/>
    <w:rsid w:val="00DE582B"/>
    <w:rsid w:val="00DE5A1A"/>
    <w:rsid w:val="00DE5AF6"/>
    <w:rsid w:val="00DE5C90"/>
    <w:rsid w:val="00DE5EA1"/>
    <w:rsid w:val="00DE67E1"/>
    <w:rsid w:val="00DE6936"/>
    <w:rsid w:val="00DE7144"/>
    <w:rsid w:val="00DE72DE"/>
    <w:rsid w:val="00DE744A"/>
    <w:rsid w:val="00DE7772"/>
    <w:rsid w:val="00DF0277"/>
    <w:rsid w:val="00DF03BA"/>
    <w:rsid w:val="00DF0424"/>
    <w:rsid w:val="00DF04D7"/>
    <w:rsid w:val="00DF0551"/>
    <w:rsid w:val="00DF0C62"/>
    <w:rsid w:val="00DF0CC8"/>
    <w:rsid w:val="00DF0F06"/>
    <w:rsid w:val="00DF1356"/>
    <w:rsid w:val="00DF15D9"/>
    <w:rsid w:val="00DF177B"/>
    <w:rsid w:val="00DF1B14"/>
    <w:rsid w:val="00DF1C43"/>
    <w:rsid w:val="00DF22AD"/>
    <w:rsid w:val="00DF2407"/>
    <w:rsid w:val="00DF2630"/>
    <w:rsid w:val="00DF2685"/>
    <w:rsid w:val="00DF2A32"/>
    <w:rsid w:val="00DF2AF1"/>
    <w:rsid w:val="00DF2C97"/>
    <w:rsid w:val="00DF2E19"/>
    <w:rsid w:val="00DF31E2"/>
    <w:rsid w:val="00DF3232"/>
    <w:rsid w:val="00DF3569"/>
    <w:rsid w:val="00DF3617"/>
    <w:rsid w:val="00DF3673"/>
    <w:rsid w:val="00DF3DE1"/>
    <w:rsid w:val="00DF4335"/>
    <w:rsid w:val="00DF433E"/>
    <w:rsid w:val="00DF4423"/>
    <w:rsid w:val="00DF488D"/>
    <w:rsid w:val="00DF4F6A"/>
    <w:rsid w:val="00DF504F"/>
    <w:rsid w:val="00DF52BE"/>
    <w:rsid w:val="00DF5495"/>
    <w:rsid w:val="00DF56F9"/>
    <w:rsid w:val="00DF591C"/>
    <w:rsid w:val="00DF5929"/>
    <w:rsid w:val="00DF594F"/>
    <w:rsid w:val="00DF5A5A"/>
    <w:rsid w:val="00DF5B54"/>
    <w:rsid w:val="00DF603F"/>
    <w:rsid w:val="00DF6C99"/>
    <w:rsid w:val="00DF6E12"/>
    <w:rsid w:val="00DF6E70"/>
    <w:rsid w:val="00DF7804"/>
    <w:rsid w:val="00DF7885"/>
    <w:rsid w:val="00DF7939"/>
    <w:rsid w:val="00DF7995"/>
    <w:rsid w:val="00DF7D5F"/>
    <w:rsid w:val="00E00D77"/>
    <w:rsid w:val="00E00FF7"/>
    <w:rsid w:val="00E010DB"/>
    <w:rsid w:val="00E0127C"/>
    <w:rsid w:val="00E015D5"/>
    <w:rsid w:val="00E01742"/>
    <w:rsid w:val="00E017F9"/>
    <w:rsid w:val="00E01A77"/>
    <w:rsid w:val="00E01BD6"/>
    <w:rsid w:val="00E0256F"/>
    <w:rsid w:val="00E026AA"/>
    <w:rsid w:val="00E02ABB"/>
    <w:rsid w:val="00E02C5A"/>
    <w:rsid w:val="00E02C69"/>
    <w:rsid w:val="00E02CBA"/>
    <w:rsid w:val="00E02DEA"/>
    <w:rsid w:val="00E02E51"/>
    <w:rsid w:val="00E030BC"/>
    <w:rsid w:val="00E031C0"/>
    <w:rsid w:val="00E0336D"/>
    <w:rsid w:val="00E0347C"/>
    <w:rsid w:val="00E0356E"/>
    <w:rsid w:val="00E03675"/>
    <w:rsid w:val="00E03869"/>
    <w:rsid w:val="00E03B9D"/>
    <w:rsid w:val="00E03FD9"/>
    <w:rsid w:val="00E03FF6"/>
    <w:rsid w:val="00E0435D"/>
    <w:rsid w:val="00E043EA"/>
    <w:rsid w:val="00E046F4"/>
    <w:rsid w:val="00E047B7"/>
    <w:rsid w:val="00E048C9"/>
    <w:rsid w:val="00E0494E"/>
    <w:rsid w:val="00E04A38"/>
    <w:rsid w:val="00E04AE9"/>
    <w:rsid w:val="00E04B49"/>
    <w:rsid w:val="00E04CF8"/>
    <w:rsid w:val="00E04EE3"/>
    <w:rsid w:val="00E05167"/>
    <w:rsid w:val="00E053D0"/>
    <w:rsid w:val="00E05454"/>
    <w:rsid w:val="00E0594E"/>
    <w:rsid w:val="00E05A4C"/>
    <w:rsid w:val="00E05CB0"/>
    <w:rsid w:val="00E05DD2"/>
    <w:rsid w:val="00E05F13"/>
    <w:rsid w:val="00E062F2"/>
    <w:rsid w:val="00E06C94"/>
    <w:rsid w:val="00E06CF8"/>
    <w:rsid w:val="00E06DF6"/>
    <w:rsid w:val="00E06EFC"/>
    <w:rsid w:val="00E07035"/>
    <w:rsid w:val="00E0719A"/>
    <w:rsid w:val="00E071EB"/>
    <w:rsid w:val="00E0794F"/>
    <w:rsid w:val="00E07959"/>
    <w:rsid w:val="00E079F4"/>
    <w:rsid w:val="00E07F2F"/>
    <w:rsid w:val="00E100ED"/>
    <w:rsid w:val="00E10403"/>
    <w:rsid w:val="00E10411"/>
    <w:rsid w:val="00E106E2"/>
    <w:rsid w:val="00E10975"/>
    <w:rsid w:val="00E10B4D"/>
    <w:rsid w:val="00E10BBA"/>
    <w:rsid w:val="00E10FBB"/>
    <w:rsid w:val="00E11130"/>
    <w:rsid w:val="00E1122B"/>
    <w:rsid w:val="00E114C1"/>
    <w:rsid w:val="00E115A8"/>
    <w:rsid w:val="00E1170B"/>
    <w:rsid w:val="00E11A4A"/>
    <w:rsid w:val="00E11D46"/>
    <w:rsid w:val="00E11E18"/>
    <w:rsid w:val="00E11E36"/>
    <w:rsid w:val="00E1201E"/>
    <w:rsid w:val="00E12162"/>
    <w:rsid w:val="00E12188"/>
    <w:rsid w:val="00E1276D"/>
    <w:rsid w:val="00E127D7"/>
    <w:rsid w:val="00E1284A"/>
    <w:rsid w:val="00E128D4"/>
    <w:rsid w:val="00E129D3"/>
    <w:rsid w:val="00E12BBD"/>
    <w:rsid w:val="00E12DB8"/>
    <w:rsid w:val="00E13068"/>
    <w:rsid w:val="00E1349C"/>
    <w:rsid w:val="00E1385F"/>
    <w:rsid w:val="00E138A7"/>
    <w:rsid w:val="00E138F4"/>
    <w:rsid w:val="00E13C40"/>
    <w:rsid w:val="00E13DE0"/>
    <w:rsid w:val="00E14469"/>
    <w:rsid w:val="00E14B7F"/>
    <w:rsid w:val="00E15307"/>
    <w:rsid w:val="00E153BA"/>
    <w:rsid w:val="00E1545E"/>
    <w:rsid w:val="00E15507"/>
    <w:rsid w:val="00E1550E"/>
    <w:rsid w:val="00E15EBE"/>
    <w:rsid w:val="00E15F11"/>
    <w:rsid w:val="00E160FB"/>
    <w:rsid w:val="00E164A3"/>
    <w:rsid w:val="00E164B5"/>
    <w:rsid w:val="00E164DA"/>
    <w:rsid w:val="00E1655A"/>
    <w:rsid w:val="00E16758"/>
    <w:rsid w:val="00E1696E"/>
    <w:rsid w:val="00E16A31"/>
    <w:rsid w:val="00E16A4F"/>
    <w:rsid w:val="00E171D4"/>
    <w:rsid w:val="00E172F1"/>
    <w:rsid w:val="00E17469"/>
    <w:rsid w:val="00E177CF"/>
    <w:rsid w:val="00E20903"/>
    <w:rsid w:val="00E2090E"/>
    <w:rsid w:val="00E209DA"/>
    <w:rsid w:val="00E20C9E"/>
    <w:rsid w:val="00E2141D"/>
    <w:rsid w:val="00E21470"/>
    <w:rsid w:val="00E21538"/>
    <w:rsid w:val="00E21654"/>
    <w:rsid w:val="00E216A6"/>
    <w:rsid w:val="00E21894"/>
    <w:rsid w:val="00E219A2"/>
    <w:rsid w:val="00E219EC"/>
    <w:rsid w:val="00E21A3F"/>
    <w:rsid w:val="00E21C11"/>
    <w:rsid w:val="00E21C3E"/>
    <w:rsid w:val="00E21C55"/>
    <w:rsid w:val="00E223DF"/>
    <w:rsid w:val="00E225A9"/>
    <w:rsid w:val="00E22959"/>
    <w:rsid w:val="00E22DE1"/>
    <w:rsid w:val="00E23118"/>
    <w:rsid w:val="00E23F3C"/>
    <w:rsid w:val="00E24382"/>
    <w:rsid w:val="00E243CB"/>
    <w:rsid w:val="00E247E9"/>
    <w:rsid w:val="00E2492E"/>
    <w:rsid w:val="00E24BBA"/>
    <w:rsid w:val="00E24D4A"/>
    <w:rsid w:val="00E2511E"/>
    <w:rsid w:val="00E2513C"/>
    <w:rsid w:val="00E2518E"/>
    <w:rsid w:val="00E2527D"/>
    <w:rsid w:val="00E25817"/>
    <w:rsid w:val="00E25989"/>
    <w:rsid w:val="00E2605C"/>
    <w:rsid w:val="00E26082"/>
    <w:rsid w:val="00E26112"/>
    <w:rsid w:val="00E26CBD"/>
    <w:rsid w:val="00E26EFE"/>
    <w:rsid w:val="00E2749E"/>
    <w:rsid w:val="00E278DC"/>
    <w:rsid w:val="00E27A9C"/>
    <w:rsid w:val="00E27C79"/>
    <w:rsid w:val="00E302E3"/>
    <w:rsid w:val="00E302F6"/>
    <w:rsid w:val="00E3066E"/>
    <w:rsid w:val="00E307DB"/>
    <w:rsid w:val="00E30F1A"/>
    <w:rsid w:val="00E3130B"/>
    <w:rsid w:val="00E316B8"/>
    <w:rsid w:val="00E31807"/>
    <w:rsid w:val="00E3193F"/>
    <w:rsid w:val="00E31AC1"/>
    <w:rsid w:val="00E322AE"/>
    <w:rsid w:val="00E32479"/>
    <w:rsid w:val="00E32C40"/>
    <w:rsid w:val="00E32CD6"/>
    <w:rsid w:val="00E33048"/>
    <w:rsid w:val="00E33104"/>
    <w:rsid w:val="00E3325A"/>
    <w:rsid w:val="00E332F7"/>
    <w:rsid w:val="00E3352C"/>
    <w:rsid w:val="00E33673"/>
    <w:rsid w:val="00E336BF"/>
    <w:rsid w:val="00E3391C"/>
    <w:rsid w:val="00E33AF1"/>
    <w:rsid w:val="00E33F1F"/>
    <w:rsid w:val="00E33F5C"/>
    <w:rsid w:val="00E34380"/>
    <w:rsid w:val="00E345C6"/>
    <w:rsid w:val="00E34610"/>
    <w:rsid w:val="00E347F7"/>
    <w:rsid w:val="00E35060"/>
    <w:rsid w:val="00E35082"/>
    <w:rsid w:val="00E358E0"/>
    <w:rsid w:val="00E35AF2"/>
    <w:rsid w:val="00E35B18"/>
    <w:rsid w:val="00E35EBF"/>
    <w:rsid w:val="00E36135"/>
    <w:rsid w:val="00E3631D"/>
    <w:rsid w:val="00E36841"/>
    <w:rsid w:val="00E3684E"/>
    <w:rsid w:val="00E3699A"/>
    <w:rsid w:val="00E36E31"/>
    <w:rsid w:val="00E36F79"/>
    <w:rsid w:val="00E373FD"/>
    <w:rsid w:val="00E374E0"/>
    <w:rsid w:val="00E37C8A"/>
    <w:rsid w:val="00E37DAE"/>
    <w:rsid w:val="00E37ED1"/>
    <w:rsid w:val="00E403B8"/>
    <w:rsid w:val="00E40485"/>
    <w:rsid w:val="00E40683"/>
    <w:rsid w:val="00E406EC"/>
    <w:rsid w:val="00E40AA9"/>
    <w:rsid w:val="00E40DC9"/>
    <w:rsid w:val="00E410DD"/>
    <w:rsid w:val="00E41691"/>
    <w:rsid w:val="00E418B0"/>
    <w:rsid w:val="00E418B1"/>
    <w:rsid w:val="00E41994"/>
    <w:rsid w:val="00E4224F"/>
    <w:rsid w:val="00E42327"/>
    <w:rsid w:val="00E42953"/>
    <w:rsid w:val="00E42A37"/>
    <w:rsid w:val="00E42B03"/>
    <w:rsid w:val="00E42B99"/>
    <w:rsid w:val="00E42FA0"/>
    <w:rsid w:val="00E431B1"/>
    <w:rsid w:val="00E4321E"/>
    <w:rsid w:val="00E437AF"/>
    <w:rsid w:val="00E43801"/>
    <w:rsid w:val="00E4392E"/>
    <w:rsid w:val="00E43B7C"/>
    <w:rsid w:val="00E44525"/>
    <w:rsid w:val="00E446B9"/>
    <w:rsid w:val="00E447D6"/>
    <w:rsid w:val="00E448F3"/>
    <w:rsid w:val="00E4557C"/>
    <w:rsid w:val="00E45586"/>
    <w:rsid w:val="00E45760"/>
    <w:rsid w:val="00E45AD0"/>
    <w:rsid w:val="00E45B04"/>
    <w:rsid w:val="00E45C63"/>
    <w:rsid w:val="00E45E32"/>
    <w:rsid w:val="00E4664F"/>
    <w:rsid w:val="00E4665D"/>
    <w:rsid w:val="00E46679"/>
    <w:rsid w:val="00E46939"/>
    <w:rsid w:val="00E46B34"/>
    <w:rsid w:val="00E46B56"/>
    <w:rsid w:val="00E46D86"/>
    <w:rsid w:val="00E46FED"/>
    <w:rsid w:val="00E473D3"/>
    <w:rsid w:val="00E47430"/>
    <w:rsid w:val="00E474FB"/>
    <w:rsid w:val="00E4754D"/>
    <w:rsid w:val="00E47637"/>
    <w:rsid w:val="00E4775F"/>
    <w:rsid w:val="00E47C51"/>
    <w:rsid w:val="00E47C77"/>
    <w:rsid w:val="00E47D61"/>
    <w:rsid w:val="00E47E26"/>
    <w:rsid w:val="00E47EFF"/>
    <w:rsid w:val="00E5018A"/>
    <w:rsid w:val="00E50275"/>
    <w:rsid w:val="00E50484"/>
    <w:rsid w:val="00E508B8"/>
    <w:rsid w:val="00E50EBF"/>
    <w:rsid w:val="00E50FD1"/>
    <w:rsid w:val="00E513A8"/>
    <w:rsid w:val="00E5178C"/>
    <w:rsid w:val="00E51F05"/>
    <w:rsid w:val="00E51F23"/>
    <w:rsid w:val="00E523F8"/>
    <w:rsid w:val="00E527BF"/>
    <w:rsid w:val="00E52C14"/>
    <w:rsid w:val="00E52E72"/>
    <w:rsid w:val="00E52E8F"/>
    <w:rsid w:val="00E52EE7"/>
    <w:rsid w:val="00E52F45"/>
    <w:rsid w:val="00E53406"/>
    <w:rsid w:val="00E53435"/>
    <w:rsid w:val="00E53978"/>
    <w:rsid w:val="00E539D1"/>
    <w:rsid w:val="00E53AB5"/>
    <w:rsid w:val="00E53F41"/>
    <w:rsid w:val="00E5400E"/>
    <w:rsid w:val="00E54167"/>
    <w:rsid w:val="00E54180"/>
    <w:rsid w:val="00E5476C"/>
    <w:rsid w:val="00E54808"/>
    <w:rsid w:val="00E54AF5"/>
    <w:rsid w:val="00E54C4C"/>
    <w:rsid w:val="00E54D6A"/>
    <w:rsid w:val="00E54E8B"/>
    <w:rsid w:val="00E54F67"/>
    <w:rsid w:val="00E55372"/>
    <w:rsid w:val="00E56A0A"/>
    <w:rsid w:val="00E56CE3"/>
    <w:rsid w:val="00E570A7"/>
    <w:rsid w:val="00E5754C"/>
    <w:rsid w:val="00E577EF"/>
    <w:rsid w:val="00E57AE8"/>
    <w:rsid w:val="00E57BE9"/>
    <w:rsid w:val="00E57D39"/>
    <w:rsid w:val="00E57DE3"/>
    <w:rsid w:val="00E60536"/>
    <w:rsid w:val="00E60681"/>
    <w:rsid w:val="00E60EE9"/>
    <w:rsid w:val="00E60FF0"/>
    <w:rsid w:val="00E61010"/>
    <w:rsid w:val="00E614F9"/>
    <w:rsid w:val="00E618CD"/>
    <w:rsid w:val="00E61C8F"/>
    <w:rsid w:val="00E61E84"/>
    <w:rsid w:val="00E62053"/>
    <w:rsid w:val="00E6233B"/>
    <w:rsid w:val="00E62451"/>
    <w:rsid w:val="00E627A8"/>
    <w:rsid w:val="00E62BB4"/>
    <w:rsid w:val="00E62C39"/>
    <w:rsid w:val="00E62E51"/>
    <w:rsid w:val="00E62E9B"/>
    <w:rsid w:val="00E62F6F"/>
    <w:rsid w:val="00E635BB"/>
    <w:rsid w:val="00E639E0"/>
    <w:rsid w:val="00E6455C"/>
    <w:rsid w:val="00E64A8A"/>
    <w:rsid w:val="00E64CAC"/>
    <w:rsid w:val="00E64DCA"/>
    <w:rsid w:val="00E64FF6"/>
    <w:rsid w:val="00E65059"/>
    <w:rsid w:val="00E6513F"/>
    <w:rsid w:val="00E652CC"/>
    <w:rsid w:val="00E65308"/>
    <w:rsid w:val="00E65377"/>
    <w:rsid w:val="00E65A9A"/>
    <w:rsid w:val="00E665E0"/>
    <w:rsid w:val="00E667AC"/>
    <w:rsid w:val="00E668A8"/>
    <w:rsid w:val="00E66F5C"/>
    <w:rsid w:val="00E67007"/>
    <w:rsid w:val="00E671DA"/>
    <w:rsid w:val="00E672B3"/>
    <w:rsid w:val="00E67AFC"/>
    <w:rsid w:val="00E67DC1"/>
    <w:rsid w:val="00E67E8C"/>
    <w:rsid w:val="00E70279"/>
    <w:rsid w:val="00E70375"/>
    <w:rsid w:val="00E70714"/>
    <w:rsid w:val="00E70ADF"/>
    <w:rsid w:val="00E71185"/>
    <w:rsid w:val="00E71340"/>
    <w:rsid w:val="00E71456"/>
    <w:rsid w:val="00E71969"/>
    <w:rsid w:val="00E71CE3"/>
    <w:rsid w:val="00E7207F"/>
    <w:rsid w:val="00E724BB"/>
    <w:rsid w:val="00E72635"/>
    <w:rsid w:val="00E727B9"/>
    <w:rsid w:val="00E7296E"/>
    <w:rsid w:val="00E72E03"/>
    <w:rsid w:val="00E72EA5"/>
    <w:rsid w:val="00E7304A"/>
    <w:rsid w:val="00E7321C"/>
    <w:rsid w:val="00E733CC"/>
    <w:rsid w:val="00E7381C"/>
    <w:rsid w:val="00E73C76"/>
    <w:rsid w:val="00E73CF8"/>
    <w:rsid w:val="00E73F54"/>
    <w:rsid w:val="00E73FD8"/>
    <w:rsid w:val="00E74219"/>
    <w:rsid w:val="00E7455E"/>
    <w:rsid w:val="00E7482E"/>
    <w:rsid w:val="00E749B2"/>
    <w:rsid w:val="00E74E3C"/>
    <w:rsid w:val="00E75121"/>
    <w:rsid w:val="00E75249"/>
    <w:rsid w:val="00E76134"/>
    <w:rsid w:val="00E76170"/>
    <w:rsid w:val="00E76185"/>
    <w:rsid w:val="00E76328"/>
    <w:rsid w:val="00E7691D"/>
    <w:rsid w:val="00E76936"/>
    <w:rsid w:val="00E76A84"/>
    <w:rsid w:val="00E76ADA"/>
    <w:rsid w:val="00E76B6E"/>
    <w:rsid w:val="00E76BF4"/>
    <w:rsid w:val="00E76C45"/>
    <w:rsid w:val="00E76D79"/>
    <w:rsid w:val="00E76FF8"/>
    <w:rsid w:val="00E77058"/>
    <w:rsid w:val="00E7730E"/>
    <w:rsid w:val="00E775B0"/>
    <w:rsid w:val="00E7760C"/>
    <w:rsid w:val="00E77640"/>
    <w:rsid w:val="00E7788A"/>
    <w:rsid w:val="00E779A6"/>
    <w:rsid w:val="00E77C36"/>
    <w:rsid w:val="00E80555"/>
    <w:rsid w:val="00E80950"/>
    <w:rsid w:val="00E80D70"/>
    <w:rsid w:val="00E80D9F"/>
    <w:rsid w:val="00E80E72"/>
    <w:rsid w:val="00E80F72"/>
    <w:rsid w:val="00E8107C"/>
    <w:rsid w:val="00E814AC"/>
    <w:rsid w:val="00E81919"/>
    <w:rsid w:val="00E81C52"/>
    <w:rsid w:val="00E82219"/>
    <w:rsid w:val="00E82370"/>
    <w:rsid w:val="00E8295F"/>
    <w:rsid w:val="00E82A7A"/>
    <w:rsid w:val="00E82DD7"/>
    <w:rsid w:val="00E82DED"/>
    <w:rsid w:val="00E8318F"/>
    <w:rsid w:val="00E836AD"/>
    <w:rsid w:val="00E8463B"/>
    <w:rsid w:val="00E8478F"/>
    <w:rsid w:val="00E84A6A"/>
    <w:rsid w:val="00E84D09"/>
    <w:rsid w:val="00E85398"/>
    <w:rsid w:val="00E86258"/>
    <w:rsid w:val="00E866EB"/>
    <w:rsid w:val="00E8672E"/>
    <w:rsid w:val="00E867B4"/>
    <w:rsid w:val="00E86888"/>
    <w:rsid w:val="00E86936"/>
    <w:rsid w:val="00E86979"/>
    <w:rsid w:val="00E86CFA"/>
    <w:rsid w:val="00E86D84"/>
    <w:rsid w:val="00E86F00"/>
    <w:rsid w:val="00E86F40"/>
    <w:rsid w:val="00E86FD5"/>
    <w:rsid w:val="00E87138"/>
    <w:rsid w:val="00E87143"/>
    <w:rsid w:val="00E872D2"/>
    <w:rsid w:val="00E8730F"/>
    <w:rsid w:val="00E873D1"/>
    <w:rsid w:val="00E87665"/>
    <w:rsid w:val="00E87766"/>
    <w:rsid w:val="00E8787A"/>
    <w:rsid w:val="00E87B7B"/>
    <w:rsid w:val="00E87C9D"/>
    <w:rsid w:val="00E87F29"/>
    <w:rsid w:val="00E903E5"/>
    <w:rsid w:val="00E90407"/>
    <w:rsid w:val="00E90D1F"/>
    <w:rsid w:val="00E90F10"/>
    <w:rsid w:val="00E91122"/>
    <w:rsid w:val="00E91540"/>
    <w:rsid w:val="00E916E9"/>
    <w:rsid w:val="00E917E1"/>
    <w:rsid w:val="00E91CA2"/>
    <w:rsid w:val="00E92314"/>
    <w:rsid w:val="00E9253B"/>
    <w:rsid w:val="00E926D5"/>
    <w:rsid w:val="00E92753"/>
    <w:rsid w:val="00E92B21"/>
    <w:rsid w:val="00E92B32"/>
    <w:rsid w:val="00E92C22"/>
    <w:rsid w:val="00E92EE4"/>
    <w:rsid w:val="00E92F00"/>
    <w:rsid w:val="00E9318B"/>
    <w:rsid w:val="00E93216"/>
    <w:rsid w:val="00E932C0"/>
    <w:rsid w:val="00E935B1"/>
    <w:rsid w:val="00E935FB"/>
    <w:rsid w:val="00E93941"/>
    <w:rsid w:val="00E942AA"/>
    <w:rsid w:val="00E9434D"/>
    <w:rsid w:val="00E945F5"/>
    <w:rsid w:val="00E949C4"/>
    <w:rsid w:val="00E949EC"/>
    <w:rsid w:val="00E94AA2"/>
    <w:rsid w:val="00E94BC5"/>
    <w:rsid w:val="00E94DB6"/>
    <w:rsid w:val="00E9502A"/>
    <w:rsid w:val="00E950E7"/>
    <w:rsid w:val="00E95446"/>
    <w:rsid w:val="00E954B7"/>
    <w:rsid w:val="00E95A57"/>
    <w:rsid w:val="00E96356"/>
    <w:rsid w:val="00E96C7A"/>
    <w:rsid w:val="00E9758C"/>
    <w:rsid w:val="00E97592"/>
    <w:rsid w:val="00E97688"/>
    <w:rsid w:val="00E97917"/>
    <w:rsid w:val="00E97A53"/>
    <w:rsid w:val="00E97EC1"/>
    <w:rsid w:val="00E97F4A"/>
    <w:rsid w:val="00EA019D"/>
    <w:rsid w:val="00EA03A1"/>
    <w:rsid w:val="00EA04CB"/>
    <w:rsid w:val="00EA075B"/>
    <w:rsid w:val="00EA137E"/>
    <w:rsid w:val="00EA1395"/>
    <w:rsid w:val="00EA1427"/>
    <w:rsid w:val="00EA152D"/>
    <w:rsid w:val="00EA1603"/>
    <w:rsid w:val="00EA16D6"/>
    <w:rsid w:val="00EA1CB4"/>
    <w:rsid w:val="00EA1D5B"/>
    <w:rsid w:val="00EA1FFE"/>
    <w:rsid w:val="00EA215D"/>
    <w:rsid w:val="00EA2573"/>
    <w:rsid w:val="00EA2A81"/>
    <w:rsid w:val="00EA2A98"/>
    <w:rsid w:val="00EA2B1D"/>
    <w:rsid w:val="00EA2F5A"/>
    <w:rsid w:val="00EA35D6"/>
    <w:rsid w:val="00EA36AE"/>
    <w:rsid w:val="00EA39FA"/>
    <w:rsid w:val="00EA39FB"/>
    <w:rsid w:val="00EA3C82"/>
    <w:rsid w:val="00EA3D69"/>
    <w:rsid w:val="00EA3DBA"/>
    <w:rsid w:val="00EA40EE"/>
    <w:rsid w:val="00EA4998"/>
    <w:rsid w:val="00EA4AA5"/>
    <w:rsid w:val="00EA5126"/>
    <w:rsid w:val="00EA5A72"/>
    <w:rsid w:val="00EA5C9D"/>
    <w:rsid w:val="00EA5E1E"/>
    <w:rsid w:val="00EA5EDA"/>
    <w:rsid w:val="00EA5F16"/>
    <w:rsid w:val="00EA611E"/>
    <w:rsid w:val="00EA6398"/>
    <w:rsid w:val="00EA6444"/>
    <w:rsid w:val="00EA6B11"/>
    <w:rsid w:val="00EA6CED"/>
    <w:rsid w:val="00EA70C2"/>
    <w:rsid w:val="00EA7477"/>
    <w:rsid w:val="00EA7569"/>
    <w:rsid w:val="00EA76C7"/>
    <w:rsid w:val="00EA7722"/>
    <w:rsid w:val="00EA77F3"/>
    <w:rsid w:val="00EA7A33"/>
    <w:rsid w:val="00EA7E83"/>
    <w:rsid w:val="00EA7E84"/>
    <w:rsid w:val="00EA7F8F"/>
    <w:rsid w:val="00EB07F1"/>
    <w:rsid w:val="00EB11FC"/>
    <w:rsid w:val="00EB15B8"/>
    <w:rsid w:val="00EB191E"/>
    <w:rsid w:val="00EB1BAA"/>
    <w:rsid w:val="00EB1DC1"/>
    <w:rsid w:val="00EB2568"/>
    <w:rsid w:val="00EB271E"/>
    <w:rsid w:val="00EB280C"/>
    <w:rsid w:val="00EB2844"/>
    <w:rsid w:val="00EB2C25"/>
    <w:rsid w:val="00EB2C38"/>
    <w:rsid w:val="00EB2C8C"/>
    <w:rsid w:val="00EB2F32"/>
    <w:rsid w:val="00EB2FFE"/>
    <w:rsid w:val="00EB31C5"/>
    <w:rsid w:val="00EB32C4"/>
    <w:rsid w:val="00EB3468"/>
    <w:rsid w:val="00EB35C7"/>
    <w:rsid w:val="00EB43EC"/>
    <w:rsid w:val="00EB461F"/>
    <w:rsid w:val="00EB4693"/>
    <w:rsid w:val="00EB488A"/>
    <w:rsid w:val="00EB4CF1"/>
    <w:rsid w:val="00EB52BC"/>
    <w:rsid w:val="00EB530D"/>
    <w:rsid w:val="00EB532E"/>
    <w:rsid w:val="00EB534F"/>
    <w:rsid w:val="00EB53D4"/>
    <w:rsid w:val="00EB54BC"/>
    <w:rsid w:val="00EB5797"/>
    <w:rsid w:val="00EB5A16"/>
    <w:rsid w:val="00EB5AC6"/>
    <w:rsid w:val="00EB5C31"/>
    <w:rsid w:val="00EB5C70"/>
    <w:rsid w:val="00EB5D6A"/>
    <w:rsid w:val="00EB60A0"/>
    <w:rsid w:val="00EB6413"/>
    <w:rsid w:val="00EB682D"/>
    <w:rsid w:val="00EB6A62"/>
    <w:rsid w:val="00EB6BAA"/>
    <w:rsid w:val="00EB6EC8"/>
    <w:rsid w:val="00EB6F4D"/>
    <w:rsid w:val="00EB6F52"/>
    <w:rsid w:val="00EB6FD8"/>
    <w:rsid w:val="00EB716E"/>
    <w:rsid w:val="00EB7BA5"/>
    <w:rsid w:val="00EB7BE8"/>
    <w:rsid w:val="00EC0120"/>
    <w:rsid w:val="00EC02DB"/>
    <w:rsid w:val="00EC04FC"/>
    <w:rsid w:val="00EC084F"/>
    <w:rsid w:val="00EC1263"/>
    <w:rsid w:val="00EC15BE"/>
    <w:rsid w:val="00EC1C01"/>
    <w:rsid w:val="00EC2053"/>
    <w:rsid w:val="00EC266B"/>
    <w:rsid w:val="00EC286A"/>
    <w:rsid w:val="00EC2A51"/>
    <w:rsid w:val="00EC2E05"/>
    <w:rsid w:val="00EC30E9"/>
    <w:rsid w:val="00EC3290"/>
    <w:rsid w:val="00EC35C9"/>
    <w:rsid w:val="00EC37A2"/>
    <w:rsid w:val="00EC38B0"/>
    <w:rsid w:val="00EC3F55"/>
    <w:rsid w:val="00EC40B5"/>
    <w:rsid w:val="00EC4B91"/>
    <w:rsid w:val="00EC4C3C"/>
    <w:rsid w:val="00EC4FDF"/>
    <w:rsid w:val="00EC5366"/>
    <w:rsid w:val="00EC53C5"/>
    <w:rsid w:val="00EC56D8"/>
    <w:rsid w:val="00EC57A9"/>
    <w:rsid w:val="00EC58E5"/>
    <w:rsid w:val="00EC5D8C"/>
    <w:rsid w:val="00EC6143"/>
    <w:rsid w:val="00EC663E"/>
    <w:rsid w:val="00EC6C52"/>
    <w:rsid w:val="00EC6E75"/>
    <w:rsid w:val="00EC6E7D"/>
    <w:rsid w:val="00EC6E9D"/>
    <w:rsid w:val="00EC6F2B"/>
    <w:rsid w:val="00EC7149"/>
    <w:rsid w:val="00EC71C7"/>
    <w:rsid w:val="00EC7559"/>
    <w:rsid w:val="00EC764E"/>
    <w:rsid w:val="00EC78BB"/>
    <w:rsid w:val="00ED0125"/>
    <w:rsid w:val="00ED025D"/>
    <w:rsid w:val="00ED1000"/>
    <w:rsid w:val="00ED1011"/>
    <w:rsid w:val="00ED118B"/>
    <w:rsid w:val="00ED12BD"/>
    <w:rsid w:val="00ED139B"/>
    <w:rsid w:val="00ED14BD"/>
    <w:rsid w:val="00ED1CC2"/>
    <w:rsid w:val="00ED1D13"/>
    <w:rsid w:val="00ED2674"/>
    <w:rsid w:val="00ED2C99"/>
    <w:rsid w:val="00ED2CD9"/>
    <w:rsid w:val="00ED2EDB"/>
    <w:rsid w:val="00ED3421"/>
    <w:rsid w:val="00ED3AAA"/>
    <w:rsid w:val="00ED3DD2"/>
    <w:rsid w:val="00ED3E2B"/>
    <w:rsid w:val="00ED3E47"/>
    <w:rsid w:val="00ED4698"/>
    <w:rsid w:val="00ED4747"/>
    <w:rsid w:val="00ED488F"/>
    <w:rsid w:val="00ED4941"/>
    <w:rsid w:val="00ED4C14"/>
    <w:rsid w:val="00ED4C27"/>
    <w:rsid w:val="00ED4FC4"/>
    <w:rsid w:val="00ED5145"/>
    <w:rsid w:val="00ED534D"/>
    <w:rsid w:val="00ED6542"/>
    <w:rsid w:val="00ED694A"/>
    <w:rsid w:val="00ED6AB9"/>
    <w:rsid w:val="00ED6ADD"/>
    <w:rsid w:val="00ED6EDB"/>
    <w:rsid w:val="00ED7140"/>
    <w:rsid w:val="00ED71C9"/>
    <w:rsid w:val="00ED72C7"/>
    <w:rsid w:val="00ED7530"/>
    <w:rsid w:val="00ED75EA"/>
    <w:rsid w:val="00ED7624"/>
    <w:rsid w:val="00ED7BBD"/>
    <w:rsid w:val="00ED7D5F"/>
    <w:rsid w:val="00ED7EFD"/>
    <w:rsid w:val="00EE0045"/>
    <w:rsid w:val="00EE008E"/>
    <w:rsid w:val="00EE00AB"/>
    <w:rsid w:val="00EE013E"/>
    <w:rsid w:val="00EE05C8"/>
    <w:rsid w:val="00EE0611"/>
    <w:rsid w:val="00EE0BE8"/>
    <w:rsid w:val="00EE0DA3"/>
    <w:rsid w:val="00EE0E10"/>
    <w:rsid w:val="00EE0F15"/>
    <w:rsid w:val="00EE124A"/>
    <w:rsid w:val="00EE1331"/>
    <w:rsid w:val="00EE14E3"/>
    <w:rsid w:val="00EE15B0"/>
    <w:rsid w:val="00EE1763"/>
    <w:rsid w:val="00EE180B"/>
    <w:rsid w:val="00EE1847"/>
    <w:rsid w:val="00EE1E69"/>
    <w:rsid w:val="00EE1F9D"/>
    <w:rsid w:val="00EE249B"/>
    <w:rsid w:val="00EE2746"/>
    <w:rsid w:val="00EE2D10"/>
    <w:rsid w:val="00EE2F7C"/>
    <w:rsid w:val="00EE30B7"/>
    <w:rsid w:val="00EE3163"/>
    <w:rsid w:val="00EE3441"/>
    <w:rsid w:val="00EE3648"/>
    <w:rsid w:val="00EE383F"/>
    <w:rsid w:val="00EE38F8"/>
    <w:rsid w:val="00EE3A58"/>
    <w:rsid w:val="00EE3D40"/>
    <w:rsid w:val="00EE3F06"/>
    <w:rsid w:val="00EE413B"/>
    <w:rsid w:val="00EE4407"/>
    <w:rsid w:val="00EE4679"/>
    <w:rsid w:val="00EE5044"/>
    <w:rsid w:val="00EE516F"/>
    <w:rsid w:val="00EE55E4"/>
    <w:rsid w:val="00EE5646"/>
    <w:rsid w:val="00EE56D2"/>
    <w:rsid w:val="00EE56DB"/>
    <w:rsid w:val="00EE5FCA"/>
    <w:rsid w:val="00EE606F"/>
    <w:rsid w:val="00EE665D"/>
    <w:rsid w:val="00EE6D9E"/>
    <w:rsid w:val="00EE721C"/>
    <w:rsid w:val="00EE724E"/>
    <w:rsid w:val="00EE79C9"/>
    <w:rsid w:val="00EE7C45"/>
    <w:rsid w:val="00EE7CE4"/>
    <w:rsid w:val="00EE7EB7"/>
    <w:rsid w:val="00EF01B7"/>
    <w:rsid w:val="00EF049E"/>
    <w:rsid w:val="00EF05A6"/>
    <w:rsid w:val="00EF05EF"/>
    <w:rsid w:val="00EF0692"/>
    <w:rsid w:val="00EF0DC1"/>
    <w:rsid w:val="00EF0E8A"/>
    <w:rsid w:val="00EF1416"/>
    <w:rsid w:val="00EF15EE"/>
    <w:rsid w:val="00EF171A"/>
    <w:rsid w:val="00EF1853"/>
    <w:rsid w:val="00EF1D6A"/>
    <w:rsid w:val="00EF21F5"/>
    <w:rsid w:val="00EF2BB5"/>
    <w:rsid w:val="00EF2BD6"/>
    <w:rsid w:val="00EF2C82"/>
    <w:rsid w:val="00EF2D59"/>
    <w:rsid w:val="00EF323C"/>
    <w:rsid w:val="00EF33CB"/>
    <w:rsid w:val="00EF3453"/>
    <w:rsid w:val="00EF35CC"/>
    <w:rsid w:val="00EF38DD"/>
    <w:rsid w:val="00EF38FB"/>
    <w:rsid w:val="00EF3989"/>
    <w:rsid w:val="00EF3B4E"/>
    <w:rsid w:val="00EF44D8"/>
    <w:rsid w:val="00EF472C"/>
    <w:rsid w:val="00EF48DE"/>
    <w:rsid w:val="00EF4945"/>
    <w:rsid w:val="00EF4E60"/>
    <w:rsid w:val="00EF4F0F"/>
    <w:rsid w:val="00EF5263"/>
    <w:rsid w:val="00EF59EE"/>
    <w:rsid w:val="00EF5AE1"/>
    <w:rsid w:val="00EF5C57"/>
    <w:rsid w:val="00EF6003"/>
    <w:rsid w:val="00EF603F"/>
    <w:rsid w:val="00EF618E"/>
    <w:rsid w:val="00EF65AF"/>
    <w:rsid w:val="00EF68EB"/>
    <w:rsid w:val="00EF6E86"/>
    <w:rsid w:val="00EF71CA"/>
    <w:rsid w:val="00EF7217"/>
    <w:rsid w:val="00EF754B"/>
    <w:rsid w:val="00EF7EAD"/>
    <w:rsid w:val="00F0000F"/>
    <w:rsid w:val="00F00507"/>
    <w:rsid w:val="00F0059F"/>
    <w:rsid w:val="00F00AF7"/>
    <w:rsid w:val="00F00BDD"/>
    <w:rsid w:val="00F00F8D"/>
    <w:rsid w:val="00F00FD9"/>
    <w:rsid w:val="00F01066"/>
    <w:rsid w:val="00F013F0"/>
    <w:rsid w:val="00F01A28"/>
    <w:rsid w:val="00F01C88"/>
    <w:rsid w:val="00F020CF"/>
    <w:rsid w:val="00F0239A"/>
    <w:rsid w:val="00F024B4"/>
    <w:rsid w:val="00F0284C"/>
    <w:rsid w:val="00F02A45"/>
    <w:rsid w:val="00F02B42"/>
    <w:rsid w:val="00F02D5B"/>
    <w:rsid w:val="00F02DBC"/>
    <w:rsid w:val="00F03029"/>
    <w:rsid w:val="00F0311B"/>
    <w:rsid w:val="00F033E6"/>
    <w:rsid w:val="00F033EB"/>
    <w:rsid w:val="00F035ED"/>
    <w:rsid w:val="00F037DF"/>
    <w:rsid w:val="00F0395A"/>
    <w:rsid w:val="00F03C76"/>
    <w:rsid w:val="00F03E7E"/>
    <w:rsid w:val="00F04594"/>
    <w:rsid w:val="00F045EA"/>
    <w:rsid w:val="00F04929"/>
    <w:rsid w:val="00F04B6E"/>
    <w:rsid w:val="00F04E72"/>
    <w:rsid w:val="00F04EA4"/>
    <w:rsid w:val="00F04EB6"/>
    <w:rsid w:val="00F051EF"/>
    <w:rsid w:val="00F05567"/>
    <w:rsid w:val="00F0556B"/>
    <w:rsid w:val="00F055F4"/>
    <w:rsid w:val="00F05903"/>
    <w:rsid w:val="00F05AF7"/>
    <w:rsid w:val="00F05B35"/>
    <w:rsid w:val="00F05F9A"/>
    <w:rsid w:val="00F06400"/>
    <w:rsid w:val="00F0688C"/>
    <w:rsid w:val="00F06E32"/>
    <w:rsid w:val="00F06EF6"/>
    <w:rsid w:val="00F06F13"/>
    <w:rsid w:val="00F06FD7"/>
    <w:rsid w:val="00F0726A"/>
    <w:rsid w:val="00F075DE"/>
    <w:rsid w:val="00F07694"/>
    <w:rsid w:val="00F07783"/>
    <w:rsid w:val="00F07969"/>
    <w:rsid w:val="00F07AAA"/>
    <w:rsid w:val="00F07BDD"/>
    <w:rsid w:val="00F07C2A"/>
    <w:rsid w:val="00F07F8D"/>
    <w:rsid w:val="00F11233"/>
    <w:rsid w:val="00F11719"/>
    <w:rsid w:val="00F11A3F"/>
    <w:rsid w:val="00F11D22"/>
    <w:rsid w:val="00F12622"/>
    <w:rsid w:val="00F12A11"/>
    <w:rsid w:val="00F12CAB"/>
    <w:rsid w:val="00F12D19"/>
    <w:rsid w:val="00F132E5"/>
    <w:rsid w:val="00F13490"/>
    <w:rsid w:val="00F13567"/>
    <w:rsid w:val="00F1412A"/>
    <w:rsid w:val="00F14228"/>
    <w:rsid w:val="00F14893"/>
    <w:rsid w:val="00F14B59"/>
    <w:rsid w:val="00F14F94"/>
    <w:rsid w:val="00F150DC"/>
    <w:rsid w:val="00F1520E"/>
    <w:rsid w:val="00F1577A"/>
    <w:rsid w:val="00F1588F"/>
    <w:rsid w:val="00F158E7"/>
    <w:rsid w:val="00F159D9"/>
    <w:rsid w:val="00F15B31"/>
    <w:rsid w:val="00F15D98"/>
    <w:rsid w:val="00F1646A"/>
    <w:rsid w:val="00F1653E"/>
    <w:rsid w:val="00F16617"/>
    <w:rsid w:val="00F16703"/>
    <w:rsid w:val="00F16AD6"/>
    <w:rsid w:val="00F16C0C"/>
    <w:rsid w:val="00F16D41"/>
    <w:rsid w:val="00F171EE"/>
    <w:rsid w:val="00F1793D"/>
    <w:rsid w:val="00F20082"/>
    <w:rsid w:val="00F2020E"/>
    <w:rsid w:val="00F20269"/>
    <w:rsid w:val="00F20272"/>
    <w:rsid w:val="00F20464"/>
    <w:rsid w:val="00F205EF"/>
    <w:rsid w:val="00F20680"/>
    <w:rsid w:val="00F2132F"/>
    <w:rsid w:val="00F21EC1"/>
    <w:rsid w:val="00F22168"/>
    <w:rsid w:val="00F221AC"/>
    <w:rsid w:val="00F22299"/>
    <w:rsid w:val="00F2252F"/>
    <w:rsid w:val="00F226AC"/>
    <w:rsid w:val="00F226C3"/>
    <w:rsid w:val="00F227BB"/>
    <w:rsid w:val="00F22B9E"/>
    <w:rsid w:val="00F22E23"/>
    <w:rsid w:val="00F22E79"/>
    <w:rsid w:val="00F23080"/>
    <w:rsid w:val="00F2316E"/>
    <w:rsid w:val="00F2319D"/>
    <w:rsid w:val="00F23D48"/>
    <w:rsid w:val="00F23F0F"/>
    <w:rsid w:val="00F240FA"/>
    <w:rsid w:val="00F24379"/>
    <w:rsid w:val="00F2449A"/>
    <w:rsid w:val="00F244CF"/>
    <w:rsid w:val="00F247CE"/>
    <w:rsid w:val="00F24C3F"/>
    <w:rsid w:val="00F24E6B"/>
    <w:rsid w:val="00F24EDE"/>
    <w:rsid w:val="00F24FE2"/>
    <w:rsid w:val="00F2515A"/>
    <w:rsid w:val="00F25435"/>
    <w:rsid w:val="00F2555E"/>
    <w:rsid w:val="00F25958"/>
    <w:rsid w:val="00F25CF8"/>
    <w:rsid w:val="00F262D5"/>
    <w:rsid w:val="00F275E1"/>
    <w:rsid w:val="00F277C4"/>
    <w:rsid w:val="00F27BAF"/>
    <w:rsid w:val="00F27C62"/>
    <w:rsid w:val="00F300A7"/>
    <w:rsid w:val="00F304E9"/>
    <w:rsid w:val="00F30539"/>
    <w:rsid w:val="00F30756"/>
    <w:rsid w:val="00F309DE"/>
    <w:rsid w:val="00F30B6E"/>
    <w:rsid w:val="00F30F1A"/>
    <w:rsid w:val="00F30F52"/>
    <w:rsid w:val="00F31081"/>
    <w:rsid w:val="00F3136F"/>
    <w:rsid w:val="00F315A2"/>
    <w:rsid w:val="00F316E3"/>
    <w:rsid w:val="00F319AC"/>
    <w:rsid w:val="00F319E6"/>
    <w:rsid w:val="00F32021"/>
    <w:rsid w:val="00F3209B"/>
    <w:rsid w:val="00F320A8"/>
    <w:rsid w:val="00F322F2"/>
    <w:rsid w:val="00F323F4"/>
    <w:rsid w:val="00F329F9"/>
    <w:rsid w:val="00F32C68"/>
    <w:rsid w:val="00F333CB"/>
    <w:rsid w:val="00F335C0"/>
    <w:rsid w:val="00F335DA"/>
    <w:rsid w:val="00F337B7"/>
    <w:rsid w:val="00F3385A"/>
    <w:rsid w:val="00F338F1"/>
    <w:rsid w:val="00F346FE"/>
    <w:rsid w:val="00F347B2"/>
    <w:rsid w:val="00F35413"/>
    <w:rsid w:val="00F35691"/>
    <w:rsid w:val="00F357D2"/>
    <w:rsid w:val="00F35A66"/>
    <w:rsid w:val="00F35D60"/>
    <w:rsid w:val="00F35F92"/>
    <w:rsid w:val="00F35FE3"/>
    <w:rsid w:val="00F36170"/>
    <w:rsid w:val="00F36357"/>
    <w:rsid w:val="00F36597"/>
    <w:rsid w:val="00F365FD"/>
    <w:rsid w:val="00F36CFF"/>
    <w:rsid w:val="00F36DBA"/>
    <w:rsid w:val="00F36E4A"/>
    <w:rsid w:val="00F37076"/>
    <w:rsid w:val="00F372BD"/>
    <w:rsid w:val="00F37D9B"/>
    <w:rsid w:val="00F37DA5"/>
    <w:rsid w:val="00F37E4D"/>
    <w:rsid w:val="00F40057"/>
    <w:rsid w:val="00F4037E"/>
    <w:rsid w:val="00F40420"/>
    <w:rsid w:val="00F40485"/>
    <w:rsid w:val="00F406A9"/>
    <w:rsid w:val="00F407DE"/>
    <w:rsid w:val="00F40831"/>
    <w:rsid w:val="00F408BE"/>
    <w:rsid w:val="00F409CA"/>
    <w:rsid w:val="00F40A26"/>
    <w:rsid w:val="00F40AE3"/>
    <w:rsid w:val="00F40B28"/>
    <w:rsid w:val="00F40DF0"/>
    <w:rsid w:val="00F40F04"/>
    <w:rsid w:val="00F410C4"/>
    <w:rsid w:val="00F411A2"/>
    <w:rsid w:val="00F4155B"/>
    <w:rsid w:val="00F417C3"/>
    <w:rsid w:val="00F41CD9"/>
    <w:rsid w:val="00F41EED"/>
    <w:rsid w:val="00F42328"/>
    <w:rsid w:val="00F4264D"/>
    <w:rsid w:val="00F42671"/>
    <w:rsid w:val="00F4268E"/>
    <w:rsid w:val="00F4287C"/>
    <w:rsid w:val="00F42AD6"/>
    <w:rsid w:val="00F43284"/>
    <w:rsid w:val="00F434FD"/>
    <w:rsid w:val="00F43553"/>
    <w:rsid w:val="00F43609"/>
    <w:rsid w:val="00F43A8B"/>
    <w:rsid w:val="00F43E2D"/>
    <w:rsid w:val="00F43E34"/>
    <w:rsid w:val="00F43E5D"/>
    <w:rsid w:val="00F4454F"/>
    <w:rsid w:val="00F44B26"/>
    <w:rsid w:val="00F450D4"/>
    <w:rsid w:val="00F4545E"/>
    <w:rsid w:val="00F4563C"/>
    <w:rsid w:val="00F45B9A"/>
    <w:rsid w:val="00F45BD1"/>
    <w:rsid w:val="00F45EB2"/>
    <w:rsid w:val="00F45FC7"/>
    <w:rsid w:val="00F46B45"/>
    <w:rsid w:val="00F46FDC"/>
    <w:rsid w:val="00F47074"/>
    <w:rsid w:val="00F4728D"/>
    <w:rsid w:val="00F476CE"/>
    <w:rsid w:val="00F4787A"/>
    <w:rsid w:val="00F479EF"/>
    <w:rsid w:val="00F47D3C"/>
    <w:rsid w:val="00F47FCB"/>
    <w:rsid w:val="00F50322"/>
    <w:rsid w:val="00F50447"/>
    <w:rsid w:val="00F50457"/>
    <w:rsid w:val="00F50488"/>
    <w:rsid w:val="00F504A4"/>
    <w:rsid w:val="00F504A6"/>
    <w:rsid w:val="00F50A67"/>
    <w:rsid w:val="00F50C42"/>
    <w:rsid w:val="00F50CB0"/>
    <w:rsid w:val="00F50D9B"/>
    <w:rsid w:val="00F51085"/>
    <w:rsid w:val="00F51104"/>
    <w:rsid w:val="00F51425"/>
    <w:rsid w:val="00F5166D"/>
    <w:rsid w:val="00F51A74"/>
    <w:rsid w:val="00F51D96"/>
    <w:rsid w:val="00F5219E"/>
    <w:rsid w:val="00F52291"/>
    <w:rsid w:val="00F52434"/>
    <w:rsid w:val="00F52A68"/>
    <w:rsid w:val="00F52CAA"/>
    <w:rsid w:val="00F52E67"/>
    <w:rsid w:val="00F5311A"/>
    <w:rsid w:val="00F53473"/>
    <w:rsid w:val="00F534F6"/>
    <w:rsid w:val="00F53577"/>
    <w:rsid w:val="00F536F8"/>
    <w:rsid w:val="00F537F5"/>
    <w:rsid w:val="00F53E0C"/>
    <w:rsid w:val="00F53E57"/>
    <w:rsid w:val="00F541B3"/>
    <w:rsid w:val="00F5442C"/>
    <w:rsid w:val="00F545BA"/>
    <w:rsid w:val="00F54657"/>
    <w:rsid w:val="00F54CD2"/>
    <w:rsid w:val="00F54DC5"/>
    <w:rsid w:val="00F54E4F"/>
    <w:rsid w:val="00F54F0E"/>
    <w:rsid w:val="00F54FF9"/>
    <w:rsid w:val="00F5541E"/>
    <w:rsid w:val="00F55634"/>
    <w:rsid w:val="00F556ED"/>
    <w:rsid w:val="00F55C30"/>
    <w:rsid w:val="00F55F3F"/>
    <w:rsid w:val="00F55F54"/>
    <w:rsid w:val="00F5637E"/>
    <w:rsid w:val="00F56438"/>
    <w:rsid w:val="00F56871"/>
    <w:rsid w:val="00F56976"/>
    <w:rsid w:val="00F56B02"/>
    <w:rsid w:val="00F56DC0"/>
    <w:rsid w:val="00F5714C"/>
    <w:rsid w:val="00F57519"/>
    <w:rsid w:val="00F57758"/>
    <w:rsid w:val="00F57A7E"/>
    <w:rsid w:val="00F57D4E"/>
    <w:rsid w:val="00F57FCB"/>
    <w:rsid w:val="00F6025B"/>
    <w:rsid w:val="00F60452"/>
    <w:rsid w:val="00F60752"/>
    <w:rsid w:val="00F607D2"/>
    <w:rsid w:val="00F60C6D"/>
    <w:rsid w:val="00F61222"/>
    <w:rsid w:val="00F612C8"/>
    <w:rsid w:val="00F616F0"/>
    <w:rsid w:val="00F617A5"/>
    <w:rsid w:val="00F61896"/>
    <w:rsid w:val="00F618B7"/>
    <w:rsid w:val="00F61950"/>
    <w:rsid w:val="00F61AB9"/>
    <w:rsid w:val="00F61BB8"/>
    <w:rsid w:val="00F61DE6"/>
    <w:rsid w:val="00F61EAD"/>
    <w:rsid w:val="00F62240"/>
    <w:rsid w:val="00F62355"/>
    <w:rsid w:val="00F623A6"/>
    <w:rsid w:val="00F6241C"/>
    <w:rsid w:val="00F62472"/>
    <w:rsid w:val="00F626E2"/>
    <w:rsid w:val="00F62760"/>
    <w:rsid w:val="00F6291A"/>
    <w:rsid w:val="00F63136"/>
    <w:rsid w:val="00F63249"/>
    <w:rsid w:val="00F63353"/>
    <w:rsid w:val="00F6335A"/>
    <w:rsid w:val="00F642F2"/>
    <w:rsid w:val="00F64435"/>
    <w:rsid w:val="00F645D9"/>
    <w:rsid w:val="00F646E7"/>
    <w:rsid w:val="00F64880"/>
    <w:rsid w:val="00F64AFE"/>
    <w:rsid w:val="00F64BF7"/>
    <w:rsid w:val="00F64E53"/>
    <w:rsid w:val="00F64F29"/>
    <w:rsid w:val="00F659B6"/>
    <w:rsid w:val="00F659F9"/>
    <w:rsid w:val="00F65B4B"/>
    <w:rsid w:val="00F65C04"/>
    <w:rsid w:val="00F66061"/>
    <w:rsid w:val="00F66596"/>
    <w:rsid w:val="00F669E6"/>
    <w:rsid w:val="00F66A3B"/>
    <w:rsid w:val="00F66A86"/>
    <w:rsid w:val="00F66B05"/>
    <w:rsid w:val="00F66FE7"/>
    <w:rsid w:val="00F6799F"/>
    <w:rsid w:val="00F67B88"/>
    <w:rsid w:val="00F67E26"/>
    <w:rsid w:val="00F7000C"/>
    <w:rsid w:val="00F70184"/>
    <w:rsid w:val="00F701F0"/>
    <w:rsid w:val="00F70603"/>
    <w:rsid w:val="00F709C3"/>
    <w:rsid w:val="00F70A55"/>
    <w:rsid w:val="00F70B4F"/>
    <w:rsid w:val="00F70F18"/>
    <w:rsid w:val="00F71008"/>
    <w:rsid w:val="00F713F3"/>
    <w:rsid w:val="00F71582"/>
    <w:rsid w:val="00F71BBB"/>
    <w:rsid w:val="00F71D8D"/>
    <w:rsid w:val="00F71EA1"/>
    <w:rsid w:val="00F71EC4"/>
    <w:rsid w:val="00F71ED0"/>
    <w:rsid w:val="00F71F5F"/>
    <w:rsid w:val="00F7207D"/>
    <w:rsid w:val="00F720F0"/>
    <w:rsid w:val="00F722C9"/>
    <w:rsid w:val="00F72773"/>
    <w:rsid w:val="00F72923"/>
    <w:rsid w:val="00F72AE4"/>
    <w:rsid w:val="00F72B1A"/>
    <w:rsid w:val="00F72E42"/>
    <w:rsid w:val="00F73135"/>
    <w:rsid w:val="00F73549"/>
    <w:rsid w:val="00F737C8"/>
    <w:rsid w:val="00F738B8"/>
    <w:rsid w:val="00F738C2"/>
    <w:rsid w:val="00F73F19"/>
    <w:rsid w:val="00F7440C"/>
    <w:rsid w:val="00F744F3"/>
    <w:rsid w:val="00F74769"/>
    <w:rsid w:val="00F74933"/>
    <w:rsid w:val="00F74F03"/>
    <w:rsid w:val="00F750E9"/>
    <w:rsid w:val="00F75234"/>
    <w:rsid w:val="00F7550B"/>
    <w:rsid w:val="00F7553B"/>
    <w:rsid w:val="00F75823"/>
    <w:rsid w:val="00F759F6"/>
    <w:rsid w:val="00F75A92"/>
    <w:rsid w:val="00F75D70"/>
    <w:rsid w:val="00F7604B"/>
    <w:rsid w:val="00F76053"/>
    <w:rsid w:val="00F76685"/>
    <w:rsid w:val="00F76884"/>
    <w:rsid w:val="00F77325"/>
    <w:rsid w:val="00F773AE"/>
    <w:rsid w:val="00F77623"/>
    <w:rsid w:val="00F77CE2"/>
    <w:rsid w:val="00F77DC4"/>
    <w:rsid w:val="00F80849"/>
    <w:rsid w:val="00F80BA1"/>
    <w:rsid w:val="00F80C15"/>
    <w:rsid w:val="00F80E7D"/>
    <w:rsid w:val="00F81045"/>
    <w:rsid w:val="00F8148D"/>
    <w:rsid w:val="00F81587"/>
    <w:rsid w:val="00F81978"/>
    <w:rsid w:val="00F8199C"/>
    <w:rsid w:val="00F81E3E"/>
    <w:rsid w:val="00F824CF"/>
    <w:rsid w:val="00F82736"/>
    <w:rsid w:val="00F829FB"/>
    <w:rsid w:val="00F8357D"/>
    <w:rsid w:val="00F8396B"/>
    <w:rsid w:val="00F83AE3"/>
    <w:rsid w:val="00F83C37"/>
    <w:rsid w:val="00F83E08"/>
    <w:rsid w:val="00F83E2B"/>
    <w:rsid w:val="00F83F0A"/>
    <w:rsid w:val="00F83FE0"/>
    <w:rsid w:val="00F840C0"/>
    <w:rsid w:val="00F84157"/>
    <w:rsid w:val="00F8454D"/>
    <w:rsid w:val="00F846EC"/>
    <w:rsid w:val="00F84A29"/>
    <w:rsid w:val="00F84F1D"/>
    <w:rsid w:val="00F85167"/>
    <w:rsid w:val="00F852C6"/>
    <w:rsid w:val="00F853D6"/>
    <w:rsid w:val="00F85C15"/>
    <w:rsid w:val="00F86992"/>
    <w:rsid w:val="00F86A08"/>
    <w:rsid w:val="00F86EBF"/>
    <w:rsid w:val="00F86F7E"/>
    <w:rsid w:val="00F873E0"/>
    <w:rsid w:val="00F87415"/>
    <w:rsid w:val="00F87803"/>
    <w:rsid w:val="00F8784D"/>
    <w:rsid w:val="00F87DB3"/>
    <w:rsid w:val="00F87E5B"/>
    <w:rsid w:val="00F87FA5"/>
    <w:rsid w:val="00F90228"/>
    <w:rsid w:val="00F902C4"/>
    <w:rsid w:val="00F90480"/>
    <w:rsid w:val="00F90587"/>
    <w:rsid w:val="00F90867"/>
    <w:rsid w:val="00F90F5F"/>
    <w:rsid w:val="00F910D6"/>
    <w:rsid w:val="00F913C1"/>
    <w:rsid w:val="00F9140C"/>
    <w:rsid w:val="00F91475"/>
    <w:rsid w:val="00F91581"/>
    <w:rsid w:val="00F915C1"/>
    <w:rsid w:val="00F91669"/>
    <w:rsid w:val="00F916A2"/>
    <w:rsid w:val="00F916C9"/>
    <w:rsid w:val="00F91A80"/>
    <w:rsid w:val="00F91BBF"/>
    <w:rsid w:val="00F923E1"/>
    <w:rsid w:val="00F92AE5"/>
    <w:rsid w:val="00F92BBE"/>
    <w:rsid w:val="00F931C3"/>
    <w:rsid w:val="00F93230"/>
    <w:rsid w:val="00F9343D"/>
    <w:rsid w:val="00F93460"/>
    <w:rsid w:val="00F93967"/>
    <w:rsid w:val="00F9455C"/>
    <w:rsid w:val="00F945D8"/>
    <w:rsid w:val="00F94A66"/>
    <w:rsid w:val="00F94E9A"/>
    <w:rsid w:val="00F94F46"/>
    <w:rsid w:val="00F95193"/>
    <w:rsid w:val="00F95448"/>
    <w:rsid w:val="00F9574E"/>
    <w:rsid w:val="00F95BE7"/>
    <w:rsid w:val="00F95EB1"/>
    <w:rsid w:val="00F95ECF"/>
    <w:rsid w:val="00F96105"/>
    <w:rsid w:val="00F96114"/>
    <w:rsid w:val="00F961C6"/>
    <w:rsid w:val="00F96B05"/>
    <w:rsid w:val="00F97B27"/>
    <w:rsid w:val="00F97C34"/>
    <w:rsid w:val="00F97D95"/>
    <w:rsid w:val="00F97F8A"/>
    <w:rsid w:val="00FA008A"/>
    <w:rsid w:val="00FA08BA"/>
    <w:rsid w:val="00FA09D0"/>
    <w:rsid w:val="00FA0F69"/>
    <w:rsid w:val="00FA0FC5"/>
    <w:rsid w:val="00FA1375"/>
    <w:rsid w:val="00FA1607"/>
    <w:rsid w:val="00FA1AB8"/>
    <w:rsid w:val="00FA200D"/>
    <w:rsid w:val="00FA217D"/>
    <w:rsid w:val="00FA2650"/>
    <w:rsid w:val="00FA2BDB"/>
    <w:rsid w:val="00FA317B"/>
    <w:rsid w:val="00FA36F1"/>
    <w:rsid w:val="00FA3CF9"/>
    <w:rsid w:val="00FA3F4D"/>
    <w:rsid w:val="00FA41A5"/>
    <w:rsid w:val="00FA4BC1"/>
    <w:rsid w:val="00FA4D43"/>
    <w:rsid w:val="00FA4D6D"/>
    <w:rsid w:val="00FA5090"/>
    <w:rsid w:val="00FA50D1"/>
    <w:rsid w:val="00FA528A"/>
    <w:rsid w:val="00FA5297"/>
    <w:rsid w:val="00FA532E"/>
    <w:rsid w:val="00FA53F9"/>
    <w:rsid w:val="00FA556F"/>
    <w:rsid w:val="00FA5A0C"/>
    <w:rsid w:val="00FA5A3E"/>
    <w:rsid w:val="00FA5A84"/>
    <w:rsid w:val="00FA5BBF"/>
    <w:rsid w:val="00FA6179"/>
    <w:rsid w:val="00FA6347"/>
    <w:rsid w:val="00FA679F"/>
    <w:rsid w:val="00FA68F6"/>
    <w:rsid w:val="00FA6D8C"/>
    <w:rsid w:val="00FA7017"/>
    <w:rsid w:val="00FA7157"/>
    <w:rsid w:val="00FA72A2"/>
    <w:rsid w:val="00FA7683"/>
    <w:rsid w:val="00FB0272"/>
    <w:rsid w:val="00FB069D"/>
    <w:rsid w:val="00FB0902"/>
    <w:rsid w:val="00FB0907"/>
    <w:rsid w:val="00FB0B5E"/>
    <w:rsid w:val="00FB0C10"/>
    <w:rsid w:val="00FB14DC"/>
    <w:rsid w:val="00FB14F0"/>
    <w:rsid w:val="00FB1653"/>
    <w:rsid w:val="00FB172F"/>
    <w:rsid w:val="00FB1761"/>
    <w:rsid w:val="00FB1BDD"/>
    <w:rsid w:val="00FB1EE3"/>
    <w:rsid w:val="00FB1FB2"/>
    <w:rsid w:val="00FB2F36"/>
    <w:rsid w:val="00FB31B8"/>
    <w:rsid w:val="00FB3629"/>
    <w:rsid w:val="00FB3900"/>
    <w:rsid w:val="00FB46B7"/>
    <w:rsid w:val="00FB48D4"/>
    <w:rsid w:val="00FB49A9"/>
    <w:rsid w:val="00FB49C4"/>
    <w:rsid w:val="00FB4D89"/>
    <w:rsid w:val="00FB5166"/>
    <w:rsid w:val="00FB521A"/>
    <w:rsid w:val="00FB54A6"/>
    <w:rsid w:val="00FB54A9"/>
    <w:rsid w:val="00FB5701"/>
    <w:rsid w:val="00FB5B4F"/>
    <w:rsid w:val="00FB5C0C"/>
    <w:rsid w:val="00FB5CB2"/>
    <w:rsid w:val="00FB5D93"/>
    <w:rsid w:val="00FB5F8F"/>
    <w:rsid w:val="00FB6221"/>
    <w:rsid w:val="00FB631F"/>
    <w:rsid w:val="00FB63C7"/>
    <w:rsid w:val="00FB65C9"/>
    <w:rsid w:val="00FB669F"/>
    <w:rsid w:val="00FB6A71"/>
    <w:rsid w:val="00FB6BB4"/>
    <w:rsid w:val="00FB781B"/>
    <w:rsid w:val="00FB79FD"/>
    <w:rsid w:val="00FB7A11"/>
    <w:rsid w:val="00FB7CFA"/>
    <w:rsid w:val="00FB7E2C"/>
    <w:rsid w:val="00FC022C"/>
    <w:rsid w:val="00FC0466"/>
    <w:rsid w:val="00FC0546"/>
    <w:rsid w:val="00FC085E"/>
    <w:rsid w:val="00FC0871"/>
    <w:rsid w:val="00FC08A5"/>
    <w:rsid w:val="00FC0A3A"/>
    <w:rsid w:val="00FC0ABC"/>
    <w:rsid w:val="00FC0EAE"/>
    <w:rsid w:val="00FC11C3"/>
    <w:rsid w:val="00FC13CF"/>
    <w:rsid w:val="00FC1CA7"/>
    <w:rsid w:val="00FC1FAD"/>
    <w:rsid w:val="00FC2012"/>
    <w:rsid w:val="00FC20A7"/>
    <w:rsid w:val="00FC2694"/>
    <w:rsid w:val="00FC27B2"/>
    <w:rsid w:val="00FC2D6F"/>
    <w:rsid w:val="00FC2EB1"/>
    <w:rsid w:val="00FC3140"/>
    <w:rsid w:val="00FC351C"/>
    <w:rsid w:val="00FC363D"/>
    <w:rsid w:val="00FC37FA"/>
    <w:rsid w:val="00FC3C15"/>
    <w:rsid w:val="00FC3E21"/>
    <w:rsid w:val="00FC3FB6"/>
    <w:rsid w:val="00FC4470"/>
    <w:rsid w:val="00FC47A1"/>
    <w:rsid w:val="00FC4871"/>
    <w:rsid w:val="00FC4AE6"/>
    <w:rsid w:val="00FC4BC9"/>
    <w:rsid w:val="00FC51C1"/>
    <w:rsid w:val="00FC5373"/>
    <w:rsid w:val="00FC5861"/>
    <w:rsid w:val="00FC5987"/>
    <w:rsid w:val="00FC5BA4"/>
    <w:rsid w:val="00FC5BE7"/>
    <w:rsid w:val="00FC5D33"/>
    <w:rsid w:val="00FC5DAE"/>
    <w:rsid w:val="00FC60AB"/>
    <w:rsid w:val="00FC6549"/>
    <w:rsid w:val="00FC699C"/>
    <w:rsid w:val="00FC6B2D"/>
    <w:rsid w:val="00FC6FA9"/>
    <w:rsid w:val="00FC6FD8"/>
    <w:rsid w:val="00FC73FD"/>
    <w:rsid w:val="00FC74D7"/>
    <w:rsid w:val="00FC759D"/>
    <w:rsid w:val="00FC7BCF"/>
    <w:rsid w:val="00FC7C32"/>
    <w:rsid w:val="00FC7D40"/>
    <w:rsid w:val="00FD0176"/>
    <w:rsid w:val="00FD02E1"/>
    <w:rsid w:val="00FD0386"/>
    <w:rsid w:val="00FD09C6"/>
    <w:rsid w:val="00FD0B10"/>
    <w:rsid w:val="00FD0B44"/>
    <w:rsid w:val="00FD0D52"/>
    <w:rsid w:val="00FD10DD"/>
    <w:rsid w:val="00FD14E4"/>
    <w:rsid w:val="00FD161B"/>
    <w:rsid w:val="00FD179A"/>
    <w:rsid w:val="00FD17C9"/>
    <w:rsid w:val="00FD1955"/>
    <w:rsid w:val="00FD1968"/>
    <w:rsid w:val="00FD1BD5"/>
    <w:rsid w:val="00FD1D15"/>
    <w:rsid w:val="00FD1D7A"/>
    <w:rsid w:val="00FD1EB3"/>
    <w:rsid w:val="00FD210C"/>
    <w:rsid w:val="00FD2469"/>
    <w:rsid w:val="00FD2631"/>
    <w:rsid w:val="00FD2722"/>
    <w:rsid w:val="00FD29A6"/>
    <w:rsid w:val="00FD2BDC"/>
    <w:rsid w:val="00FD2D67"/>
    <w:rsid w:val="00FD318C"/>
    <w:rsid w:val="00FD328C"/>
    <w:rsid w:val="00FD34D7"/>
    <w:rsid w:val="00FD3824"/>
    <w:rsid w:val="00FD3B3F"/>
    <w:rsid w:val="00FD3CBD"/>
    <w:rsid w:val="00FD3D3B"/>
    <w:rsid w:val="00FD3EDC"/>
    <w:rsid w:val="00FD4046"/>
    <w:rsid w:val="00FD41F8"/>
    <w:rsid w:val="00FD42C4"/>
    <w:rsid w:val="00FD4DE2"/>
    <w:rsid w:val="00FD4E1D"/>
    <w:rsid w:val="00FD4EBA"/>
    <w:rsid w:val="00FD566F"/>
    <w:rsid w:val="00FD5AE3"/>
    <w:rsid w:val="00FD6841"/>
    <w:rsid w:val="00FD6934"/>
    <w:rsid w:val="00FD6B22"/>
    <w:rsid w:val="00FD6E92"/>
    <w:rsid w:val="00FD707E"/>
    <w:rsid w:val="00FD73C7"/>
    <w:rsid w:val="00FD7857"/>
    <w:rsid w:val="00FD7C8A"/>
    <w:rsid w:val="00FE04C3"/>
    <w:rsid w:val="00FE0786"/>
    <w:rsid w:val="00FE084B"/>
    <w:rsid w:val="00FE0B33"/>
    <w:rsid w:val="00FE0CEE"/>
    <w:rsid w:val="00FE0E43"/>
    <w:rsid w:val="00FE0FC3"/>
    <w:rsid w:val="00FE13ED"/>
    <w:rsid w:val="00FE15C4"/>
    <w:rsid w:val="00FE1719"/>
    <w:rsid w:val="00FE1812"/>
    <w:rsid w:val="00FE1BAF"/>
    <w:rsid w:val="00FE1BD3"/>
    <w:rsid w:val="00FE1DBE"/>
    <w:rsid w:val="00FE1F24"/>
    <w:rsid w:val="00FE2154"/>
    <w:rsid w:val="00FE22F2"/>
    <w:rsid w:val="00FE2450"/>
    <w:rsid w:val="00FE2597"/>
    <w:rsid w:val="00FE261A"/>
    <w:rsid w:val="00FE29A5"/>
    <w:rsid w:val="00FE2EC8"/>
    <w:rsid w:val="00FE30C7"/>
    <w:rsid w:val="00FE3115"/>
    <w:rsid w:val="00FE3839"/>
    <w:rsid w:val="00FE3C27"/>
    <w:rsid w:val="00FE3C68"/>
    <w:rsid w:val="00FE3C83"/>
    <w:rsid w:val="00FE425A"/>
    <w:rsid w:val="00FE43BC"/>
    <w:rsid w:val="00FE453C"/>
    <w:rsid w:val="00FE4D40"/>
    <w:rsid w:val="00FE5039"/>
    <w:rsid w:val="00FE519C"/>
    <w:rsid w:val="00FE5207"/>
    <w:rsid w:val="00FE54F2"/>
    <w:rsid w:val="00FE552C"/>
    <w:rsid w:val="00FE5633"/>
    <w:rsid w:val="00FE57C2"/>
    <w:rsid w:val="00FE5B0C"/>
    <w:rsid w:val="00FE62F9"/>
    <w:rsid w:val="00FE6758"/>
    <w:rsid w:val="00FE6B05"/>
    <w:rsid w:val="00FE6B7F"/>
    <w:rsid w:val="00FE7072"/>
    <w:rsid w:val="00FE7429"/>
    <w:rsid w:val="00FE7446"/>
    <w:rsid w:val="00FE7590"/>
    <w:rsid w:val="00FE7C20"/>
    <w:rsid w:val="00FE7F62"/>
    <w:rsid w:val="00FE7FE5"/>
    <w:rsid w:val="00FF00BE"/>
    <w:rsid w:val="00FF0455"/>
    <w:rsid w:val="00FF055D"/>
    <w:rsid w:val="00FF0AC0"/>
    <w:rsid w:val="00FF0EF7"/>
    <w:rsid w:val="00FF13C7"/>
    <w:rsid w:val="00FF1A02"/>
    <w:rsid w:val="00FF1A25"/>
    <w:rsid w:val="00FF1BA8"/>
    <w:rsid w:val="00FF1F48"/>
    <w:rsid w:val="00FF1F90"/>
    <w:rsid w:val="00FF21F6"/>
    <w:rsid w:val="00FF2281"/>
    <w:rsid w:val="00FF291D"/>
    <w:rsid w:val="00FF2972"/>
    <w:rsid w:val="00FF29A2"/>
    <w:rsid w:val="00FF2E91"/>
    <w:rsid w:val="00FF2F42"/>
    <w:rsid w:val="00FF32A1"/>
    <w:rsid w:val="00FF34EA"/>
    <w:rsid w:val="00FF34F8"/>
    <w:rsid w:val="00FF36AC"/>
    <w:rsid w:val="00FF38D8"/>
    <w:rsid w:val="00FF3933"/>
    <w:rsid w:val="00FF3B62"/>
    <w:rsid w:val="00FF3D50"/>
    <w:rsid w:val="00FF3DB5"/>
    <w:rsid w:val="00FF3FA3"/>
    <w:rsid w:val="00FF4096"/>
    <w:rsid w:val="00FF41BA"/>
    <w:rsid w:val="00FF45EC"/>
    <w:rsid w:val="00FF4697"/>
    <w:rsid w:val="00FF4873"/>
    <w:rsid w:val="00FF4ACD"/>
    <w:rsid w:val="00FF4E0D"/>
    <w:rsid w:val="00FF4E89"/>
    <w:rsid w:val="00FF51BB"/>
    <w:rsid w:val="00FF58FB"/>
    <w:rsid w:val="00FF5A66"/>
    <w:rsid w:val="00FF5F93"/>
    <w:rsid w:val="00FF6055"/>
    <w:rsid w:val="00FF60E9"/>
    <w:rsid w:val="00FF61DA"/>
    <w:rsid w:val="00FF6530"/>
    <w:rsid w:val="00FF6822"/>
    <w:rsid w:val="00FF68A0"/>
    <w:rsid w:val="00FF68B7"/>
    <w:rsid w:val="00FF6AC4"/>
    <w:rsid w:val="00FF6AEF"/>
    <w:rsid w:val="00FF70F9"/>
    <w:rsid w:val="00FF7195"/>
    <w:rsid w:val="00FF7327"/>
    <w:rsid w:val="00FF741C"/>
    <w:rsid w:val="00FF75B8"/>
    <w:rsid w:val="00FF77C1"/>
    <w:rsid w:val="00FF7A74"/>
    <w:rsid w:val="00FF7B64"/>
    <w:rsid w:val="00FF7B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529B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A5227A"/>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A5227A"/>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A5227A"/>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2261B3"/>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unhideWhenUsed/>
    <w:qFormat/>
    <w:rsid w:val="002261B3"/>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unhideWhenUsed/>
    <w:qFormat/>
    <w:rsid w:val="00A5227A"/>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A5227A"/>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A5227A"/>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A5227A"/>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6"/>
    <w:unhideWhenUsed/>
    <w:rsid w:val="009E214D"/>
    <w:pPr>
      <w:spacing w:after="240"/>
      <w:ind w:firstLine="720"/>
    </w:pPr>
  </w:style>
  <w:style w:type="character" w:customStyle="1" w:styleId="BodyTextChar">
    <w:name w:val="Body Text Char"/>
    <w:basedOn w:val="DefaultParagraphFont"/>
    <w:link w:val="BodyText"/>
    <w:uiPriority w:val="6"/>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link w:val="ListParagraphChar"/>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qFormat/>
    <w:rsid w:val="00704918"/>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uiPriority w:val="9"/>
    <w:rsid w:val="00EB5D6A"/>
    <w:rPr>
      <w:rFonts w:ascii="Times New Roman" w:eastAsiaTheme="majorEastAsia" w:hAnsi="Times New Roman" w:cs="Times New Roman"/>
      <w:b/>
      <w:kern w:val="32"/>
      <w:sz w:val="26"/>
      <w:szCs w:val="26"/>
      <w:u w:val="single"/>
    </w:rPr>
  </w:style>
  <w:style w:type="paragraph" w:styleId="FootnoteText">
    <w:name w:val="footnote text"/>
    <w:aliases w:val="Footnote Text Char1 Char,Footnote Text Char Char Char,Footnote Text Char Char,Footnote Text Char Char1,fn,Footnote Text MRP,Footnote Text Char3,Footnote Text Char2 Char,ft Char,Footnote Text Char1 Char Char Char1,ft,f,c,Char Char,Char,char"/>
    <w:basedOn w:val="Normal"/>
    <w:link w:val="FootnoteTextChar"/>
    <w:uiPriority w:val="99"/>
    <w:unhideWhenUsed/>
    <w:qFormat/>
    <w:rsid w:val="00DD46EB"/>
    <w:pPr>
      <w:spacing w:after="260"/>
      <w:ind w:firstLine="720"/>
    </w:pPr>
    <w:rPr>
      <w:szCs w:val="20"/>
    </w:rPr>
  </w:style>
  <w:style w:type="character" w:styleId="FootnoteReference">
    <w:name w:val="footnote reference"/>
    <w:aliases w:val="o,fr,Style 13,Style 12,Style 15,Style 17,Style 9,o1,fr1,o2,fr2,o3,fr3,Style 18,(NECG) Footnote Reference,Style 20,Style 7,Style 8,Style 19,Style 28,Style 11,Style 16,Styl,Footnote Reference (EIS),fnr,Footnote reference (EA),Style 30,."/>
    <w:basedOn w:val="DefaultParagraphFont"/>
    <w:uiPriority w:val="99"/>
    <w:unhideWhenUsed/>
    <w:qFormat/>
    <w:rsid w:val="00DD46EB"/>
    <w:rPr>
      <w:rFonts w:ascii="Times New Roman" w:hAnsi="Times New Roman" w:cs="Times New Roman"/>
      <w:b/>
      <w:sz w:val="26"/>
      <w:vertAlign w:val="superscript"/>
    </w:rPr>
  </w:style>
  <w:style w:type="paragraph" w:customStyle="1" w:styleId="FERCNopara">
    <w:name w:val="FERC Nopara"/>
    <w:basedOn w:val="Normal"/>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character" w:customStyle="1" w:styleId="FootnoteTextChar">
    <w:name w:val="Footnote Text Char"/>
    <w:aliases w:val="Footnote Text Char1 Char Char,Footnote Text Char Char Char Char,Footnote Text Char Char Char1,Footnote Text Char Char1 Char,fn Char,Footnote Text MRP Char,Footnote Text Char3 Char,Footnote Text Char2 Char Char,ft Char Char,ft Char1"/>
    <w:basedOn w:val="DefaultParagraphFont"/>
    <w:link w:val="FootnoteText"/>
    <w:uiPriority w:val="99"/>
    <w:rsid w:val="003D218A"/>
    <w:rPr>
      <w:rFonts w:ascii="Times New Roman" w:hAnsi="Times New Roman" w:cs="Times New Roman"/>
      <w:sz w:val="26"/>
      <w:szCs w:val="20"/>
    </w:rPr>
  </w:style>
  <w:style w:type="character" w:customStyle="1" w:styleId="ListParagraphChar">
    <w:name w:val="List Paragraph Char"/>
    <w:link w:val="ListParagraph"/>
    <w:uiPriority w:val="1"/>
    <w:rsid w:val="002B0095"/>
    <w:rPr>
      <w:rFonts w:ascii="Times New Roman" w:hAnsi="Times New Roman" w:cs="Times New Roman"/>
      <w:sz w:val="26"/>
    </w:rPr>
  </w:style>
  <w:style w:type="paragraph" w:styleId="Revision">
    <w:name w:val="Revision"/>
    <w:hidden/>
    <w:uiPriority w:val="99"/>
    <w:semiHidden/>
    <w:rsid w:val="00742C91"/>
    <w:pPr>
      <w:spacing w:after="0" w:line="240" w:lineRule="auto"/>
    </w:pPr>
    <w:rPr>
      <w:rFonts w:ascii="Times New Roman" w:hAnsi="Times New Roman" w:cs="Times New Roman"/>
      <w:sz w:val="26"/>
    </w:rPr>
  </w:style>
  <w:style w:type="character" w:styleId="Mention">
    <w:name w:val="Mention"/>
    <w:basedOn w:val="DefaultParagraphFont"/>
    <w:uiPriority w:val="99"/>
    <w:unhideWhenUsed/>
    <w:rsid w:val="00742C91"/>
    <w:rPr>
      <w:color w:val="2B579A"/>
      <w:shd w:val="clear" w:color="auto" w:fill="E1DFDD"/>
    </w:rPr>
  </w:style>
  <w:style w:type="character" w:styleId="EndnoteReference">
    <w:name w:val="endnote reference"/>
    <w:basedOn w:val="DefaultParagraphFont"/>
    <w:uiPriority w:val="99"/>
    <w:semiHidden/>
    <w:unhideWhenUsed/>
    <w:rsid w:val="00507F78"/>
    <w:rPr>
      <w:vertAlign w:val="superscript"/>
    </w:rPr>
  </w:style>
  <w:style w:type="paragraph" w:customStyle="1" w:styleId="bodytext1">
    <w:name w:val="body text 1"/>
    <w:basedOn w:val="BodyText"/>
    <w:link w:val="bodytext1Char"/>
    <w:rsid w:val="00D478C6"/>
    <w:pPr>
      <w:widowControl/>
    </w:pPr>
    <w:rPr>
      <w:rFonts w:eastAsia="Times New Roman"/>
      <w:sz w:val="24"/>
      <w:szCs w:val="26"/>
    </w:rPr>
  </w:style>
  <w:style w:type="character" w:customStyle="1" w:styleId="bodytext1Char">
    <w:name w:val="body text 1 Char"/>
    <w:link w:val="bodytext1"/>
    <w:locked/>
    <w:rsid w:val="00D478C6"/>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etariff.ferc.gov/TariffSectionDetails.aspx?tid=1615&amp;sid=375399" TargetMode="Externa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74a4cd09-5f17-433b-814a-38e7e9115d16" ContentTypeId="0x0101" PreviousValue="false"/>
</file>

<file path=customXml/itemProps1.xml><?xml version="1.0" encoding="utf-8"?>
<ds:datastoreItem xmlns:ds="http://schemas.openxmlformats.org/officeDocument/2006/customXml" ds:itemID="{FF5DD853-182C-4FF7-9ED9-0DA3978357B7}">
  <ds:schemaRefs>
    <ds:schemaRef ds:uri="http://schemas.microsoft.com/sharepoint/v3/contenttype/forms"/>
  </ds:schemaRefs>
</ds:datastoreItem>
</file>

<file path=customXml/itemProps2.xml><?xml version="1.0" encoding="utf-8"?>
<ds:datastoreItem xmlns:ds="http://schemas.openxmlformats.org/officeDocument/2006/customXml" ds:itemID="{CE82BCD7-16C8-4D08-BEBC-0FF70A0CF578}">
  <ds:schemaRefs>
    <ds:schemaRef ds:uri="http://schemas.microsoft.com/office/2006/metadata/properties"/>
    <ds:schemaRef ds:uri="http://schemas.microsoft.com/office/infopath/2007/PartnerControls"/>
    <ds:schemaRef ds:uri="5e8733a2-e908-454b-85cf-c9d17e1d0943"/>
  </ds:schemaRefs>
</ds:datastoreItem>
</file>

<file path=customXml/itemProps3.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4.xml><?xml version="1.0" encoding="utf-8"?>
<ds:datastoreItem xmlns:ds="http://schemas.openxmlformats.org/officeDocument/2006/customXml" ds:itemID="{47A5EDDC-79CC-4555-A3AF-6DB37A0FB3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A9AC860-C04A-470B-A253-3B82DDAEE86C}">
  <ds:schemaRefs>
    <ds:schemaRef ds:uri="Microsoft.SharePoint.Taxonomy.ContentTypeSync"/>
  </ds:schemaRefs>
</ds:datastoreItem>
</file>

<file path=docProps/app.xml><?xml version="1.0" encoding="utf-8"?>
<ap:Properties xmlns:vt="http://schemas.openxmlformats.org/officeDocument/2006/docPropsVTypes" xmlns:ap="http://schemas.openxmlformats.org/officeDocument/2006/extended-properties">
  <ap:TotalTime>0</ap:TotalTime>
  <ap:Pages>52</ap:Pages>
  <ap:Words>14358</ap:Words>
  <ap:Characters>79544</ap:Characters>
  <ap:Application>Microsoft Office Word</ap:Application>
  <ap:DocSecurity>0</ap:DocSecurity>
  <ap:Lines>1304</ap:Lines>
  <ap:Paragraphs>276</ap:Paragraphs>
  <ap:ScaleCrop>false</ap:ScaleCrop>
  <ap:HeadingPairs>
    <vt:vector baseType="variant" size="2">
      <vt:variant>
        <vt:lpstr>Title</vt:lpstr>
      </vt:variant>
      <vt:variant>
        <vt:i4>1</vt:i4>
      </vt:variant>
    </vt:vector>
  </ap:HeadingPairs>
  <ap:TitlesOfParts>
    <vt:vector baseType="lpstr" size="1">
      <vt:lpstr/>
    </vt:vector>
  </ap:TitlesOfParts>
  <ap:LinksUpToDate>false</ap:LinksUpToDate>
  <ap:CharactersWithSpaces>93626</ap:CharactersWithSpaces>
  <ap:SharedDoc>false</ap:SharedDoc>
  <ap:HLinks>
    <vt:vector baseType="variant" size="6">
      <vt:variant>
        <vt:i4>2949242</vt:i4>
      </vt:variant>
      <vt:variant>
        <vt:i4>6</vt:i4>
      </vt:variant>
      <vt:variant>
        <vt:i4>0</vt:i4>
      </vt:variant>
      <vt:variant>
        <vt:i4>5</vt:i4>
      </vt:variant>
      <vt:variant>
        <vt:lpwstr>https://etariff.ferc.gov/TariffSectionDetails.aspx?tid=1615&amp;sid=375399</vt:lpwstr>
      </vt:variant>
      <vt:variant>
        <vt:lpwstr/>
      </vt:variant>
    </vt:vector>
  </ap:HLinks>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2026-10-09T20:21:00.0000000Z</dcterms:created>
  <dcterms:modified xsi:type="dcterms:W3CDTF">2026-10-09T22:00:00.0000000Z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