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E9A1" w14:textId="4E482454" w:rsidR="000F027A" w:rsidRPr="00631F8F" w:rsidRDefault="000F027A" w:rsidP="000F027A">
      <w:pPr>
        <w:jc w:val="center"/>
        <w:outlineLvl w:val="0"/>
        <w:rPr>
          <w:b/>
          <w:sz w:val="24"/>
        </w:rPr>
      </w:pPr>
      <w:r w:rsidRPr="00631F8F">
        <w:rPr>
          <w:b/>
          <w:sz w:val="24"/>
        </w:rPr>
        <w:t>BEFORE THE</w:t>
      </w:r>
    </w:p>
    <w:p w14:paraId="6E45900A" w14:textId="77777777" w:rsidR="000F027A" w:rsidRPr="00631F8F" w:rsidRDefault="000F027A" w:rsidP="000F027A">
      <w:pPr>
        <w:jc w:val="center"/>
        <w:outlineLvl w:val="0"/>
        <w:rPr>
          <w:b/>
          <w:sz w:val="24"/>
        </w:rPr>
      </w:pPr>
      <w:r w:rsidRPr="00631F8F">
        <w:rPr>
          <w:b/>
          <w:sz w:val="24"/>
        </w:rPr>
        <w:t>UNITED STATES OF AMERICA</w:t>
      </w:r>
    </w:p>
    <w:p w14:paraId="7DB3C591" w14:textId="77777777" w:rsidR="000F027A" w:rsidRPr="00631F8F" w:rsidRDefault="000F027A" w:rsidP="000F027A">
      <w:pPr>
        <w:jc w:val="center"/>
        <w:rPr>
          <w:b/>
          <w:sz w:val="24"/>
        </w:rPr>
      </w:pPr>
      <w:r w:rsidRPr="00631F8F">
        <w:rPr>
          <w:b/>
          <w:sz w:val="24"/>
        </w:rPr>
        <w:t>FEDERAL ENERGY REGULATORY COMMISSION</w:t>
      </w:r>
    </w:p>
    <w:p w14:paraId="74AF4847" w14:textId="77777777" w:rsidR="000F027A" w:rsidRPr="00631F8F" w:rsidRDefault="000F027A" w:rsidP="000F027A">
      <w:pPr>
        <w:rPr>
          <w:sz w:val="24"/>
        </w:rPr>
      </w:pPr>
    </w:p>
    <w:p w14:paraId="0374CEB2" w14:textId="77777777" w:rsidR="000F027A" w:rsidRPr="00631F8F" w:rsidRDefault="000F027A" w:rsidP="000F027A">
      <w:pPr>
        <w:ind w:left="1440" w:hanging="1440"/>
        <w:rPr>
          <w:sz w:val="24"/>
        </w:rPr>
      </w:pPr>
      <w:r w:rsidRPr="00631F8F">
        <w:rPr>
          <w:sz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937"/>
        <w:gridCol w:w="1531"/>
        <w:gridCol w:w="1892"/>
      </w:tblGrid>
      <w:tr w:rsidR="000F027A" w:rsidRPr="00C231AA" w14:paraId="71A333F3" w14:textId="77777777" w:rsidTr="00631F8F">
        <w:tc>
          <w:tcPr>
            <w:tcW w:w="6088" w:type="dxa"/>
          </w:tcPr>
          <w:p w14:paraId="68AFB158" w14:textId="7490F460" w:rsidR="006E05EB" w:rsidRDefault="000F027A" w:rsidP="00594EB5">
            <w:pPr>
              <w:rPr>
                <w:sz w:val="24"/>
              </w:rPr>
            </w:pPr>
            <w:r w:rsidRPr="00631F8F">
              <w:rPr>
                <w:sz w:val="24"/>
              </w:rPr>
              <w:t xml:space="preserve">Interconnection of Large Loads to the </w:t>
            </w:r>
            <w:r w:rsidR="006E05EB">
              <w:rPr>
                <w:sz w:val="24"/>
              </w:rPr>
              <w:t xml:space="preserve">                )</w:t>
            </w:r>
          </w:p>
          <w:p w14:paraId="332A42BB" w14:textId="020F0B67" w:rsidR="000F027A" w:rsidRPr="00631F8F" w:rsidRDefault="000F027A" w:rsidP="00594EB5">
            <w:pPr>
              <w:rPr>
                <w:sz w:val="24"/>
              </w:rPr>
            </w:pPr>
            <w:r w:rsidRPr="00631F8F">
              <w:rPr>
                <w:sz w:val="24"/>
              </w:rPr>
              <w:t>Interstate Transmission System</w:t>
            </w:r>
            <w:r w:rsidR="006E05EB">
              <w:rPr>
                <w:sz w:val="24"/>
              </w:rPr>
              <w:t xml:space="preserve">                           )</w:t>
            </w:r>
          </w:p>
          <w:p w14:paraId="3CA7ACB7" w14:textId="77777777" w:rsidR="00C26C8D" w:rsidRDefault="00C26C8D" w:rsidP="00594EB5">
            <w:pPr>
              <w:rPr>
                <w:sz w:val="24"/>
              </w:rPr>
            </w:pPr>
          </w:p>
          <w:p w14:paraId="774EBF05" w14:textId="14FCFA7B" w:rsidR="002A532F" w:rsidRPr="00631F8F" w:rsidRDefault="002A532F" w:rsidP="00594EB5">
            <w:pPr>
              <w:rPr>
                <w:sz w:val="24"/>
              </w:rPr>
            </w:pPr>
          </w:p>
        </w:tc>
        <w:tc>
          <w:tcPr>
            <w:tcW w:w="1560" w:type="dxa"/>
          </w:tcPr>
          <w:p w14:paraId="230320C6" w14:textId="77777777" w:rsidR="000F027A" w:rsidRPr="00631F8F" w:rsidRDefault="000F027A" w:rsidP="00594EB5">
            <w:pPr>
              <w:tabs>
                <w:tab w:val="left" w:pos="720"/>
                <w:tab w:val="left" w:pos="1440"/>
                <w:tab w:val="left" w:pos="2880"/>
                <w:tab w:val="left" w:pos="4320"/>
                <w:tab w:val="left" w:pos="5040"/>
                <w:tab w:val="left" w:pos="5760"/>
                <w:tab w:val="left" w:pos="6480"/>
                <w:tab w:val="left" w:pos="7200"/>
              </w:tabs>
              <w:jc w:val="right"/>
              <w:rPr>
                <w:sz w:val="24"/>
              </w:rPr>
            </w:pPr>
            <w:r w:rsidRPr="00631F8F">
              <w:rPr>
                <w:sz w:val="24"/>
              </w:rPr>
              <w:t>Docket No.</w:t>
            </w:r>
          </w:p>
        </w:tc>
        <w:tc>
          <w:tcPr>
            <w:tcW w:w="1928" w:type="dxa"/>
            <w:tcMar>
              <w:left w:w="144" w:type="dxa"/>
            </w:tcMar>
          </w:tcPr>
          <w:p w14:paraId="4A0D0C71" w14:textId="77777777" w:rsidR="000F027A" w:rsidRPr="00631F8F" w:rsidRDefault="000F027A" w:rsidP="00594EB5">
            <w:pPr>
              <w:tabs>
                <w:tab w:val="left" w:pos="720"/>
                <w:tab w:val="left" w:pos="1440"/>
                <w:tab w:val="left" w:pos="2880"/>
                <w:tab w:val="left" w:pos="4320"/>
                <w:tab w:val="left" w:pos="5040"/>
                <w:tab w:val="left" w:pos="5760"/>
                <w:tab w:val="left" w:pos="6480"/>
                <w:tab w:val="left" w:pos="7200"/>
              </w:tabs>
              <w:rPr>
                <w:sz w:val="24"/>
              </w:rPr>
            </w:pPr>
            <w:r w:rsidRPr="00631F8F">
              <w:rPr>
                <w:sz w:val="24"/>
              </w:rPr>
              <w:t>RM26-4-000</w:t>
            </w:r>
          </w:p>
        </w:tc>
      </w:tr>
    </w:tbl>
    <w:p w14:paraId="108DFBFE" w14:textId="128D63B2" w:rsidR="000F027A" w:rsidRDefault="00FF7B3B" w:rsidP="00834438">
      <w:pPr>
        <w:pStyle w:val="BodyText"/>
        <w:jc w:val="center"/>
        <w:rPr>
          <w:b/>
        </w:rPr>
      </w:pPr>
      <w:r>
        <w:rPr>
          <w:b/>
        </w:rPr>
        <w:t xml:space="preserve">REPLY </w:t>
      </w:r>
      <w:r w:rsidR="000F027A" w:rsidRPr="00C231AA">
        <w:rPr>
          <w:b/>
        </w:rPr>
        <w:t xml:space="preserve">COMMENTS OF THE LARGE </w:t>
      </w:r>
      <w:r w:rsidR="00834438" w:rsidRPr="00C231AA">
        <w:rPr>
          <w:b/>
        </w:rPr>
        <w:t>PUBLIC POW</w:t>
      </w:r>
      <w:r w:rsidR="00C231AA">
        <w:rPr>
          <w:b/>
        </w:rPr>
        <w:t>E</w:t>
      </w:r>
      <w:r w:rsidR="00834438" w:rsidRPr="00C231AA">
        <w:rPr>
          <w:b/>
        </w:rPr>
        <w:t>R</w:t>
      </w:r>
      <w:r w:rsidR="000F027A" w:rsidRPr="00C231AA">
        <w:rPr>
          <w:b/>
        </w:rPr>
        <w:t xml:space="preserve"> COUNCIL</w:t>
      </w:r>
      <w:r w:rsidR="00683179">
        <w:rPr>
          <w:b/>
        </w:rPr>
        <w:t xml:space="preserve"> ENDORSING A CONSENSUS-BASED APPROACH TO LARGE LOAD INTERCONNECTION</w:t>
      </w:r>
      <w:r w:rsidR="00C66E35" w:rsidRPr="00C231AA">
        <w:rPr>
          <w:b/>
        </w:rPr>
        <w:t xml:space="preserve"> </w:t>
      </w:r>
    </w:p>
    <w:p w14:paraId="1663FED8" w14:textId="77777777" w:rsidR="00C41969" w:rsidRPr="00C231AA" w:rsidRDefault="00C41969" w:rsidP="0088303D">
      <w:pPr>
        <w:pStyle w:val="BodyText"/>
        <w:jc w:val="center"/>
        <w:rPr>
          <w:b/>
        </w:rPr>
      </w:pPr>
    </w:p>
    <w:p w14:paraId="3A4D6D58" w14:textId="028085B7" w:rsidR="00383FAC" w:rsidRDefault="006971FB" w:rsidP="006971FB">
      <w:pPr>
        <w:pStyle w:val="BodyText"/>
        <w:spacing w:line="480" w:lineRule="auto"/>
        <w:jc w:val="left"/>
      </w:pPr>
      <w:r>
        <w:rPr>
          <w:b/>
        </w:rPr>
        <w:tab/>
      </w:r>
      <w:r w:rsidRPr="006971FB">
        <w:t xml:space="preserve">These </w:t>
      </w:r>
      <w:r w:rsidR="00383FAC">
        <w:t xml:space="preserve">reply </w:t>
      </w:r>
      <w:r w:rsidRPr="006971FB">
        <w:t>comments are filed</w:t>
      </w:r>
      <w:r w:rsidR="00C66E35">
        <w:t xml:space="preserve"> on behalf of </w:t>
      </w:r>
      <w:r w:rsidRPr="006971FB">
        <w:t xml:space="preserve">the Large </w:t>
      </w:r>
      <w:r w:rsidR="00C231AA">
        <w:t xml:space="preserve">Public Power </w:t>
      </w:r>
      <w:r w:rsidRPr="006971FB">
        <w:t xml:space="preserve">Council </w:t>
      </w:r>
      <w:r w:rsidR="00D439AD">
        <w:t>(“</w:t>
      </w:r>
      <w:r w:rsidR="007B4CCE">
        <w:t>LPPC</w:t>
      </w:r>
      <w:r w:rsidR="00D439AD">
        <w:t xml:space="preserve">”) </w:t>
      </w:r>
      <w:r>
        <w:t>in</w:t>
      </w:r>
      <w:r w:rsidR="00383FAC">
        <w:t xml:space="preserve"> response to initial comments filed in this docket on November 21, 2025, and pursuant to the Notice </w:t>
      </w:r>
      <w:r w:rsidR="00EA7BE5">
        <w:t xml:space="preserve">Granting </w:t>
      </w:r>
      <w:r w:rsidR="00383FAC">
        <w:t xml:space="preserve">Extension </w:t>
      </w:r>
      <w:r w:rsidR="00EA7BE5">
        <w:t xml:space="preserve">of Time, </w:t>
      </w:r>
      <w:r w:rsidR="00383FAC">
        <w:t>issued by the Federal Energy Regulatory Commission (“FERC” or “the Commission”) on</w:t>
      </w:r>
      <w:r w:rsidR="00EA7BE5">
        <w:t xml:space="preserve"> November 7, 2025. </w:t>
      </w:r>
      <w:r w:rsidR="00383FAC">
        <w:t xml:space="preserve"> </w:t>
      </w:r>
    </w:p>
    <w:p w14:paraId="1469AA3A" w14:textId="4127735B" w:rsidR="00683179" w:rsidRDefault="00EA7BE5" w:rsidP="006971FB">
      <w:pPr>
        <w:pStyle w:val="BodyText"/>
        <w:spacing w:line="480" w:lineRule="auto"/>
        <w:jc w:val="left"/>
      </w:pPr>
      <w:r>
        <w:tab/>
        <w:t xml:space="preserve">In initial comments in this docket, LPPC expressed support for the objective articulated </w:t>
      </w:r>
      <w:r w:rsidR="00C01895">
        <w:t xml:space="preserve">by </w:t>
      </w:r>
      <w:r>
        <w:t xml:space="preserve">the </w:t>
      </w:r>
      <w:r w:rsidR="006971FB">
        <w:t>Department of Energy (“DOE”)</w:t>
      </w:r>
      <w:r w:rsidR="00C01895">
        <w:t xml:space="preserve"> of </w:t>
      </w:r>
      <w:r w:rsidR="006971FB">
        <w:t>a consistent</w:t>
      </w:r>
      <w:r w:rsidR="001D7CE0">
        <w:t>,</w:t>
      </w:r>
      <w:r w:rsidR="006971FB">
        <w:t xml:space="preserve"> nationwide approach to large load interconnection</w:t>
      </w:r>
      <w:r w:rsidR="00012BFC">
        <w:t>.</w:t>
      </w:r>
      <w:r>
        <w:t xml:space="preserve"> However, </w:t>
      </w:r>
      <w:r w:rsidR="00834438">
        <w:t>LPPC</w:t>
      </w:r>
      <w:r w:rsidR="00012BFC">
        <w:t xml:space="preserve"> </w:t>
      </w:r>
      <w:r w:rsidR="00A707F9">
        <w:t xml:space="preserve">asked that this </w:t>
      </w:r>
      <w:r w:rsidR="006971FB">
        <w:t>be accomplished w</w:t>
      </w:r>
      <w:r w:rsidR="000F3848">
        <w:t xml:space="preserve">hile respecting </w:t>
      </w:r>
      <w:r w:rsidR="0010506B">
        <w:t>the role reserved under the Federal Power Act (“FPA”) to state authorities over retail service</w:t>
      </w:r>
      <w:r w:rsidR="001D7CE0">
        <w:t>,</w:t>
      </w:r>
      <w:r w:rsidR="0010506B">
        <w:t xml:space="preserve"> of which large load is an increasing component.</w:t>
      </w:r>
      <w:r w:rsidR="00A016CF">
        <w:t xml:space="preserve"> </w:t>
      </w:r>
      <w:r w:rsidR="00C01895">
        <w:br/>
      </w:r>
      <w:r w:rsidR="00A707F9">
        <w:tab/>
      </w:r>
      <w:r w:rsidR="00683179">
        <w:t>W</w:t>
      </w:r>
      <w:r w:rsidR="00A707F9">
        <w:t xml:space="preserve">ith these objectives and concerns in mind, LPPC </w:t>
      </w:r>
      <w:r w:rsidR="00683179">
        <w:t xml:space="preserve">here </w:t>
      </w:r>
      <w:r w:rsidR="00A707F9">
        <w:t>renews the request outlined in its initial comments</w:t>
      </w:r>
      <w:r w:rsidR="00A707F9">
        <w:rPr>
          <w:rStyle w:val="FootnoteReference"/>
        </w:rPr>
        <w:footnoteReference w:id="2"/>
      </w:r>
      <w:r w:rsidR="00683179">
        <w:t xml:space="preserve"> </w:t>
      </w:r>
      <w:r w:rsidR="0005455E">
        <w:t>that</w:t>
      </w:r>
      <w:r w:rsidR="00683179">
        <w:t xml:space="preserve"> the Commission convene a forum to develop a consensus-based approach to large load interconnection that may be adopted voluntarily across the nation</w:t>
      </w:r>
      <w:r w:rsidR="0005455E">
        <w:t>.  Should the Commission proceed this way, it may reserve</w:t>
      </w:r>
      <w:r w:rsidR="00683179">
        <w:t xml:space="preserve"> the right to take mandatory action at some future juncture on complaint or on its own motion, should implementation of th</w:t>
      </w:r>
      <w:r w:rsidR="00CD46E8">
        <w:t xml:space="preserve">e consensus </w:t>
      </w:r>
      <w:r w:rsidR="00683179">
        <w:t xml:space="preserve">framework not meet </w:t>
      </w:r>
      <w:r w:rsidR="00CD46E8">
        <w:t>the Commission’s</w:t>
      </w:r>
      <w:r w:rsidR="00683179">
        <w:t xml:space="preserve"> expectations. </w:t>
      </w:r>
    </w:p>
    <w:p w14:paraId="7F17D071" w14:textId="77777777" w:rsidR="00683179" w:rsidRDefault="00683179" w:rsidP="006971FB">
      <w:pPr>
        <w:pStyle w:val="BodyText"/>
        <w:spacing w:line="480" w:lineRule="auto"/>
        <w:jc w:val="left"/>
      </w:pPr>
    </w:p>
    <w:p w14:paraId="3DDEF044" w14:textId="3BECC21E" w:rsidR="00AE1EC8" w:rsidRDefault="00AE1EC8" w:rsidP="00CD46E8">
      <w:pPr>
        <w:pStyle w:val="BodyText"/>
        <w:spacing w:line="480" w:lineRule="auto"/>
        <w:jc w:val="center"/>
        <w:rPr>
          <w:b/>
        </w:rPr>
      </w:pPr>
      <w:r>
        <w:rPr>
          <w:b/>
        </w:rPr>
        <w:lastRenderedPageBreak/>
        <w:t>COMMENTS</w:t>
      </w:r>
    </w:p>
    <w:p w14:paraId="38996DA9" w14:textId="2423F0DD" w:rsidR="006E60E8" w:rsidRDefault="006E60E8" w:rsidP="004B7B22">
      <w:pPr>
        <w:pStyle w:val="BodyText"/>
        <w:numPr>
          <w:ilvl w:val="0"/>
          <w:numId w:val="8"/>
        </w:numPr>
        <w:jc w:val="left"/>
        <w:rPr>
          <w:b/>
        </w:rPr>
      </w:pPr>
      <w:r w:rsidRPr="006E60E8">
        <w:rPr>
          <w:b/>
        </w:rPr>
        <w:t>A Significant Cross-Section of Parties in this Docket have Expressed Concern Regarding FERC’s Jurisdiction in this Matter</w:t>
      </w:r>
      <w:r>
        <w:rPr>
          <w:b/>
        </w:rPr>
        <w:t xml:space="preserve">. </w:t>
      </w:r>
    </w:p>
    <w:p w14:paraId="0699C19C" w14:textId="77777777" w:rsidR="002300CF" w:rsidRDefault="002300CF" w:rsidP="002300CF">
      <w:pPr>
        <w:pStyle w:val="BodyText"/>
        <w:jc w:val="left"/>
        <w:rPr>
          <w:b/>
        </w:rPr>
      </w:pPr>
    </w:p>
    <w:p w14:paraId="6AF214E5" w14:textId="08602E3C" w:rsidR="002D0C7E" w:rsidRDefault="00711DF1" w:rsidP="000A22B5">
      <w:pPr>
        <w:pStyle w:val="BodyText"/>
        <w:spacing w:line="480" w:lineRule="auto"/>
        <w:ind w:firstLine="720"/>
        <w:jc w:val="left"/>
        <w:rPr>
          <w:bCs/>
        </w:rPr>
      </w:pPr>
      <w:r>
        <w:rPr>
          <w:bCs/>
        </w:rPr>
        <w:t>Concerns that LPPC voiced in its initial comments regarding the scope of FERC</w:t>
      </w:r>
      <w:r w:rsidR="00DA2D95">
        <w:rPr>
          <w:bCs/>
        </w:rPr>
        <w:t>’</w:t>
      </w:r>
      <w:r>
        <w:rPr>
          <w:bCs/>
        </w:rPr>
        <w:t xml:space="preserve">s authority to mandate </w:t>
      </w:r>
      <w:r w:rsidR="002021E9">
        <w:rPr>
          <w:bCs/>
        </w:rPr>
        <w:t xml:space="preserve">large load interconnections as proposed </w:t>
      </w:r>
      <w:r>
        <w:rPr>
          <w:bCs/>
        </w:rPr>
        <w:t xml:space="preserve">in the ANOPR have been echoed by a broad cross-section of parties in this docket, including the National Association of </w:t>
      </w:r>
      <w:r w:rsidR="00DA2D95">
        <w:rPr>
          <w:bCs/>
        </w:rPr>
        <w:t xml:space="preserve">Regulatory </w:t>
      </w:r>
      <w:r>
        <w:rPr>
          <w:bCs/>
        </w:rPr>
        <w:t>Utility Commissioners</w:t>
      </w:r>
      <w:r w:rsidR="002021E9">
        <w:rPr>
          <w:bCs/>
        </w:rPr>
        <w:t xml:space="preserve"> (“NARUC”)</w:t>
      </w:r>
      <w:r>
        <w:rPr>
          <w:bCs/>
        </w:rPr>
        <w:t>,</w:t>
      </w:r>
      <w:r w:rsidR="002021E9">
        <w:rPr>
          <w:rStyle w:val="FootnoteReference"/>
          <w:bCs/>
        </w:rPr>
        <w:footnoteReference w:id="3"/>
      </w:r>
      <w:r>
        <w:rPr>
          <w:bCs/>
        </w:rPr>
        <w:t xml:space="preserve"> the Edison Electric Institute</w:t>
      </w:r>
      <w:r w:rsidR="002021E9">
        <w:rPr>
          <w:bCs/>
        </w:rPr>
        <w:t xml:space="preserve"> (“EEI”)</w:t>
      </w:r>
      <w:r>
        <w:rPr>
          <w:bCs/>
        </w:rPr>
        <w:t>,</w:t>
      </w:r>
      <w:r w:rsidR="002021E9">
        <w:rPr>
          <w:rStyle w:val="FootnoteReference"/>
          <w:bCs/>
        </w:rPr>
        <w:footnoteReference w:id="4"/>
      </w:r>
      <w:r>
        <w:rPr>
          <w:bCs/>
        </w:rPr>
        <w:t xml:space="preserve"> the National Rural Electric Cooperative Association</w:t>
      </w:r>
      <w:r w:rsidR="002D0C7E">
        <w:rPr>
          <w:bCs/>
        </w:rPr>
        <w:t xml:space="preserve"> (“NRECA”)</w:t>
      </w:r>
      <w:r>
        <w:rPr>
          <w:bCs/>
        </w:rPr>
        <w:t>,</w:t>
      </w:r>
      <w:r w:rsidR="002D0C7E">
        <w:rPr>
          <w:rStyle w:val="FootnoteReference"/>
          <w:bCs/>
        </w:rPr>
        <w:footnoteReference w:id="5"/>
      </w:r>
      <w:r>
        <w:rPr>
          <w:bCs/>
        </w:rPr>
        <w:t xml:space="preserve"> </w:t>
      </w:r>
      <w:r w:rsidR="00DA2D95">
        <w:rPr>
          <w:bCs/>
        </w:rPr>
        <w:t>the American Public Power Association (“APPA”)</w:t>
      </w:r>
      <w:r w:rsidR="00DA2D95">
        <w:rPr>
          <w:rStyle w:val="FootnoteReference"/>
          <w:bCs/>
        </w:rPr>
        <w:footnoteReference w:id="6"/>
      </w:r>
      <w:r w:rsidR="00DA2D95">
        <w:rPr>
          <w:bCs/>
        </w:rPr>
        <w:t xml:space="preserve"> </w:t>
      </w:r>
      <w:r>
        <w:rPr>
          <w:bCs/>
        </w:rPr>
        <w:t>and the overwhelming majority of commenting state commissions</w:t>
      </w:r>
      <w:r w:rsidR="000D52E5">
        <w:rPr>
          <w:bCs/>
        </w:rPr>
        <w:t xml:space="preserve">.  </w:t>
      </w:r>
    </w:p>
    <w:p w14:paraId="4F1BC6BA" w14:textId="74ED108E" w:rsidR="002D0C7E" w:rsidRDefault="002D0C7E" w:rsidP="000A22B5">
      <w:pPr>
        <w:pStyle w:val="BodyText"/>
        <w:spacing w:line="480" w:lineRule="auto"/>
        <w:ind w:firstLine="720"/>
        <w:jc w:val="left"/>
        <w:rPr>
          <w:bCs/>
        </w:rPr>
      </w:pPr>
      <w:r>
        <w:rPr>
          <w:bCs/>
        </w:rPr>
        <w:t xml:space="preserve">The concerns voiced by these parties are similar to those outlined by LPPC in initial comments. In </w:t>
      </w:r>
      <w:r w:rsidR="00DA2D95">
        <w:rPr>
          <w:bCs/>
        </w:rPr>
        <w:t>its</w:t>
      </w:r>
      <w:r w:rsidR="000D52E5">
        <w:rPr>
          <w:bCs/>
        </w:rPr>
        <w:t xml:space="preserve"> comments</w:t>
      </w:r>
      <w:r>
        <w:rPr>
          <w:bCs/>
        </w:rPr>
        <w:t xml:space="preserve">, </w:t>
      </w:r>
      <w:r w:rsidR="00CD46E8">
        <w:rPr>
          <w:bCs/>
        </w:rPr>
        <w:t>LPPC urged the Commission</w:t>
      </w:r>
      <w:r w:rsidR="001B10EF">
        <w:rPr>
          <w:bCs/>
        </w:rPr>
        <w:t xml:space="preserve">, should </w:t>
      </w:r>
      <w:r w:rsidR="002A532F">
        <w:rPr>
          <w:bCs/>
        </w:rPr>
        <w:t xml:space="preserve">it </w:t>
      </w:r>
      <w:r w:rsidR="001B10EF">
        <w:rPr>
          <w:bCs/>
        </w:rPr>
        <w:t>adopt</w:t>
      </w:r>
      <w:r w:rsidR="002A532F">
        <w:rPr>
          <w:bCs/>
        </w:rPr>
        <w:t xml:space="preserve"> a rule</w:t>
      </w:r>
      <w:r w:rsidR="001B10EF">
        <w:rPr>
          <w:bCs/>
        </w:rPr>
        <w:t xml:space="preserve"> in this docket, </w:t>
      </w:r>
      <w:r w:rsidR="00CD46E8">
        <w:rPr>
          <w:bCs/>
        </w:rPr>
        <w:t xml:space="preserve">to eschew any intention to interfere with </w:t>
      </w:r>
      <w:r w:rsidR="00734665">
        <w:rPr>
          <w:bCs/>
        </w:rPr>
        <w:t>the terms and conditions of retail service, including contractual terms and the assessment and allocation of the cost of generation</w:t>
      </w:r>
      <w:r w:rsidR="001B10EF">
        <w:rPr>
          <w:bCs/>
        </w:rPr>
        <w:t xml:space="preserve"> needed to serve large loads. Further, LPPC </w:t>
      </w:r>
      <w:r w:rsidR="00BB0BEB">
        <w:rPr>
          <w:bCs/>
        </w:rPr>
        <w:t xml:space="preserve">asked </w:t>
      </w:r>
      <w:r w:rsidR="001B10EF">
        <w:rPr>
          <w:bCs/>
        </w:rPr>
        <w:t xml:space="preserve">the Commission to clarify that its intention </w:t>
      </w:r>
      <w:r w:rsidR="00BB0BEB">
        <w:rPr>
          <w:bCs/>
        </w:rPr>
        <w:t xml:space="preserve">is </w:t>
      </w:r>
      <w:r w:rsidR="001B10EF">
        <w:rPr>
          <w:bCs/>
        </w:rPr>
        <w:t>not to mandate retail wheeling, as would be prohibited by Federal Power Act (“FPA”) section 210(h)</w:t>
      </w:r>
      <w:r w:rsidR="002A532F">
        <w:rPr>
          <w:bCs/>
        </w:rPr>
        <w:t>.</w:t>
      </w:r>
      <w:r w:rsidR="002A532F">
        <w:rPr>
          <w:rStyle w:val="FootnoteReference"/>
          <w:bCs/>
        </w:rPr>
        <w:footnoteReference w:id="7"/>
      </w:r>
      <w:r w:rsidR="002A532F">
        <w:rPr>
          <w:bCs/>
        </w:rPr>
        <w:t xml:space="preserve">  In addition, LPPC cautioned that the Commission’s </w:t>
      </w:r>
      <w:r>
        <w:rPr>
          <w:bCs/>
        </w:rPr>
        <w:t xml:space="preserve">assertion of </w:t>
      </w:r>
      <w:r w:rsidR="002A532F">
        <w:rPr>
          <w:bCs/>
        </w:rPr>
        <w:t xml:space="preserve">authority over retail interconnections where transmission remains bundled with retail sales is questionable, and fraught with </w:t>
      </w:r>
      <w:r>
        <w:rPr>
          <w:bCs/>
        </w:rPr>
        <w:t xml:space="preserve">potential </w:t>
      </w:r>
      <w:r w:rsidR="002A532F">
        <w:rPr>
          <w:bCs/>
        </w:rPr>
        <w:t>unintended consequences as to the scope of responsibility</w:t>
      </w:r>
      <w:r>
        <w:rPr>
          <w:bCs/>
        </w:rPr>
        <w:t xml:space="preserve"> over retail transmission that </w:t>
      </w:r>
      <w:r w:rsidR="002A532F">
        <w:rPr>
          <w:bCs/>
        </w:rPr>
        <w:t>the assertion of this jurisdiction would entail.</w:t>
      </w:r>
      <w:r w:rsidR="000A22B5">
        <w:rPr>
          <w:rStyle w:val="FootnoteReference"/>
          <w:bCs/>
        </w:rPr>
        <w:footnoteReference w:id="8"/>
      </w:r>
    </w:p>
    <w:p w14:paraId="418F9840" w14:textId="56CE9AF6" w:rsidR="006E60E8" w:rsidRPr="006E60E8" w:rsidRDefault="000A22B5" w:rsidP="000A22B5">
      <w:pPr>
        <w:pStyle w:val="BodyText"/>
        <w:spacing w:line="480" w:lineRule="auto"/>
        <w:ind w:firstLine="720"/>
        <w:jc w:val="left"/>
        <w:rPr>
          <w:b/>
        </w:rPr>
      </w:pPr>
      <w:r>
        <w:rPr>
          <w:bCs/>
        </w:rPr>
        <w:lastRenderedPageBreak/>
        <w:t xml:space="preserve"> </w:t>
      </w:r>
    </w:p>
    <w:p w14:paraId="1A7B2242" w14:textId="0FA655E1" w:rsidR="00AE1EC8" w:rsidRDefault="00E22DEA" w:rsidP="00E22DEA">
      <w:pPr>
        <w:pStyle w:val="BodyText"/>
        <w:numPr>
          <w:ilvl w:val="0"/>
          <w:numId w:val="8"/>
        </w:numPr>
        <w:ind w:left="1527" w:hanging="749"/>
        <w:jc w:val="left"/>
        <w:rPr>
          <w:b/>
        </w:rPr>
      </w:pPr>
      <w:r>
        <w:rPr>
          <w:b/>
        </w:rPr>
        <w:t xml:space="preserve">There is Substantial Support in the Docket for </w:t>
      </w:r>
      <w:r w:rsidR="00AE1EC8">
        <w:rPr>
          <w:b/>
        </w:rPr>
        <w:t>a Consensus-Based</w:t>
      </w:r>
      <w:r w:rsidR="000A22B5">
        <w:rPr>
          <w:b/>
        </w:rPr>
        <w:t xml:space="preserve"> </w:t>
      </w:r>
      <w:r w:rsidR="00AE1EC8">
        <w:rPr>
          <w:b/>
        </w:rPr>
        <w:t>Approach to Large Load Interconnection</w:t>
      </w:r>
      <w:r w:rsidR="000A22B5">
        <w:rPr>
          <w:b/>
        </w:rPr>
        <w:t xml:space="preserve">. </w:t>
      </w:r>
    </w:p>
    <w:p w14:paraId="0D48E61E" w14:textId="77777777" w:rsidR="00AE1EC8" w:rsidRDefault="00AE1EC8" w:rsidP="00AE1EC8">
      <w:pPr>
        <w:pStyle w:val="BodyText"/>
        <w:jc w:val="left"/>
        <w:rPr>
          <w:b/>
        </w:rPr>
      </w:pPr>
    </w:p>
    <w:p w14:paraId="71BB380A" w14:textId="77777777" w:rsidR="00A816FC" w:rsidRDefault="009560CD" w:rsidP="002640AA">
      <w:pPr>
        <w:pStyle w:val="BodyText"/>
        <w:spacing w:line="480" w:lineRule="auto"/>
        <w:ind w:firstLine="720"/>
        <w:jc w:val="left"/>
        <w:rPr>
          <w:bCs/>
        </w:rPr>
      </w:pPr>
      <w:r>
        <w:rPr>
          <w:bCs/>
        </w:rPr>
        <w:t>In comments that LPPC endorses, NARUC “pledges to engage with regulated entities and with other stakeholders to explore consensus solutions for FERC’s consideration that will help meet national goals, while avoiding disputes over jurisdiction that wou</w:t>
      </w:r>
      <w:r w:rsidR="00BA12B4">
        <w:rPr>
          <w:bCs/>
        </w:rPr>
        <w:t>ld</w:t>
      </w:r>
      <w:r>
        <w:rPr>
          <w:bCs/>
        </w:rPr>
        <w:t xml:space="preserve"> impede achieving our shared goals.”</w:t>
      </w:r>
      <w:r>
        <w:rPr>
          <w:rStyle w:val="FootnoteReference"/>
          <w:bCs/>
        </w:rPr>
        <w:footnoteReference w:id="9"/>
      </w:r>
      <w:r>
        <w:rPr>
          <w:bCs/>
        </w:rPr>
        <w:t xml:space="preserve"> </w:t>
      </w:r>
    </w:p>
    <w:p w14:paraId="637957C3" w14:textId="45A1104C" w:rsidR="009560CD" w:rsidRPr="009560CD" w:rsidRDefault="002640AA" w:rsidP="002640AA">
      <w:pPr>
        <w:pStyle w:val="BodyText"/>
        <w:spacing w:line="480" w:lineRule="auto"/>
        <w:ind w:firstLine="720"/>
        <w:jc w:val="left"/>
        <w:rPr>
          <w:bCs/>
        </w:rPr>
      </w:pPr>
      <w:r>
        <w:rPr>
          <w:bCs/>
        </w:rPr>
        <w:t xml:space="preserve">The docket is filled with similar comments. </w:t>
      </w:r>
      <w:r w:rsidR="00BA12B4">
        <w:rPr>
          <w:bCs/>
        </w:rPr>
        <w:t xml:space="preserve">The Organization of PJM States, </w:t>
      </w:r>
      <w:r w:rsidR="00BA12B4">
        <w:rPr>
          <w:bCs/>
          <w:i/>
          <w:iCs/>
        </w:rPr>
        <w:t>e.g.,</w:t>
      </w:r>
      <w:r>
        <w:rPr>
          <w:bCs/>
          <w:i/>
          <w:iCs/>
        </w:rPr>
        <w:t xml:space="preserve"> </w:t>
      </w:r>
      <w:r w:rsidR="00BA12B4">
        <w:rPr>
          <w:bCs/>
        </w:rPr>
        <w:t>advises that “[r]</w:t>
      </w:r>
      <w:proofErr w:type="spellStart"/>
      <w:r w:rsidR="00BA12B4">
        <w:rPr>
          <w:bCs/>
        </w:rPr>
        <w:t>ather</w:t>
      </w:r>
      <w:proofErr w:type="spellEnd"/>
      <w:r w:rsidR="00BA12B4">
        <w:rPr>
          <w:bCs/>
        </w:rPr>
        <w:t xml:space="preserve"> than unilaterally imposing federal jurisdiction on these interconnections, FERC should pursue a cooperative approach – potentially developing voluntary best practices with states and other novel approaches to meet the moment – without undermining stat</w:t>
      </w:r>
      <w:r w:rsidR="00DA2D95">
        <w:rPr>
          <w:bCs/>
        </w:rPr>
        <w:t>e</w:t>
      </w:r>
      <w:r w:rsidR="00BA12B4">
        <w:rPr>
          <w:bCs/>
        </w:rPr>
        <w:t xml:space="preserve"> authority or established statutory frameworks.”</w:t>
      </w:r>
      <w:r w:rsidR="007215FD">
        <w:rPr>
          <w:rStyle w:val="FootnoteReference"/>
          <w:bCs/>
        </w:rPr>
        <w:footnoteReference w:id="10"/>
      </w:r>
      <w:r w:rsidR="00BA12B4">
        <w:rPr>
          <w:bCs/>
        </w:rPr>
        <w:t xml:space="preserve"> </w:t>
      </w:r>
      <w:r w:rsidR="00A816FC">
        <w:rPr>
          <w:bCs/>
        </w:rPr>
        <w:t>Similarly, the Nebraska Power Review Board “encourages FERC to adopt a collaborative approach where FERC, state commissions and transmission providers work together to develop solutions.  Remedies other than exerting jurisdiction over the issue should be explored.…”</w:t>
      </w:r>
      <w:r w:rsidR="00A816FC">
        <w:rPr>
          <w:rStyle w:val="FootnoteReference"/>
          <w:bCs/>
        </w:rPr>
        <w:footnoteReference w:id="11"/>
      </w:r>
      <w:r w:rsidR="00A816FC">
        <w:rPr>
          <w:bCs/>
        </w:rPr>
        <w:t xml:space="preserve"> In the same vein, the New York State Public Service Commission says that “[g]</w:t>
      </w:r>
      <w:proofErr w:type="spellStart"/>
      <w:r w:rsidR="00A816FC">
        <w:rPr>
          <w:bCs/>
        </w:rPr>
        <w:t>iven</w:t>
      </w:r>
      <w:proofErr w:type="spellEnd"/>
      <w:r w:rsidR="00A816FC">
        <w:rPr>
          <w:bCs/>
        </w:rPr>
        <w:t xml:space="preserve"> the jurisdictional issues with the Proposed ANOPR, the NYPSC encourages the Commission to…work collaboratively with stakeholders to identify other efforts that should be pursued to address the interconnection of large load.”</w:t>
      </w:r>
      <w:r w:rsidR="00A816FC">
        <w:rPr>
          <w:rStyle w:val="FootnoteReference"/>
          <w:bCs/>
        </w:rPr>
        <w:footnoteReference w:id="12"/>
      </w:r>
      <w:r w:rsidR="00A816FC">
        <w:rPr>
          <w:bCs/>
        </w:rPr>
        <w:t xml:space="preserve"> </w:t>
      </w:r>
      <w:r w:rsidR="00CC0C10">
        <w:rPr>
          <w:bCs/>
        </w:rPr>
        <w:t xml:space="preserve">The Organization of MISO States recommends that “the Commission should pursue a cooperative federalism approach by developing voluntary best practices with states to improve interconnection efficiency, requiring </w:t>
      </w:r>
      <w:r w:rsidR="00CC0C10">
        <w:rPr>
          <w:bCs/>
        </w:rPr>
        <w:lastRenderedPageBreak/>
        <w:t>load interconnection processes that enhance transparency, and other novel approaches that meet the moment.”</w:t>
      </w:r>
      <w:r w:rsidR="00CC0C10">
        <w:rPr>
          <w:rStyle w:val="FootnoteReference"/>
          <w:bCs/>
        </w:rPr>
        <w:footnoteReference w:id="13"/>
      </w:r>
      <w:r w:rsidR="00CC0C10">
        <w:rPr>
          <w:bCs/>
        </w:rPr>
        <w:t xml:space="preserve"> </w:t>
      </w:r>
      <w:r w:rsidR="00A816FC">
        <w:rPr>
          <w:bCs/>
        </w:rPr>
        <w:t xml:space="preserve">  </w:t>
      </w:r>
      <w:r w:rsidR="00BA12B4">
        <w:rPr>
          <w:bCs/>
          <w:i/>
          <w:iCs/>
        </w:rPr>
        <w:t xml:space="preserve"> </w:t>
      </w:r>
      <w:r w:rsidR="00BA12B4">
        <w:rPr>
          <w:bCs/>
        </w:rPr>
        <w:t xml:space="preserve"> </w:t>
      </w:r>
    </w:p>
    <w:p w14:paraId="6ADFEF91" w14:textId="2AFF9EC8" w:rsidR="007A608C" w:rsidRDefault="007A608C" w:rsidP="007A608C">
      <w:pPr>
        <w:pStyle w:val="BodyText"/>
        <w:ind w:left="1440" w:hanging="720"/>
        <w:jc w:val="left"/>
      </w:pPr>
      <w:r>
        <w:rPr>
          <w:b/>
        </w:rPr>
        <w:t>C</w:t>
      </w:r>
      <w:r w:rsidRPr="00377B71">
        <w:rPr>
          <w:b/>
        </w:rPr>
        <w:t>.</w:t>
      </w:r>
      <w:r w:rsidRPr="00377B71">
        <w:rPr>
          <w:b/>
        </w:rPr>
        <w:tab/>
      </w:r>
      <w:r>
        <w:rPr>
          <w:b/>
        </w:rPr>
        <w:t>LPPC</w:t>
      </w:r>
      <w:r w:rsidRPr="00377B71">
        <w:rPr>
          <w:b/>
        </w:rPr>
        <w:t xml:space="preserve"> Urges </w:t>
      </w:r>
      <w:r>
        <w:rPr>
          <w:b/>
        </w:rPr>
        <w:t>t</w:t>
      </w:r>
      <w:r w:rsidRPr="00377B71">
        <w:rPr>
          <w:b/>
        </w:rPr>
        <w:t xml:space="preserve">he Commission </w:t>
      </w:r>
      <w:r>
        <w:rPr>
          <w:b/>
        </w:rPr>
        <w:t>t</w:t>
      </w:r>
      <w:r w:rsidRPr="00377B71">
        <w:rPr>
          <w:b/>
        </w:rPr>
        <w:t xml:space="preserve">o Consider Fostering </w:t>
      </w:r>
      <w:r w:rsidR="007B0F26">
        <w:rPr>
          <w:b/>
        </w:rPr>
        <w:t>b</w:t>
      </w:r>
      <w:r>
        <w:rPr>
          <w:b/>
        </w:rPr>
        <w:t xml:space="preserve">ut </w:t>
      </w:r>
      <w:r w:rsidR="007B0F26">
        <w:rPr>
          <w:b/>
        </w:rPr>
        <w:t>n</w:t>
      </w:r>
      <w:r>
        <w:rPr>
          <w:b/>
        </w:rPr>
        <w:t>ot Mandating a</w:t>
      </w:r>
      <w:r w:rsidRPr="00377B71">
        <w:rPr>
          <w:b/>
        </w:rPr>
        <w:t xml:space="preserve"> Consensus-Based Approach </w:t>
      </w:r>
      <w:r>
        <w:rPr>
          <w:b/>
        </w:rPr>
        <w:t>t</w:t>
      </w:r>
      <w:r w:rsidRPr="00377B71">
        <w:rPr>
          <w:b/>
        </w:rPr>
        <w:t>o Large Load Interconnection</w:t>
      </w:r>
      <w:r>
        <w:t xml:space="preserve">.  </w:t>
      </w:r>
    </w:p>
    <w:p w14:paraId="2BF67501" w14:textId="77777777" w:rsidR="007A608C" w:rsidRDefault="007A608C" w:rsidP="007A608C">
      <w:pPr>
        <w:pStyle w:val="BodyText"/>
        <w:ind w:left="1440" w:hanging="720"/>
        <w:jc w:val="left"/>
        <w:rPr>
          <w:b/>
        </w:rPr>
      </w:pPr>
    </w:p>
    <w:p w14:paraId="12F03529" w14:textId="54B3A96F" w:rsidR="007C4533" w:rsidRDefault="00E22DEA" w:rsidP="007A608C">
      <w:pPr>
        <w:pStyle w:val="BodyText"/>
        <w:spacing w:line="480" w:lineRule="auto"/>
        <w:jc w:val="left"/>
      </w:pPr>
      <w:r>
        <w:tab/>
      </w:r>
      <w:r w:rsidR="007A608C">
        <w:t>Recognizing both the national interest in serving growing data center load, and the fundamental jurisdictional challenge the ANOPR poses with respect to state regulatory authority</w:t>
      </w:r>
      <w:r w:rsidR="007B0F26">
        <w:t xml:space="preserve">, </w:t>
      </w:r>
      <w:r w:rsidR="007A608C">
        <w:t xml:space="preserve"> LPPC </w:t>
      </w:r>
      <w:r w:rsidR="007B0F26">
        <w:t xml:space="preserve">advocated </w:t>
      </w:r>
      <w:r w:rsidR="007C4533">
        <w:t xml:space="preserve">in initial comments and reiterates here its suggestion that </w:t>
      </w:r>
      <w:r w:rsidR="007A608C">
        <w:t xml:space="preserve">the Commission convene a forum to develop a consensus-based approach to large load interconnection. That forum, overseen by FERC, </w:t>
      </w:r>
      <w:r w:rsidR="007C4533">
        <w:t xml:space="preserve">should </w:t>
      </w:r>
      <w:r w:rsidR="007A608C">
        <w:t xml:space="preserve">include NARUC and representatives from the </w:t>
      </w:r>
      <w:r w:rsidR="007C4533">
        <w:t>i</w:t>
      </w:r>
      <w:r w:rsidR="007A608C">
        <w:t>nvestor</w:t>
      </w:r>
      <w:r w:rsidR="00565B4E">
        <w:t>-</w:t>
      </w:r>
      <w:r w:rsidR="007C4533">
        <w:t>o</w:t>
      </w:r>
      <w:r w:rsidR="007A608C">
        <w:t>wned</w:t>
      </w:r>
      <w:r w:rsidR="00DA2D95">
        <w:t xml:space="preserve"> </w:t>
      </w:r>
      <w:r w:rsidR="007C4533">
        <w:t>u</w:t>
      </w:r>
      <w:r w:rsidR="007A608C">
        <w:t>tility</w:t>
      </w:r>
      <w:r w:rsidR="007C4533">
        <w:t xml:space="preserve">, public power and </w:t>
      </w:r>
      <w:r w:rsidR="007A608C">
        <w:t xml:space="preserve">cooperative communities. </w:t>
      </w:r>
      <w:r w:rsidR="007C4533">
        <w:t xml:space="preserve">LPPC would commit to participate in such a forum and supports the suggestion it understands NARUC will make in </w:t>
      </w:r>
      <w:proofErr w:type="gramStart"/>
      <w:r w:rsidR="007C4533">
        <w:t>reply</w:t>
      </w:r>
      <w:proofErr w:type="gramEnd"/>
      <w:r w:rsidR="007C4533">
        <w:t xml:space="preserve"> comments in this docket that this discussion begin with a Commission-sponsored technical conference. LPPC suggests that following a technical conference, the development of a consensus-based approach to interconnection may best be accomplished in the context of workshops drawing together entities and individuals with relevant experiences and varied perspectives.     </w:t>
      </w:r>
    </w:p>
    <w:p w14:paraId="28F36D6C" w14:textId="0BD12850" w:rsidR="007A608C" w:rsidRDefault="007C4533" w:rsidP="007A608C">
      <w:pPr>
        <w:pStyle w:val="BodyText"/>
        <w:spacing w:line="480" w:lineRule="auto"/>
        <w:jc w:val="left"/>
        <w:rPr>
          <w:b/>
        </w:rPr>
      </w:pPr>
      <w:r>
        <w:tab/>
        <w:t>As to the substance of an interconnection framework</w:t>
      </w:r>
      <w:r w:rsidR="009B63D6">
        <w:t>,</w:t>
      </w:r>
      <w:r>
        <w:t xml:space="preserve"> </w:t>
      </w:r>
      <w:r w:rsidR="007A608C">
        <w:t>LPPC envisions that the Principles of Reform outlined in the ANOPR would serve as a starting point for relevant discussions</w:t>
      </w:r>
      <w:r w:rsidR="00C27A27">
        <w:t xml:space="preserve">. </w:t>
      </w:r>
      <w:r w:rsidR="009B63D6">
        <w:t xml:space="preserve">Assuming consensus can be achieved, the </w:t>
      </w:r>
      <w:r w:rsidR="00C27A27">
        <w:t xml:space="preserve">framework may be articulated in a policy statement or </w:t>
      </w:r>
      <w:r w:rsidR="009B63D6">
        <w:t xml:space="preserve">simply in </w:t>
      </w:r>
      <w:r w:rsidR="00C27A27">
        <w:t xml:space="preserve">an order </w:t>
      </w:r>
      <w:r w:rsidR="009B63D6">
        <w:t xml:space="preserve">closing this </w:t>
      </w:r>
      <w:r w:rsidR="00C27A27">
        <w:t xml:space="preserve">proceeding. The </w:t>
      </w:r>
      <w:r w:rsidR="007A608C">
        <w:t xml:space="preserve">resulting framework may be adopted consensually across the nation. Following some period of time for voluntary adoption of the framework, FERC </w:t>
      </w:r>
      <w:r w:rsidR="009B63D6">
        <w:t xml:space="preserve">may reserve the option of taking further action if it </w:t>
      </w:r>
      <w:r w:rsidR="007A608C">
        <w:t xml:space="preserve">determines that progress in interconnecting large loads has </w:t>
      </w:r>
      <w:r w:rsidR="00BA6C02">
        <w:t xml:space="preserve">unreasonably </w:t>
      </w:r>
      <w:r w:rsidR="007A608C">
        <w:t>stalled</w:t>
      </w:r>
      <w:r w:rsidR="009B63D6">
        <w:t>.  By the same token</w:t>
      </w:r>
      <w:r w:rsidR="007A608C">
        <w:t xml:space="preserve">, parties would reserve </w:t>
      </w:r>
      <w:r w:rsidR="007A608C">
        <w:lastRenderedPageBreak/>
        <w:t xml:space="preserve">the right to challenge further action. </w:t>
      </w:r>
      <w:r w:rsidR="009B63D6">
        <w:t xml:space="preserve">LPPC is optimistic that in this manner </w:t>
      </w:r>
      <w:r w:rsidR="007A608C">
        <w:t xml:space="preserve">progress </w:t>
      </w:r>
      <w:r w:rsidR="009B63D6">
        <w:t xml:space="preserve">may very well be made more quickly than in the context of litigation in this docket, </w:t>
      </w:r>
      <w:r w:rsidR="007A608C">
        <w:t xml:space="preserve">without the distraction and inevitable delays associated with litigation of the thorny legal questions the ANOPR raises.        </w:t>
      </w:r>
    </w:p>
    <w:p w14:paraId="39450E6F" w14:textId="11A0906D" w:rsidR="00C81B26" w:rsidRDefault="00C81B26" w:rsidP="002E4F1E">
      <w:pPr>
        <w:widowControl/>
        <w:rPr>
          <w:sz w:val="24"/>
        </w:rPr>
      </w:pPr>
    </w:p>
    <w:p w14:paraId="57D1691B" w14:textId="4A1E0BA2" w:rsidR="00C81B26" w:rsidRDefault="00C81B26" w:rsidP="00C81B26">
      <w:pPr>
        <w:widowControl/>
        <w:jc w:val="center"/>
        <w:rPr>
          <w:b/>
        </w:rPr>
      </w:pPr>
      <w:r w:rsidRPr="00C81B26">
        <w:rPr>
          <w:b/>
        </w:rPr>
        <w:t xml:space="preserve">CONCLUSION </w:t>
      </w:r>
    </w:p>
    <w:p w14:paraId="7DB13318" w14:textId="6C802671" w:rsidR="00C81B26" w:rsidRDefault="00C81B26" w:rsidP="00C81B26">
      <w:pPr>
        <w:widowControl/>
        <w:jc w:val="center"/>
        <w:rPr>
          <w:b/>
        </w:rPr>
      </w:pPr>
    </w:p>
    <w:p w14:paraId="39C16A8B" w14:textId="7C7A10CB" w:rsidR="00247EF7" w:rsidRDefault="00C81B26" w:rsidP="00247EF7">
      <w:pPr>
        <w:widowControl/>
        <w:spacing w:line="480" w:lineRule="auto"/>
      </w:pPr>
      <w:r>
        <w:rPr>
          <w:b/>
        </w:rPr>
        <w:tab/>
      </w:r>
      <w:r w:rsidR="00247EF7" w:rsidRPr="00247EF7">
        <w:t>For reasons articulated above</w:t>
      </w:r>
      <w:r w:rsidR="005E63AC">
        <w:t xml:space="preserve"> and in initial comments, </w:t>
      </w:r>
      <w:r w:rsidR="00834438">
        <w:t>LPPC</w:t>
      </w:r>
      <w:r w:rsidR="00C66E35">
        <w:t xml:space="preserve"> </w:t>
      </w:r>
      <w:r w:rsidR="005E63AC">
        <w:t>urges the Commission, if it moves ahead with this docket,</w:t>
      </w:r>
      <w:r w:rsidR="00231880" w:rsidRPr="00231880">
        <w:t xml:space="preserve"> </w:t>
      </w:r>
      <w:r w:rsidR="00231880">
        <w:t>to convene a forum to develop a consensus-based approach to large load interconnection that may be adopted voluntarily across the nation</w:t>
      </w:r>
      <w:r w:rsidR="00247EF7" w:rsidRPr="00247EF7">
        <w:t xml:space="preserve">. </w:t>
      </w:r>
    </w:p>
    <w:p w14:paraId="760CBCD6" w14:textId="76F60FFF" w:rsidR="00145108" w:rsidRPr="00892BC0" w:rsidRDefault="00145108" w:rsidP="00145108">
      <w:pPr>
        <w:tabs>
          <w:tab w:val="left" w:pos="0"/>
        </w:tabs>
        <w:suppressAutoHyphens/>
        <w:spacing w:after="120"/>
      </w:pPr>
      <w:r>
        <w:tab/>
      </w:r>
      <w:r>
        <w:tab/>
      </w:r>
      <w:r>
        <w:tab/>
      </w:r>
      <w:r>
        <w:tab/>
      </w:r>
      <w:r>
        <w:tab/>
      </w:r>
      <w:r w:rsidR="00DA101E">
        <w:tab/>
      </w:r>
      <w:r w:rsidR="00DA101E">
        <w:tab/>
      </w:r>
      <w:r w:rsidRPr="00892BC0">
        <w:t>Respectfully submitted,</w:t>
      </w:r>
    </w:p>
    <w:tbl>
      <w:tblPr>
        <w:tblW w:w="8359" w:type="dxa"/>
        <w:jc w:val="center"/>
        <w:tblLayout w:type="fixed"/>
        <w:tblLook w:val="0000" w:firstRow="0" w:lastRow="0" w:firstColumn="0" w:lastColumn="0" w:noHBand="0" w:noVBand="0"/>
      </w:tblPr>
      <w:tblGrid>
        <w:gridCol w:w="4365"/>
        <w:gridCol w:w="3994"/>
      </w:tblGrid>
      <w:tr w:rsidR="00145108" w:rsidRPr="00892BC0" w14:paraId="4C0E0471" w14:textId="77777777" w:rsidTr="005D5FFE">
        <w:trPr>
          <w:jc w:val="center"/>
        </w:trPr>
        <w:tc>
          <w:tcPr>
            <w:tcW w:w="4365" w:type="dxa"/>
          </w:tcPr>
          <w:p w14:paraId="4AC45F39" w14:textId="77777777" w:rsidR="00145108" w:rsidRDefault="00145108" w:rsidP="005D5FFE"/>
          <w:p w14:paraId="70382A8D" w14:textId="5B37A665" w:rsidR="00145108" w:rsidRDefault="00145108" w:rsidP="00145108"/>
          <w:p w14:paraId="00F75E3E" w14:textId="24E9E348" w:rsidR="00834438" w:rsidRDefault="00834438" w:rsidP="00145108"/>
          <w:p w14:paraId="3BC0F502" w14:textId="24807677" w:rsidR="00834438" w:rsidRDefault="00834438" w:rsidP="00145108"/>
          <w:p w14:paraId="6F4D7E28" w14:textId="5D38A0C8" w:rsidR="00834438" w:rsidRDefault="00834438" w:rsidP="00145108"/>
          <w:p w14:paraId="607CF2CB" w14:textId="1C405697" w:rsidR="00834438" w:rsidRDefault="00834438" w:rsidP="00145108"/>
          <w:p w14:paraId="6B46B1F3" w14:textId="093050E2" w:rsidR="00834438" w:rsidRDefault="00834438" w:rsidP="00145108"/>
          <w:p w14:paraId="1D9B972A" w14:textId="1D39942C" w:rsidR="00834438" w:rsidRDefault="00834438" w:rsidP="00145108"/>
          <w:p w14:paraId="44F61288" w14:textId="16C48492" w:rsidR="00834438" w:rsidRDefault="00834438" w:rsidP="00145108"/>
          <w:p w14:paraId="0C1E85F9" w14:textId="1B95F4B5" w:rsidR="00834438" w:rsidRDefault="00834438" w:rsidP="00145108"/>
          <w:p w14:paraId="62D9968C" w14:textId="4CCB32F2" w:rsidR="00834438" w:rsidRDefault="00834438" w:rsidP="00145108"/>
          <w:p w14:paraId="2A6E5B89" w14:textId="77777777" w:rsidR="00834438" w:rsidRDefault="00834438" w:rsidP="00145108"/>
          <w:p w14:paraId="27D35A09" w14:textId="77777777" w:rsidR="00145108" w:rsidRDefault="00145108" w:rsidP="00145108"/>
          <w:p w14:paraId="511486AD" w14:textId="77777777" w:rsidR="00145108" w:rsidRDefault="00145108" w:rsidP="00145108"/>
          <w:p w14:paraId="776F861A" w14:textId="77777777" w:rsidR="00145108" w:rsidRDefault="00145108" w:rsidP="00145108"/>
          <w:p w14:paraId="6A85E96B" w14:textId="350C54AB" w:rsidR="00145108" w:rsidRPr="00892BC0" w:rsidRDefault="00C27A27" w:rsidP="00C27A27">
            <w:r>
              <w:t>December 5</w:t>
            </w:r>
            <w:r w:rsidR="00145108">
              <w:t>, 2025</w:t>
            </w:r>
          </w:p>
        </w:tc>
        <w:tc>
          <w:tcPr>
            <w:tcW w:w="3994" w:type="dxa"/>
          </w:tcPr>
          <w:p w14:paraId="1AB0855D" w14:textId="77777777" w:rsidR="00145108" w:rsidRPr="00892BC0" w:rsidRDefault="00145108" w:rsidP="005D5FFE">
            <w:pPr>
              <w:rPr>
                <w:i/>
                <w:u w:val="single"/>
              </w:rPr>
            </w:pPr>
          </w:p>
          <w:p w14:paraId="00F8F2D7" w14:textId="44E35970" w:rsidR="00145108" w:rsidRPr="00892BC0" w:rsidRDefault="00145108" w:rsidP="005D5FFE">
            <w:pPr>
              <w:rPr>
                <w:rFonts w:eastAsiaTheme="minorHAnsi"/>
                <w:i/>
                <w:iCs/>
                <w:u w:val="single"/>
              </w:rPr>
            </w:pPr>
            <w:r w:rsidRPr="00892BC0">
              <w:rPr>
                <w:rFonts w:eastAsiaTheme="minorHAnsi"/>
                <w:i/>
                <w:iCs/>
                <w:u w:val="single"/>
              </w:rPr>
              <w:t>/s/</w:t>
            </w:r>
            <w:r>
              <w:rPr>
                <w:rFonts w:eastAsiaTheme="minorHAnsi"/>
                <w:i/>
                <w:iCs/>
                <w:u w:val="single"/>
              </w:rPr>
              <w:t xml:space="preserve">Jonathan D. Schneider </w:t>
            </w:r>
            <w:r w:rsidRPr="00892BC0">
              <w:rPr>
                <w:rFonts w:eastAsiaTheme="minorHAnsi"/>
                <w:i/>
                <w:iCs/>
                <w:u w:val="single"/>
              </w:rPr>
              <w:t xml:space="preserve"> </w:t>
            </w:r>
          </w:p>
          <w:p w14:paraId="6988E277" w14:textId="77777777" w:rsidR="00145108" w:rsidRPr="00892BC0" w:rsidRDefault="00145108" w:rsidP="005D5FFE">
            <w:pPr>
              <w:rPr>
                <w:rFonts w:eastAsiaTheme="minorHAnsi"/>
              </w:rPr>
            </w:pPr>
            <w:r w:rsidRPr="00892BC0">
              <w:rPr>
                <w:rFonts w:eastAsiaTheme="minorHAnsi"/>
              </w:rPr>
              <w:t>Jonathan D. Schneider</w:t>
            </w:r>
          </w:p>
          <w:p w14:paraId="4AF271E5" w14:textId="77777777" w:rsidR="00145108" w:rsidRDefault="00145108" w:rsidP="005D5FFE">
            <w:pPr>
              <w:rPr>
                <w:rFonts w:eastAsiaTheme="minorHAnsi"/>
              </w:rPr>
            </w:pPr>
            <w:r>
              <w:rPr>
                <w:rFonts w:eastAsiaTheme="minorHAnsi"/>
              </w:rPr>
              <w:t>John McCaffrey</w:t>
            </w:r>
          </w:p>
          <w:p w14:paraId="4364F08F" w14:textId="38C50853" w:rsidR="00145108" w:rsidRPr="00892BC0" w:rsidRDefault="00145108" w:rsidP="005D5FFE">
            <w:pPr>
              <w:rPr>
                <w:rFonts w:eastAsiaTheme="minorHAnsi"/>
              </w:rPr>
            </w:pPr>
            <w:r>
              <w:rPr>
                <w:rFonts w:eastAsiaTheme="minorHAnsi"/>
              </w:rPr>
              <w:t>Mary Kate Jaworo</w:t>
            </w:r>
            <w:r w:rsidR="002D78B8">
              <w:rPr>
                <w:rFonts w:eastAsiaTheme="minorHAnsi"/>
              </w:rPr>
              <w:t>w</w:t>
            </w:r>
            <w:r>
              <w:rPr>
                <w:rFonts w:eastAsiaTheme="minorHAnsi"/>
              </w:rPr>
              <w:t>ski</w:t>
            </w:r>
          </w:p>
          <w:p w14:paraId="126D7086" w14:textId="77777777" w:rsidR="00145108" w:rsidRPr="00892BC0" w:rsidRDefault="00145108" w:rsidP="005D5FFE">
            <w:pPr>
              <w:rPr>
                <w:rFonts w:eastAsiaTheme="minorHAnsi"/>
              </w:rPr>
            </w:pPr>
            <w:r w:rsidRPr="00892BC0">
              <w:rPr>
                <w:rFonts w:eastAsiaTheme="minorHAnsi"/>
              </w:rPr>
              <w:t>Stinson LLP</w:t>
            </w:r>
          </w:p>
          <w:p w14:paraId="0B827E9A" w14:textId="77777777" w:rsidR="00145108" w:rsidRPr="00892BC0" w:rsidRDefault="00145108" w:rsidP="005D5FFE">
            <w:pPr>
              <w:rPr>
                <w:rFonts w:eastAsiaTheme="minorHAnsi"/>
              </w:rPr>
            </w:pPr>
            <w:r w:rsidRPr="00892BC0">
              <w:rPr>
                <w:rFonts w:eastAsiaTheme="minorHAnsi"/>
              </w:rPr>
              <w:t>1775 Pennsylvania Avenue NW</w:t>
            </w:r>
          </w:p>
          <w:p w14:paraId="283F9D15" w14:textId="77777777" w:rsidR="00145108" w:rsidRPr="00892BC0" w:rsidRDefault="00145108" w:rsidP="005D5FFE">
            <w:pPr>
              <w:rPr>
                <w:rFonts w:eastAsiaTheme="minorHAnsi"/>
              </w:rPr>
            </w:pPr>
            <w:r w:rsidRPr="00892BC0">
              <w:rPr>
                <w:rFonts w:eastAsiaTheme="minorHAnsi"/>
              </w:rPr>
              <w:t>Suite 800</w:t>
            </w:r>
          </w:p>
          <w:p w14:paraId="2B79FEE1" w14:textId="77777777" w:rsidR="00145108" w:rsidRPr="00892BC0" w:rsidRDefault="00145108" w:rsidP="005D5FFE">
            <w:pPr>
              <w:rPr>
                <w:rFonts w:eastAsiaTheme="minorHAnsi"/>
              </w:rPr>
            </w:pPr>
            <w:r w:rsidRPr="00892BC0">
              <w:rPr>
                <w:rFonts w:eastAsiaTheme="minorHAnsi"/>
              </w:rPr>
              <w:t>Washington, DC 20006</w:t>
            </w:r>
          </w:p>
          <w:p w14:paraId="1738D917" w14:textId="276A032F" w:rsidR="00145108" w:rsidRDefault="00145108" w:rsidP="005D5FFE">
            <w:pPr>
              <w:rPr>
                <w:rFonts w:eastAsiaTheme="minorHAnsi"/>
              </w:rPr>
            </w:pPr>
            <w:hyperlink r:id="rId8" w:history="1">
              <w:r w:rsidRPr="009A64D1">
                <w:rPr>
                  <w:rStyle w:val="Hyperlink"/>
                  <w:rFonts w:eastAsiaTheme="minorHAnsi"/>
                </w:rPr>
                <w:t>jonathan.schneider@stinson.com</w:t>
              </w:r>
            </w:hyperlink>
          </w:p>
          <w:p w14:paraId="7AED0BFD" w14:textId="2BE5C936" w:rsidR="00145108" w:rsidRDefault="00145108" w:rsidP="005D5FFE">
            <w:pPr>
              <w:rPr>
                <w:rFonts w:eastAsiaTheme="minorHAnsi"/>
              </w:rPr>
            </w:pPr>
            <w:hyperlink r:id="rId9" w:history="1">
              <w:r w:rsidRPr="009A64D1">
                <w:rPr>
                  <w:rStyle w:val="Hyperlink"/>
                  <w:rFonts w:eastAsiaTheme="minorHAnsi"/>
                </w:rPr>
                <w:t>John.McCaffrey@stinson.com</w:t>
              </w:r>
            </w:hyperlink>
          </w:p>
          <w:p w14:paraId="2964F76F" w14:textId="40AA11D5" w:rsidR="00145108" w:rsidRDefault="00145108" w:rsidP="005D5FFE">
            <w:pPr>
              <w:rPr>
                <w:rFonts w:eastAsiaTheme="minorHAnsi"/>
              </w:rPr>
            </w:pPr>
            <w:hyperlink r:id="rId10" w:history="1">
              <w:r w:rsidRPr="009A64D1">
                <w:rPr>
                  <w:rStyle w:val="Hyperlink"/>
                  <w:rFonts w:eastAsiaTheme="minorHAnsi"/>
                </w:rPr>
                <w:t>marykate.jaworowski@stinson.com</w:t>
              </w:r>
            </w:hyperlink>
          </w:p>
          <w:p w14:paraId="56386AF4" w14:textId="77777777" w:rsidR="00145108" w:rsidRDefault="00145108" w:rsidP="005D5FFE">
            <w:pPr>
              <w:rPr>
                <w:rFonts w:eastAsiaTheme="minorHAnsi"/>
              </w:rPr>
            </w:pPr>
          </w:p>
          <w:p w14:paraId="28DDCF08" w14:textId="77777777" w:rsidR="00145108" w:rsidRPr="00892BC0" w:rsidRDefault="00145108" w:rsidP="005D5FFE">
            <w:pPr>
              <w:rPr>
                <w:rFonts w:eastAsiaTheme="minorHAnsi"/>
              </w:rPr>
            </w:pPr>
          </w:p>
          <w:p w14:paraId="72F1E86F" w14:textId="77777777" w:rsidR="00145108" w:rsidRPr="00892BC0" w:rsidRDefault="00145108" w:rsidP="005D5FFE"/>
          <w:p w14:paraId="456EF085" w14:textId="77777777" w:rsidR="00145108" w:rsidRPr="00892BC0" w:rsidRDefault="00145108" w:rsidP="005D5FFE"/>
        </w:tc>
      </w:tr>
    </w:tbl>
    <w:p w14:paraId="2A31BBA2" w14:textId="77777777" w:rsidR="00247EF7" w:rsidRDefault="00247EF7" w:rsidP="00C81B26">
      <w:pPr>
        <w:widowControl/>
        <w:rPr>
          <w:b/>
        </w:rPr>
      </w:pPr>
    </w:p>
    <w:p w14:paraId="7E22BEDF" w14:textId="17698248" w:rsidR="00C66E35" w:rsidRDefault="00247EF7" w:rsidP="00247EF7">
      <w:pPr>
        <w:widowControl/>
      </w:pPr>
      <w:r>
        <w:rPr>
          <w:b/>
        </w:rPr>
        <w:tab/>
      </w:r>
      <w:r>
        <w:rPr>
          <w:b/>
        </w:rPr>
        <w:tab/>
      </w:r>
      <w:r>
        <w:rPr>
          <w:b/>
        </w:rPr>
        <w:tab/>
      </w:r>
      <w:r>
        <w:rPr>
          <w:b/>
        </w:rPr>
        <w:tab/>
      </w:r>
      <w:r>
        <w:rPr>
          <w:b/>
        </w:rPr>
        <w:tab/>
      </w:r>
      <w:r>
        <w:rPr>
          <w:b/>
        </w:rPr>
        <w:tab/>
      </w:r>
    </w:p>
    <w:p w14:paraId="2640596F" w14:textId="2C596FCC" w:rsidR="00BD2203" w:rsidRPr="007B4CCE" w:rsidRDefault="004E6122" w:rsidP="00247EF7">
      <w:pPr>
        <w:widowControl/>
      </w:pPr>
      <w:r w:rsidRPr="007B4CCE">
        <w:t xml:space="preserve">     </w:t>
      </w:r>
      <w:r w:rsidR="00057A4B" w:rsidRPr="007B4CCE">
        <w:t xml:space="preserve"> </w:t>
      </w:r>
      <w:r w:rsidR="00A96082" w:rsidRPr="007B4CCE">
        <w:t xml:space="preserve"> </w:t>
      </w:r>
      <w:r w:rsidR="000850BA" w:rsidRPr="007B4CCE">
        <w:t xml:space="preserve">  </w:t>
      </w:r>
    </w:p>
    <w:sectPr w:rsidR="00BD2203" w:rsidRPr="007B4CCE" w:rsidSect="00A30DE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8364" w14:textId="77777777" w:rsidR="001D34C5" w:rsidRDefault="001D34C5" w:rsidP="00C25268">
      <w:r>
        <w:separator/>
      </w:r>
    </w:p>
  </w:endnote>
  <w:endnote w:type="continuationSeparator" w:id="0">
    <w:p w14:paraId="3C9B3262" w14:textId="77777777" w:rsidR="001D34C5" w:rsidRDefault="001D34C5" w:rsidP="00C25268">
      <w:r>
        <w:continuationSeparator/>
      </w:r>
    </w:p>
  </w:endnote>
  <w:endnote w:type="continuationNotice" w:id="1">
    <w:p w14:paraId="0138F33D" w14:textId="77777777" w:rsidR="001D34C5" w:rsidRDefault="001D34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3D59" w14:textId="77777777" w:rsidR="001E1A53" w:rsidRDefault="001E1A53" w:rsidP="002A22C7">
    <w:pPr>
      <w:pStyle w:val="DocID"/>
    </w:pPr>
    <w:r>
      <w:t>DB03/0806654.0006/10508201.1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291472"/>
      <w:docPartObj>
        <w:docPartGallery w:val="Page Numbers (Bottom of Page)"/>
        <w:docPartUnique/>
      </w:docPartObj>
    </w:sdtPr>
    <w:sdtEndPr>
      <w:rPr>
        <w:noProof/>
      </w:rPr>
    </w:sdtEndPr>
    <w:sdtContent>
      <w:p w14:paraId="3C8DFD18" w14:textId="77777777" w:rsidR="001E1A53" w:rsidRDefault="001E1A53" w:rsidP="006F6B99">
        <w:pPr>
          <w:pStyle w:val="Footer"/>
          <w:jc w:val="center"/>
        </w:pPr>
        <w:r>
          <w:fldChar w:fldCharType="begin"/>
        </w:r>
        <w:r>
          <w:instrText xml:space="preserve"> PAGE   \* MERGEFORMAT </w:instrText>
        </w:r>
        <w:r>
          <w:fldChar w:fldCharType="separate"/>
        </w:r>
        <w: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75ED" w14:textId="56F2C87D" w:rsidR="001E1A53" w:rsidRPr="003E1C1A" w:rsidRDefault="001E1A53" w:rsidP="003E1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59562" w14:textId="77777777" w:rsidR="001D34C5" w:rsidRDefault="001D34C5" w:rsidP="00C25268">
      <w:r>
        <w:separator/>
      </w:r>
    </w:p>
  </w:footnote>
  <w:footnote w:type="continuationSeparator" w:id="0">
    <w:p w14:paraId="5422B156" w14:textId="77777777" w:rsidR="001D34C5" w:rsidRDefault="001D34C5" w:rsidP="00C25268">
      <w:r>
        <w:continuationSeparator/>
      </w:r>
    </w:p>
  </w:footnote>
  <w:footnote w:type="continuationNotice" w:id="1">
    <w:p w14:paraId="011F50C5" w14:textId="77777777" w:rsidR="001D34C5" w:rsidRDefault="001D34C5"/>
  </w:footnote>
  <w:footnote w:id="2">
    <w:p w14:paraId="590C42F6" w14:textId="7AFCBBD1" w:rsidR="00A707F9" w:rsidRDefault="00A707F9">
      <w:pPr>
        <w:pStyle w:val="FootnoteText"/>
      </w:pPr>
      <w:r>
        <w:rPr>
          <w:rStyle w:val="FootnoteReference"/>
        </w:rPr>
        <w:footnoteRef/>
      </w:r>
      <w:r w:rsidR="00683179">
        <w:t xml:space="preserve"> </w:t>
      </w:r>
      <w:r w:rsidR="00952863">
        <w:t>Initial C</w:t>
      </w:r>
      <w:r w:rsidR="00683179">
        <w:t xml:space="preserve">omments of </w:t>
      </w:r>
      <w:r w:rsidR="00952863">
        <w:t xml:space="preserve">LPPC </w:t>
      </w:r>
      <w:r w:rsidR="00683179">
        <w:t xml:space="preserve">at 11, filed November 21, 2025. </w:t>
      </w:r>
      <w:r>
        <w:t xml:space="preserve"> </w:t>
      </w:r>
    </w:p>
  </w:footnote>
  <w:footnote w:id="3">
    <w:p w14:paraId="375910B9" w14:textId="017B6D52" w:rsidR="002021E9" w:rsidRDefault="002021E9">
      <w:pPr>
        <w:pStyle w:val="FootnoteText"/>
      </w:pPr>
      <w:r>
        <w:rPr>
          <w:rStyle w:val="FootnoteReference"/>
        </w:rPr>
        <w:footnoteRef/>
      </w:r>
      <w:r>
        <w:t xml:space="preserve"> Initial Comments of NARUC at 3-6. </w:t>
      </w:r>
    </w:p>
  </w:footnote>
  <w:footnote w:id="4">
    <w:p w14:paraId="1385FC20" w14:textId="57EFF86F" w:rsidR="002021E9" w:rsidRDefault="002021E9">
      <w:pPr>
        <w:pStyle w:val="FootnoteText"/>
      </w:pPr>
      <w:r>
        <w:rPr>
          <w:rStyle w:val="FootnoteReference"/>
        </w:rPr>
        <w:footnoteRef/>
      </w:r>
      <w:r>
        <w:t xml:space="preserve"> Initial Comments of EEI at 22-32. </w:t>
      </w:r>
    </w:p>
  </w:footnote>
  <w:footnote w:id="5">
    <w:p w14:paraId="38923630" w14:textId="3FA002FF" w:rsidR="002D0C7E" w:rsidRDefault="002D0C7E">
      <w:pPr>
        <w:pStyle w:val="FootnoteText"/>
      </w:pPr>
      <w:r>
        <w:rPr>
          <w:rStyle w:val="FootnoteReference"/>
        </w:rPr>
        <w:footnoteRef/>
      </w:r>
      <w:r>
        <w:t xml:space="preserve"> Initial Comments of NRECA at 9-14.</w:t>
      </w:r>
    </w:p>
  </w:footnote>
  <w:footnote w:id="6">
    <w:p w14:paraId="6CDA6EC3" w14:textId="684644DF" w:rsidR="00DA2D95" w:rsidRDefault="00DA2D95">
      <w:pPr>
        <w:pStyle w:val="FootnoteText"/>
      </w:pPr>
      <w:r w:rsidRPr="00F560F2">
        <w:rPr>
          <w:rStyle w:val="FootnoteReference"/>
        </w:rPr>
        <w:footnoteRef/>
      </w:r>
      <w:r w:rsidRPr="00F560F2">
        <w:t xml:space="preserve"> </w:t>
      </w:r>
      <w:r w:rsidR="00F560F2" w:rsidRPr="00F560F2">
        <w:t>Initial</w:t>
      </w:r>
      <w:r w:rsidR="00F560F2">
        <w:t xml:space="preserve"> Comments of APPA at 3-5.</w:t>
      </w:r>
    </w:p>
  </w:footnote>
  <w:footnote w:id="7">
    <w:p w14:paraId="602E4F95" w14:textId="2D3A9436" w:rsidR="002A532F" w:rsidRPr="00E47B31" w:rsidRDefault="002A532F">
      <w:pPr>
        <w:pStyle w:val="FootnoteText"/>
      </w:pPr>
      <w:r w:rsidRPr="00E47B31">
        <w:rPr>
          <w:rStyle w:val="FootnoteReference"/>
        </w:rPr>
        <w:footnoteRef/>
      </w:r>
      <w:r w:rsidRPr="00E47B31">
        <w:t xml:space="preserve"> </w:t>
      </w:r>
      <w:r w:rsidR="00E47B31" w:rsidRPr="00E47B31">
        <w:t>Initial Comments of LPPC</w:t>
      </w:r>
      <w:r w:rsidR="00E47B31">
        <w:t xml:space="preserve"> at 6-7.</w:t>
      </w:r>
    </w:p>
  </w:footnote>
  <w:footnote w:id="8">
    <w:p w14:paraId="709907D5" w14:textId="3F3C0A2C" w:rsidR="000A22B5" w:rsidRPr="000A22B5" w:rsidRDefault="000A22B5">
      <w:pPr>
        <w:pStyle w:val="FootnoteText"/>
      </w:pPr>
      <w:r>
        <w:rPr>
          <w:rStyle w:val="FootnoteReference"/>
        </w:rPr>
        <w:footnoteRef/>
      </w:r>
      <w:r>
        <w:t xml:space="preserve"> </w:t>
      </w:r>
      <w:r>
        <w:rPr>
          <w:i/>
          <w:iCs/>
        </w:rPr>
        <w:t xml:space="preserve">Id. </w:t>
      </w:r>
      <w:r>
        <w:t xml:space="preserve">at 7-10.  </w:t>
      </w:r>
    </w:p>
  </w:footnote>
  <w:footnote w:id="9">
    <w:p w14:paraId="271CA0E8" w14:textId="4CBE2D6C" w:rsidR="009560CD" w:rsidRDefault="009560CD">
      <w:pPr>
        <w:pStyle w:val="FootnoteText"/>
      </w:pPr>
      <w:r>
        <w:rPr>
          <w:rStyle w:val="FootnoteReference"/>
        </w:rPr>
        <w:footnoteRef/>
      </w:r>
      <w:r>
        <w:t xml:space="preserve"> </w:t>
      </w:r>
      <w:r w:rsidR="00BA12B4">
        <w:t xml:space="preserve">Initial Comments of </w:t>
      </w:r>
      <w:r w:rsidR="004D587F">
        <w:t>NARUC</w:t>
      </w:r>
      <w:r w:rsidR="00BA12B4">
        <w:t xml:space="preserve"> at 6.   </w:t>
      </w:r>
    </w:p>
  </w:footnote>
  <w:footnote w:id="10">
    <w:p w14:paraId="067DF4D0" w14:textId="0D71EBAA" w:rsidR="007215FD" w:rsidRDefault="007215FD">
      <w:pPr>
        <w:pStyle w:val="FootnoteText"/>
      </w:pPr>
      <w:r>
        <w:rPr>
          <w:rStyle w:val="FootnoteReference"/>
        </w:rPr>
        <w:footnoteRef/>
      </w:r>
      <w:r>
        <w:t xml:space="preserve"> Initial Comments of the Organization of PJM States, Inc. at 8</w:t>
      </w:r>
      <w:r w:rsidR="00DA2D95">
        <w:t>.</w:t>
      </w:r>
    </w:p>
  </w:footnote>
  <w:footnote w:id="11">
    <w:p w14:paraId="393846F4" w14:textId="625EF130" w:rsidR="00A816FC" w:rsidRDefault="00A816FC">
      <w:pPr>
        <w:pStyle w:val="FootnoteText"/>
      </w:pPr>
      <w:r>
        <w:rPr>
          <w:rStyle w:val="FootnoteReference"/>
        </w:rPr>
        <w:footnoteRef/>
      </w:r>
      <w:r>
        <w:t xml:space="preserve"> Initial Comments of the Nebraska Power Review Board at 3. </w:t>
      </w:r>
    </w:p>
  </w:footnote>
  <w:footnote w:id="12">
    <w:p w14:paraId="4BD2DBCA" w14:textId="715431FD" w:rsidR="00A816FC" w:rsidRDefault="00A816FC">
      <w:pPr>
        <w:pStyle w:val="FootnoteText"/>
      </w:pPr>
      <w:r>
        <w:rPr>
          <w:rStyle w:val="FootnoteReference"/>
        </w:rPr>
        <w:footnoteRef/>
      </w:r>
      <w:r>
        <w:t xml:space="preserve"> Initial Comments of the New York Public Service Commission at 7</w:t>
      </w:r>
      <w:r w:rsidR="00DA2D95">
        <w:t>.</w:t>
      </w:r>
    </w:p>
  </w:footnote>
  <w:footnote w:id="13">
    <w:p w14:paraId="0A6F52A8" w14:textId="666AA3E9" w:rsidR="00CC0C10" w:rsidRDefault="00CC0C10">
      <w:pPr>
        <w:pStyle w:val="FootnoteText"/>
      </w:pPr>
      <w:r>
        <w:rPr>
          <w:rStyle w:val="FootnoteReference"/>
        </w:rPr>
        <w:footnoteRef/>
      </w:r>
      <w:r>
        <w:t xml:space="preserve"> Initial Comments of the Organization of MISO States</w:t>
      </w:r>
      <w:r w:rsidR="007A608C">
        <w:t xml:space="preserve">, Inc. at 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7685" w14:textId="77777777" w:rsidR="005D5FFE" w:rsidRDefault="005D5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3820" w14:textId="77777777" w:rsidR="005D5FFE" w:rsidRDefault="005D5F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D3427" w14:textId="77777777" w:rsidR="005D5FFE" w:rsidRDefault="005D5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A869744"/>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21008514"/>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C4CEA5F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479A421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334F27"/>
    <w:multiLevelType w:val="hybridMultilevel"/>
    <w:tmpl w:val="268C3802"/>
    <w:lvl w:ilvl="0" w:tplc="323A287E">
      <w:start w:val="1"/>
      <w:numFmt w:val="upperLetter"/>
      <w:pStyle w:val="List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CE015B"/>
    <w:multiLevelType w:val="hybridMultilevel"/>
    <w:tmpl w:val="81D65FF0"/>
    <w:lvl w:ilvl="0" w:tplc="AD84332C">
      <w:start w:val="1"/>
      <w:numFmt w:val="upperLetter"/>
      <w:lvlText w:val="%1."/>
      <w:lvlJc w:val="left"/>
      <w:pPr>
        <w:ind w:left="1530" w:hanging="75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319A2EAA"/>
    <w:multiLevelType w:val="hybridMultilevel"/>
    <w:tmpl w:val="EC54D766"/>
    <w:lvl w:ilvl="0" w:tplc="2FC0234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7A7AC6"/>
    <w:multiLevelType w:val="multilevel"/>
    <w:tmpl w:val="491C485E"/>
    <w:lvl w:ilvl="0">
      <w:start w:val="1"/>
      <w:numFmt w:val="upperRoman"/>
      <w:pStyle w:val="Heading1"/>
      <w:lvlText w:val="%1."/>
      <w:lvlJc w:val="left"/>
      <w:pPr>
        <w:ind w:left="720" w:hanging="720"/>
      </w:pPr>
      <w:rPr>
        <w:rFonts w:hint="default"/>
      </w:rPr>
    </w:lvl>
    <w:lvl w:ilvl="1">
      <w:start w:val="1"/>
      <w:numFmt w:val="upperLetter"/>
      <w:pStyle w:val="Heading2"/>
      <w:lvlText w:val="%2."/>
      <w:lvlJc w:val="left"/>
      <w:pPr>
        <w:ind w:left="1440" w:hanging="720"/>
      </w:pPr>
      <w:rPr>
        <w:rFonts w:hint="default"/>
      </w:rPr>
    </w:lvl>
    <w:lvl w:ilvl="2">
      <w:start w:val="1"/>
      <w:numFmt w:val="decimal"/>
      <w:pStyle w:val="Heading3"/>
      <w:lvlText w:val="%3."/>
      <w:lvlJc w:val="left"/>
      <w:pPr>
        <w:ind w:left="2160" w:hanging="720"/>
      </w:pPr>
      <w:rPr>
        <w:rFonts w:hint="default"/>
      </w:rPr>
    </w:lvl>
    <w:lvl w:ilvl="3">
      <w:start w:val="1"/>
      <w:numFmt w:val="lowerLetter"/>
      <w:pStyle w:val="Heading4"/>
      <w:lvlText w:val="%4."/>
      <w:lvlJc w:val="left"/>
      <w:pPr>
        <w:ind w:left="2880" w:hanging="720"/>
      </w:pPr>
      <w:rPr>
        <w:rFonts w:hint="default"/>
      </w:rPr>
    </w:lvl>
    <w:lvl w:ilvl="4">
      <w:start w:val="1"/>
      <w:numFmt w:val="lowerRoman"/>
      <w:pStyle w:val="Heading5"/>
      <w:lvlText w:val="%5."/>
      <w:lvlJc w:val="left"/>
      <w:pPr>
        <w:ind w:left="3600" w:hanging="720"/>
      </w:pPr>
      <w:rPr>
        <w:rFonts w:hint="default"/>
      </w:rPr>
    </w:lvl>
    <w:lvl w:ilvl="5">
      <w:start w:val="1"/>
      <w:numFmt w:val="decimal"/>
      <w:pStyle w:val="Heading6"/>
      <w:lvlText w:val="%6)"/>
      <w:lvlJc w:val="left"/>
      <w:pPr>
        <w:ind w:left="4320" w:hanging="720"/>
      </w:pPr>
      <w:rPr>
        <w:rFonts w:hint="default"/>
      </w:rPr>
    </w:lvl>
    <w:lvl w:ilvl="6">
      <w:start w:val="1"/>
      <w:numFmt w:val="lowerLetter"/>
      <w:pStyle w:val="Heading7"/>
      <w:lvlText w:val="%7)"/>
      <w:lvlJc w:val="left"/>
      <w:pPr>
        <w:ind w:left="5040" w:hanging="720"/>
      </w:pPr>
      <w:rPr>
        <w:rFonts w:hint="default"/>
      </w:rPr>
    </w:lvl>
    <w:lvl w:ilvl="7">
      <w:start w:val="1"/>
      <w:numFmt w:val="lowerRoman"/>
      <w:pStyle w:val="Heading8"/>
      <w:lvlText w:val="%8)"/>
      <w:lvlJc w:val="left"/>
      <w:pPr>
        <w:ind w:left="5760" w:hanging="720"/>
      </w:pPr>
      <w:rPr>
        <w:rFonts w:hint="default"/>
      </w:rPr>
    </w:lvl>
    <w:lvl w:ilvl="8">
      <w:start w:val="1"/>
      <w:numFmt w:val="decimal"/>
      <w:pStyle w:val="Heading9"/>
      <w:lvlText w:val="(%9)"/>
      <w:lvlJc w:val="left"/>
      <w:pPr>
        <w:ind w:left="6480" w:hanging="720"/>
      </w:pPr>
      <w:rPr>
        <w:rFonts w:hint="default"/>
      </w:rPr>
    </w:lvl>
  </w:abstractNum>
  <w:num w:numId="1" w16cid:durableId="1199972255">
    <w:abstractNumId w:val="3"/>
  </w:num>
  <w:num w:numId="2" w16cid:durableId="836845717">
    <w:abstractNumId w:val="1"/>
  </w:num>
  <w:num w:numId="3" w16cid:durableId="1241016680">
    <w:abstractNumId w:val="2"/>
  </w:num>
  <w:num w:numId="4" w16cid:durableId="838691200">
    <w:abstractNumId w:val="0"/>
  </w:num>
  <w:num w:numId="5" w16cid:durableId="2085562361">
    <w:abstractNumId w:val="7"/>
  </w:num>
  <w:num w:numId="6" w16cid:durableId="1396703712">
    <w:abstractNumId w:val="4"/>
  </w:num>
  <w:num w:numId="7" w16cid:durableId="704326964">
    <w:abstractNumId w:val="6"/>
  </w:num>
  <w:num w:numId="8" w16cid:durableId="7898955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stylePaneSortMethod w:val="0000"/>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268"/>
    <w:rsid w:val="00012BFC"/>
    <w:rsid w:val="00027497"/>
    <w:rsid w:val="00031745"/>
    <w:rsid w:val="00047BE3"/>
    <w:rsid w:val="0005455E"/>
    <w:rsid w:val="00057A4B"/>
    <w:rsid w:val="00060EDD"/>
    <w:rsid w:val="00062ADF"/>
    <w:rsid w:val="00063F80"/>
    <w:rsid w:val="00065C5B"/>
    <w:rsid w:val="0007066C"/>
    <w:rsid w:val="000756C1"/>
    <w:rsid w:val="00076385"/>
    <w:rsid w:val="000772D4"/>
    <w:rsid w:val="00077DB7"/>
    <w:rsid w:val="000850BA"/>
    <w:rsid w:val="000866D4"/>
    <w:rsid w:val="000902F6"/>
    <w:rsid w:val="000A22B5"/>
    <w:rsid w:val="000A7533"/>
    <w:rsid w:val="000C31CE"/>
    <w:rsid w:val="000D52E5"/>
    <w:rsid w:val="000D58D8"/>
    <w:rsid w:val="000E3A83"/>
    <w:rsid w:val="000E6D70"/>
    <w:rsid w:val="000F027A"/>
    <w:rsid w:val="000F053E"/>
    <w:rsid w:val="000F3848"/>
    <w:rsid w:val="000F7760"/>
    <w:rsid w:val="000F7E3F"/>
    <w:rsid w:val="00104E45"/>
    <w:rsid w:val="0010506B"/>
    <w:rsid w:val="00114566"/>
    <w:rsid w:val="0011588D"/>
    <w:rsid w:val="00123496"/>
    <w:rsid w:val="00135BAD"/>
    <w:rsid w:val="00142E2E"/>
    <w:rsid w:val="001435DC"/>
    <w:rsid w:val="00145108"/>
    <w:rsid w:val="001467F4"/>
    <w:rsid w:val="0014737E"/>
    <w:rsid w:val="001476E2"/>
    <w:rsid w:val="0015031C"/>
    <w:rsid w:val="00154D9E"/>
    <w:rsid w:val="00171F1E"/>
    <w:rsid w:val="00172D42"/>
    <w:rsid w:val="00176B2B"/>
    <w:rsid w:val="00180E4B"/>
    <w:rsid w:val="00181599"/>
    <w:rsid w:val="00192C17"/>
    <w:rsid w:val="001A0A76"/>
    <w:rsid w:val="001A0FED"/>
    <w:rsid w:val="001A64CB"/>
    <w:rsid w:val="001A66E0"/>
    <w:rsid w:val="001B10EF"/>
    <w:rsid w:val="001D2C75"/>
    <w:rsid w:val="001D3425"/>
    <w:rsid w:val="001D34C5"/>
    <w:rsid w:val="001D7CE0"/>
    <w:rsid w:val="001E19E4"/>
    <w:rsid w:val="001E1A53"/>
    <w:rsid w:val="002019B0"/>
    <w:rsid w:val="002021E9"/>
    <w:rsid w:val="00204333"/>
    <w:rsid w:val="00205D5D"/>
    <w:rsid w:val="00213683"/>
    <w:rsid w:val="002300CF"/>
    <w:rsid w:val="00231880"/>
    <w:rsid w:val="00233B62"/>
    <w:rsid w:val="00247EF7"/>
    <w:rsid w:val="00250516"/>
    <w:rsid w:val="002640AA"/>
    <w:rsid w:val="00270F59"/>
    <w:rsid w:val="00276228"/>
    <w:rsid w:val="00286D31"/>
    <w:rsid w:val="0029389A"/>
    <w:rsid w:val="002A2CD2"/>
    <w:rsid w:val="002A532F"/>
    <w:rsid w:val="002B37C9"/>
    <w:rsid w:val="002B42BB"/>
    <w:rsid w:val="002C15FC"/>
    <w:rsid w:val="002C2856"/>
    <w:rsid w:val="002D0C7E"/>
    <w:rsid w:val="002D1EDE"/>
    <w:rsid w:val="002D78B8"/>
    <w:rsid w:val="002E4F1E"/>
    <w:rsid w:val="002F3DA8"/>
    <w:rsid w:val="002F6CDE"/>
    <w:rsid w:val="003146D5"/>
    <w:rsid w:val="00314763"/>
    <w:rsid w:val="00315258"/>
    <w:rsid w:val="00316B75"/>
    <w:rsid w:val="003246B1"/>
    <w:rsid w:val="00331CB6"/>
    <w:rsid w:val="00336A10"/>
    <w:rsid w:val="00336CD4"/>
    <w:rsid w:val="0033758D"/>
    <w:rsid w:val="00340A26"/>
    <w:rsid w:val="00346CA6"/>
    <w:rsid w:val="003640E8"/>
    <w:rsid w:val="003703B3"/>
    <w:rsid w:val="00377B71"/>
    <w:rsid w:val="003813C6"/>
    <w:rsid w:val="00381F91"/>
    <w:rsid w:val="00383FAC"/>
    <w:rsid w:val="00387800"/>
    <w:rsid w:val="00390778"/>
    <w:rsid w:val="00394F2F"/>
    <w:rsid w:val="003A24C5"/>
    <w:rsid w:val="003A66C2"/>
    <w:rsid w:val="003B73B6"/>
    <w:rsid w:val="003D21AF"/>
    <w:rsid w:val="003D4CE6"/>
    <w:rsid w:val="003D57EF"/>
    <w:rsid w:val="003E1C1A"/>
    <w:rsid w:val="004075EA"/>
    <w:rsid w:val="0041031F"/>
    <w:rsid w:val="00415D57"/>
    <w:rsid w:val="004455C1"/>
    <w:rsid w:val="0044580F"/>
    <w:rsid w:val="0044698B"/>
    <w:rsid w:val="00450960"/>
    <w:rsid w:val="0045516D"/>
    <w:rsid w:val="004564B1"/>
    <w:rsid w:val="0046052E"/>
    <w:rsid w:val="00473CF8"/>
    <w:rsid w:val="004741D4"/>
    <w:rsid w:val="004778C9"/>
    <w:rsid w:val="004811EC"/>
    <w:rsid w:val="004838D7"/>
    <w:rsid w:val="00483B05"/>
    <w:rsid w:val="00490922"/>
    <w:rsid w:val="004B0CB7"/>
    <w:rsid w:val="004B5628"/>
    <w:rsid w:val="004C4D4D"/>
    <w:rsid w:val="004D36DC"/>
    <w:rsid w:val="004D3DED"/>
    <w:rsid w:val="004D587F"/>
    <w:rsid w:val="004E0C0D"/>
    <w:rsid w:val="004E6122"/>
    <w:rsid w:val="004F4DD3"/>
    <w:rsid w:val="0050238F"/>
    <w:rsid w:val="0050776E"/>
    <w:rsid w:val="00522123"/>
    <w:rsid w:val="00527B58"/>
    <w:rsid w:val="00551C20"/>
    <w:rsid w:val="00555C3C"/>
    <w:rsid w:val="00565696"/>
    <w:rsid w:val="00565B4E"/>
    <w:rsid w:val="00585614"/>
    <w:rsid w:val="00585623"/>
    <w:rsid w:val="00585FE4"/>
    <w:rsid w:val="00594EB5"/>
    <w:rsid w:val="005B5BC5"/>
    <w:rsid w:val="005B6358"/>
    <w:rsid w:val="005C3EB6"/>
    <w:rsid w:val="005C5B68"/>
    <w:rsid w:val="005C6BBE"/>
    <w:rsid w:val="005C71E4"/>
    <w:rsid w:val="005D5FFE"/>
    <w:rsid w:val="005E2890"/>
    <w:rsid w:val="005E4028"/>
    <w:rsid w:val="005E5A82"/>
    <w:rsid w:val="005E63AC"/>
    <w:rsid w:val="005F177D"/>
    <w:rsid w:val="005F32B7"/>
    <w:rsid w:val="005F6164"/>
    <w:rsid w:val="00607850"/>
    <w:rsid w:val="00615A55"/>
    <w:rsid w:val="00617ACC"/>
    <w:rsid w:val="00621072"/>
    <w:rsid w:val="00621E34"/>
    <w:rsid w:val="00631F8F"/>
    <w:rsid w:val="00637449"/>
    <w:rsid w:val="0064403C"/>
    <w:rsid w:val="006510EC"/>
    <w:rsid w:val="006516E1"/>
    <w:rsid w:val="00651A04"/>
    <w:rsid w:val="00651EC6"/>
    <w:rsid w:val="00653AF0"/>
    <w:rsid w:val="006559CF"/>
    <w:rsid w:val="006643A7"/>
    <w:rsid w:val="00674887"/>
    <w:rsid w:val="00683179"/>
    <w:rsid w:val="006969A3"/>
    <w:rsid w:val="006971FB"/>
    <w:rsid w:val="006A0F17"/>
    <w:rsid w:val="006A6E58"/>
    <w:rsid w:val="006B098A"/>
    <w:rsid w:val="006B4CBA"/>
    <w:rsid w:val="006C089C"/>
    <w:rsid w:val="006C6315"/>
    <w:rsid w:val="006C6EBF"/>
    <w:rsid w:val="006D0816"/>
    <w:rsid w:val="006D0B2E"/>
    <w:rsid w:val="006D25E1"/>
    <w:rsid w:val="006D372D"/>
    <w:rsid w:val="006E05EB"/>
    <w:rsid w:val="006E32C9"/>
    <w:rsid w:val="006E60E8"/>
    <w:rsid w:val="00711DF1"/>
    <w:rsid w:val="007215FD"/>
    <w:rsid w:val="00726B42"/>
    <w:rsid w:val="00726C11"/>
    <w:rsid w:val="007276BE"/>
    <w:rsid w:val="00730EF5"/>
    <w:rsid w:val="0073285F"/>
    <w:rsid w:val="00734665"/>
    <w:rsid w:val="00735228"/>
    <w:rsid w:val="00741DAF"/>
    <w:rsid w:val="0075050D"/>
    <w:rsid w:val="007740B1"/>
    <w:rsid w:val="007A3664"/>
    <w:rsid w:val="007A3BCD"/>
    <w:rsid w:val="007A608C"/>
    <w:rsid w:val="007B0F26"/>
    <w:rsid w:val="007B156B"/>
    <w:rsid w:val="007B1E48"/>
    <w:rsid w:val="007B2CC5"/>
    <w:rsid w:val="007B2DB4"/>
    <w:rsid w:val="007B4AF5"/>
    <w:rsid w:val="007B4CCE"/>
    <w:rsid w:val="007C4533"/>
    <w:rsid w:val="007F48E0"/>
    <w:rsid w:val="007F6B3C"/>
    <w:rsid w:val="008019C4"/>
    <w:rsid w:val="00810F29"/>
    <w:rsid w:val="00814BEE"/>
    <w:rsid w:val="008233D6"/>
    <w:rsid w:val="00834438"/>
    <w:rsid w:val="0084358E"/>
    <w:rsid w:val="00863E41"/>
    <w:rsid w:val="008646C2"/>
    <w:rsid w:val="00866A50"/>
    <w:rsid w:val="00873370"/>
    <w:rsid w:val="00881252"/>
    <w:rsid w:val="0088303D"/>
    <w:rsid w:val="00886882"/>
    <w:rsid w:val="0088698B"/>
    <w:rsid w:val="00886E35"/>
    <w:rsid w:val="008A23BD"/>
    <w:rsid w:val="008A249E"/>
    <w:rsid w:val="008A3169"/>
    <w:rsid w:val="008A4FB2"/>
    <w:rsid w:val="008A7F2C"/>
    <w:rsid w:val="008B1D36"/>
    <w:rsid w:val="008E2CAC"/>
    <w:rsid w:val="00903B5F"/>
    <w:rsid w:val="0090796D"/>
    <w:rsid w:val="00911701"/>
    <w:rsid w:val="00923063"/>
    <w:rsid w:val="00936771"/>
    <w:rsid w:val="00937177"/>
    <w:rsid w:val="00952863"/>
    <w:rsid w:val="009560CD"/>
    <w:rsid w:val="00965D49"/>
    <w:rsid w:val="00973405"/>
    <w:rsid w:val="00973D8B"/>
    <w:rsid w:val="00980339"/>
    <w:rsid w:val="009933AE"/>
    <w:rsid w:val="009B3808"/>
    <w:rsid w:val="009B63D6"/>
    <w:rsid w:val="009B7004"/>
    <w:rsid w:val="009C2B0F"/>
    <w:rsid w:val="009C7569"/>
    <w:rsid w:val="009D16C4"/>
    <w:rsid w:val="009D20DD"/>
    <w:rsid w:val="009D54B1"/>
    <w:rsid w:val="009F6CFF"/>
    <w:rsid w:val="00A016CF"/>
    <w:rsid w:val="00A0506A"/>
    <w:rsid w:val="00A060C2"/>
    <w:rsid w:val="00A11E81"/>
    <w:rsid w:val="00A1314C"/>
    <w:rsid w:val="00A30DEA"/>
    <w:rsid w:val="00A32CD3"/>
    <w:rsid w:val="00A3362A"/>
    <w:rsid w:val="00A35034"/>
    <w:rsid w:val="00A405D3"/>
    <w:rsid w:val="00A42EA6"/>
    <w:rsid w:val="00A57987"/>
    <w:rsid w:val="00A62CFF"/>
    <w:rsid w:val="00A66000"/>
    <w:rsid w:val="00A707F9"/>
    <w:rsid w:val="00A816FC"/>
    <w:rsid w:val="00A93CC0"/>
    <w:rsid w:val="00A96082"/>
    <w:rsid w:val="00AA6CC0"/>
    <w:rsid w:val="00AC10B3"/>
    <w:rsid w:val="00AC273A"/>
    <w:rsid w:val="00AC3F47"/>
    <w:rsid w:val="00AC5D02"/>
    <w:rsid w:val="00AE1EC8"/>
    <w:rsid w:val="00AE4D6D"/>
    <w:rsid w:val="00AF0EF6"/>
    <w:rsid w:val="00B014B7"/>
    <w:rsid w:val="00B07CB2"/>
    <w:rsid w:val="00B14313"/>
    <w:rsid w:val="00B2170E"/>
    <w:rsid w:val="00B34DD9"/>
    <w:rsid w:val="00B507C2"/>
    <w:rsid w:val="00B53B28"/>
    <w:rsid w:val="00B733B0"/>
    <w:rsid w:val="00B73481"/>
    <w:rsid w:val="00B83DAE"/>
    <w:rsid w:val="00BA00F9"/>
    <w:rsid w:val="00BA12B4"/>
    <w:rsid w:val="00BA1838"/>
    <w:rsid w:val="00BA5A12"/>
    <w:rsid w:val="00BA6C02"/>
    <w:rsid w:val="00BB0BEB"/>
    <w:rsid w:val="00BD2203"/>
    <w:rsid w:val="00BD5AFD"/>
    <w:rsid w:val="00BE2FBC"/>
    <w:rsid w:val="00BE5A2A"/>
    <w:rsid w:val="00BE73FB"/>
    <w:rsid w:val="00BF36FB"/>
    <w:rsid w:val="00BF48B8"/>
    <w:rsid w:val="00BF7C85"/>
    <w:rsid w:val="00C00A40"/>
    <w:rsid w:val="00C01895"/>
    <w:rsid w:val="00C02BDE"/>
    <w:rsid w:val="00C15DA0"/>
    <w:rsid w:val="00C231AA"/>
    <w:rsid w:val="00C25268"/>
    <w:rsid w:val="00C26C8D"/>
    <w:rsid w:val="00C27A27"/>
    <w:rsid w:val="00C41969"/>
    <w:rsid w:val="00C50D28"/>
    <w:rsid w:val="00C55C70"/>
    <w:rsid w:val="00C61973"/>
    <w:rsid w:val="00C62F20"/>
    <w:rsid w:val="00C65498"/>
    <w:rsid w:val="00C66E35"/>
    <w:rsid w:val="00C70C12"/>
    <w:rsid w:val="00C778E6"/>
    <w:rsid w:val="00C81B26"/>
    <w:rsid w:val="00C827F6"/>
    <w:rsid w:val="00C923D3"/>
    <w:rsid w:val="00CA4260"/>
    <w:rsid w:val="00CB3D94"/>
    <w:rsid w:val="00CB405A"/>
    <w:rsid w:val="00CB44FE"/>
    <w:rsid w:val="00CB5573"/>
    <w:rsid w:val="00CC0C10"/>
    <w:rsid w:val="00CD46E8"/>
    <w:rsid w:val="00CD5D4D"/>
    <w:rsid w:val="00CE1BB7"/>
    <w:rsid w:val="00CF104D"/>
    <w:rsid w:val="00CF4405"/>
    <w:rsid w:val="00D07F14"/>
    <w:rsid w:val="00D10DDE"/>
    <w:rsid w:val="00D32229"/>
    <w:rsid w:val="00D3488F"/>
    <w:rsid w:val="00D439AD"/>
    <w:rsid w:val="00D472C9"/>
    <w:rsid w:val="00D47602"/>
    <w:rsid w:val="00D64070"/>
    <w:rsid w:val="00D67666"/>
    <w:rsid w:val="00D765A1"/>
    <w:rsid w:val="00D777C6"/>
    <w:rsid w:val="00D8429C"/>
    <w:rsid w:val="00D85610"/>
    <w:rsid w:val="00D85E10"/>
    <w:rsid w:val="00D8669B"/>
    <w:rsid w:val="00D95C35"/>
    <w:rsid w:val="00DA101E"/>
    <w:rsid w:val="00DA2D95"/>
    <w:rsid w:val="00DB130C"/>
    <w:rsid w:val="00DC0A52"/>
    <w:rsid w:val="00DC3D8F"/>
    <w:rsid w:val="00DC6CCF"/>
    <w:rsid w:val="00DD1D41"/>
    <w:rsid w:val="00DE1651"/>
    <w:rsid w:val="00DF5BB6"/>
    <w:rsid w:val="00DF7814"/>
    <w:rsid w:val="00E00EF3"/>
    <w:rsid w:val="00E13A6A"/>
    <w:rsid w:val="00E15CA3"/>
    <w:rsid w:val="00E20937"/>
    <w:rsid w:val="00E22DEA"/>
    <w:rsid w:val="00E24B6A"/>
    <w:rsid w:val="00E33C78"/>
    <w:rsid w:val="00E33F79"/>
    <w:rsid w:val="00E41029"/>
    <w:rsid w:val="00E43643"/>
    <w:rsid w:val="00E47B31"/>
    <w:rsid w:val="00E65A43"/>
    <w:rsid w:val="00E745C8"/>
    <w:rsid w:val="00E75CC4"/>
    <w:rsid w:val="00E76529"/>
    <w:rsid w:val="00E907E1"/>
    <w:rsid w:val="00E933E7"/>
    <w:rsid w:val="00E95DB9"/>
    <w:rsid w:val="00EA4843"/>
    <w:rsid w:val="00EA7BE5"/>
    <w:rsid w:val="00ED4DB6"/>
    <w:rsid w:val="00EE0A51"/>
    <w:rsid w:val="00EE6533"/>
    <w:rsid w:val="00EF5D84"/>
    <w:rsid w:val="00F242AF"/>
    <w:rsid w:val="00F24E9F"/>
    <w:rsid w:val="00F4689E"/>
    <w:rsid w:val="00F55E72"/>
    <w:rsid w:val="00F560F2"/>
    <w:rsid w:val="00F5732A"/>
    <w:rsid w:val="00F66663"/>
    <w:rsid w:val="00F6686F"/>
    <w:rsid w:val="00F841A4"/>
    <w:rsid w:val="00F907CD"/>
    <w:rsid w:val="00F95A32"/>
    <w:rsid w:val="00FC50EA"/>
    <w:rsid w:val="00FC70BC"/>
    <w:rsid w:val="00FD298C"/>
    <w:rsid w:val="00FD386D"/>
    <w:rsid w:val="00FD7A01"/>
    <w:rsid w:val="00FE0EFD"/>
    <w:rsid w:val="00FE2680"/>
    <w:rsid w:val="00FF3542"/>
    <w:rsid w:val="00FF44A3"/>
    <w:rsid w:val="00FF47B0"/>
    <w:rsid w:val="00FF79D6"/>
    <w:rsid w:val="00FF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32CEE"/>
  <w15:chartTrackingRefBased/>
  <w15:docId w15:val="{63E09583-B06F-4446-99F9-5A198B22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9" w:qFormat="1"/>
    <w:lsdException w:name="List Number" w:uiPriority="1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semiHidden="1" w:unhideWhenUsed="1"/>
    <w:lsdException w:name="List Bullet 4" w:semiHidden="1" w:unhideWhenUsed="1"/>
    <w:lsdException w:name="List Bullet 5" w:semiHidden="1" w:unhideWhenUsed="1"/>
    <w:lsdException w:name="List Number 2" w:uiPriority="19"/>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uiPriority="19"/>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Subtle Reference" w:uiPriority="31"/>
    <w:lsdException w:name="Book Title" w:semiHidden="1" w:unhideWhenUsed="1"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27A"/>
    <w:pPr>
      <w:widowControl w:val="0"/>
      <w:autoSpaceDE w:val="0"/>
      <w:autoSpaceDN w:val="0"/>
      <w:adjustRightInd w:val="0"/>
    </w:pPr>
    <w:rPr>
      <w:rFonts w:ascii="Times New Roman" w:eastAsia="Times New Roman" w:hAnsi="Times New Roman"/>
      <w:sz w:val="26"/>
    </w:rPr>
  </w:style>
  <w:style w:type="paragraph" w:styleId="Heading1">
    <w:name w:val="heading 1"/>
    <w:basedOn w:val="Normal"/>
    <w:link w:val="Heading1Char"/>
    <w:uiPriority w:val="9"/>
    <w:qFormat/>
    <w:rsid w:val="000D58D8"/>
    <w:pPr>
      <w:widowControl/>
      <w:numPr>
        <w:numId w:val="5"/>
      </w:numPr>
      <w:autoSpaceDE/>
      <w:autoSpaceDN/>
      <w:adjustRightInd/>
      <w:spacing w:after="240"/>
      <w:jc w:val="both"/>
      <w:outlineLvl w:val="0"/>
    </w:pPr>
    <w:rPr>
      <w:rFonts w:asciiTheme="majorHAnsi" w:eastAsiaTheme="majorEastAsia" w:hAnsiTheme="majorHAnsi" w:cstheme="majorBidi"/>
      <w:bCs/>
      <w:sz w:val="24"/>
      <w:szCs w:val="28"/>
    </w:rPr>
  </w:style>
  <w:style w:type="paragraph" w:styleId="Heading2">
    <w:name w:val="heading 2"/>
    <w:basedOn w:val="Normal"/>
    <w:link w:val="Heading2Char"/>
    <w:uiPriority w:val="9"/>
    <w:qFormat/>
    <w:rsid w:val="000D58D8"/>
    <w:pPr>
      <w:widowControl/>
      <w:numPr>
        <w:ilvl w:val="1"/>
        <w:numId w:val="5"/>
      </w:numPr>
      <w:autoSpaceDE/>
      <w:autoSpaceDN/>
      <w:adjustRightInd/>
      <w:spacing w:after="240"/>
      <w:jc w:val="both"/>
      <w:outlineLvl w:val="1"/>
    </w:pPr>
    <w:rPr>
      <w:rFonts w:asciiTheme="majorHAnsi" w:eastAsiaTheme="majorEastAsia" w:hAnsiTheme="majorHAnsi" w:cstheme="majorBidi"/>
      <w:bCs/>
      <w:sz w:val="24"/>
      <w:szCs w:val="26"/>
    </w:rPr>
  </w:style>
  <w:style w:type="paragraph" w:styleId="Heading3">
    <w:name w:val="heading 3"/>
    <w:basedOn w:val="Normal"/>
    <w:link w:val="Heading3Char"/>
    <w:uiPriority w:val="9"/>
    <w:qFormat/>
    <w:rsid w:val="000D58D8"/>
    <w:pPr>
      <w:widowControl/>
      <w:numPr>
        <w:ilvl w:val="2"/>
        <w:numId w:val="5"/>
      </w:numPr>
      <w:autoSpaceDE/>
      <w:autoSpaceDN/>
      <w:adjustRightInd/>
      <w:spacing w:after="240"/>
      <w:jc w:val="both"/>
      <w:outlineLvl w:val="2"/>
    </w:pPr>
    <w:rPr>
      <w:rFonts w:asciiTheme="majorHAnsi" w:eastAsiaTheme="majorEastAsia" w:hAnsiTheme="majorHAnsi" w:cstheme="majorBidi"/>
      <w:bCs/>
      <w:sz w:val="24"/>
    </w:rPr>
  </w:style>
  <w:style w:type="paragraph" w:styleId="Heading4">
    <w:name w:val="heading 4"/>
    <w:basedOn w:val="Normal"/>
    <w:link w:val="Heading4Char"/>
    <w:uiPriority w:val="9"/>
    <w:qFormat/>
    <w:rsid w:val="000D58D8"/>
    <w:pPr>
      <w:widowControl/>
      <w:numPr>
        <w:ilvl w:val="3"/>
        <w:numId w:val="5"/>
      </w:numPr>
      <w:autoSpaceDE/>
      <w:autoSpaceDN/>
      <w:adjustRightInd/>
      <w:spacing w:after="240"/>
      <w:jc w:val="both"/>
      <w:outlineLvl w:val="3"/>
    </w:pPr>
    <w:rPr>
      <w:rFonts w:asciiTheme="majorHAnsi" w:eastAsiaTheme="majorEastAsia" w:hAnsiTheme="majorHAnsi" w:cstheme="majorBidi"/>
      <w:bCs/>
      <w:iCs/>
      <w:sz w:val="24"/>
    </w:rPr>
  </w:style>
  <w:style w:type="paragraph" w:styleId="Heading5">
    <w:name w:val="heading 5"/>
    <w:basedOn w:val="Normal"/>
    <w:link w:val="Heading5Char"/>
    <w:uiPriority w:val="9"/>
    <w:unhideWhenUsed/>
    <w:rsid w:val="000D58D8"/>
    <w:pPr>
      <w:widowControl/>
      <w:numPr>
        <w:ilvl w:val="4"/>
        <w:numId w:val="5"/>
      </w:numPr>
      <w:autoSpaceDE/>
      <w:autoSpaceDN/>
      <w:adjustRightInd/>
      <w:spacing w:after="240"/>
      <w:jc w:val="both"/>
      <w:outlineLvl w:val="4"/>
    </w:pPr>
    <w:rPr>
      <w:rFonts w:asciiTheme="majorHAnsi" w:eastAsiaTheme="majorEastAsia" w:hAnsiTheme="majorHAnsi" w:cstheme="majorBidi"/>
      <w:sz w:val="24"/>
    </w:rPr>
  </w:style>
  <w:style w:type="paragraph" w:styleId="Heading6">
    <w:name w:val="heading 6"/>
    <w:basedOn w:val="Normal"/>
    <w:link w:val="Heading6Char"/>
    <w:uiPriority w:val="9"/>
    <w:unhideWhenUsed/>
    <w:rsid w:val="000D58D8"/>
    <w:pPr>
      <w:widowControl/>
      <w:numPr>
        <w:ilvl w:val="5"/>
        <w:numId w:val="5"/>
      </w:numPr>
      <w:autoSpaceDE/>
      <w:autoSpaceDN/>
      <w:adjustRightInd/>
      <w:spacing w:after="240"/>
      <w:jc w:val="both"/>
      <w:outlineLvl w:val="5"/>
    </w:pPr>
    <w:rPr>
      <w:rFonts w:asciiTheme="majorHAnsi" w:eastAsiaTheme="majorEastAsia" w:hAnsiTheme="majorHAnsi" w:cstheme="majorBidi"/>
      <w:iCs/>
      <w:sz w:val="24"/>
    </w:rPr>
  </w:style>
  <w:style w:type="paragraph" w:styleId="Heading7">
    <w:name w:val="heading 7"/>
    <w:basedOn w:val="Normal"/>
    <w:link w:val="Heading7Char"/>
    <w:uiPriority w:val="9"/>
    <w:unhideWhenUsed/>
    <w:rsid w:val="000D58D8"/>
    <w:pPr>
      <w:widowControl/>
      <w:numPr>
        <w:ilvl w:val="6"/>
        <w:numId w:val="5"/>
      </w:numPr>
      <w:autoSpaceDE/>
      <w:autoSpaceDN/>
      <w:adjustRightInd/>
      <w:spacing w:after="240"/>
      <w:jc w:val="both"/>
      <w:outlineLvl w:val="6"/>
    </w:pPr>
    <w:rPr>
      <w:rFonts w:asciiTheme="majorHAnsi" w:eastAsiaTheme="majorEastAsia" w:hAnsiTheme="majorHAnsi" w:cstheme="majorBidi"/>
      <w:iCs/>
      <w:sz w:val="24"/>
    </w:rPr>
  </w:style>
  <w:style w:type="paragraph" w:styleId="Heading8">
    <w:name w:val="heading 8"/>
    <w:basedOn w:val="Normal"/>
    <w:link w:val="Heading8Char"/>
    <w:uiPriority w:val="9"/>
    <w:unhideWhenUsed/>
    <w:rsid w:val="000D58D8"/>
    <w:pPr>
      <w:widowControl/>
      <w:numPr>
        <w:ilvl w:val="7"/>
        <w:numId w:val="5"/>
      </w:numPr>
      <w:autoSpaceDE/>
      <w:autoSpaceDN/>
      <w:adjustRightInd/>
      <w:spacing w:after="240"/>
      <w:jc w:val="both"/>
      <w:outlineLvl w:val="7"/>
    </w:pPr>
    <w:rPr>
      <w:rFonts w:asciiTheme="majorHAnsi" w:eastAsiaTheme="majorEastAsia" w:hAnsiTheme="majorHAnsi" w:cstheme="majorBidi"/>
      <w:sz w:val="24"/>
      <w:szCs w:val="20"/>
    </w:rPr>
  </w:style>
  <w:style w:type="paragraph" w:styleId="Heading9">
    <w:name w:val="heading 9"/>
    <w:basedOn w:val="Normal"/>
    <w:link w:val="Heading9Char"/>
    <w:uiPriority w:val="9"/>
    <w:unhideWhenUsed/>
    <w:rsid w:val="000D58D8"/>
    <w:pPr>
      <w:widowControl/>
      <w:numPr>
        <w:ilvl w:val="8"/>
        <w:numId w:val="5"/>
      </w:numPr>
      <w:autoSpaceDE/>
      <w:autoSpaceDN/>
      <w:adjustRightInd/>
      <w:spacing w:after="240"/>
      <w:jc w:val="both"/>
      <w:outlineLvl w:val="8"/>
    </w:pPr>
    <w:rPr>
      <w:rFonts w:asciiTheme="majorHAnsi" w:eastAsiaTheme="majorEastAsia" w:hAnsiTheme="majorHAnsi" w:cstheme="majorBidi"/>
      <w:i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BodyText"/>
    <w:rsid w:val="000D58D8"/>
    <w:pPr>
      <w:ind w:left="720" w:right="720"/>
    </w:pPr>
    <w:rPr>
      <w:rFonts w:eastAsiaTheme="minorEastAsia"/>
      <w:iCs/>
    </w:rPr>
  </w:style>
  <w:style w:type="paragraph" w:styleId="BodyText">
    <w:name w:val="Body Text"/>
    <w:basedOn w:val="Normal"/>
    <w:link w:val="BodyTextChar"/>
    <w:qFormat/>
    <w:rsid w:val="00C41969"/>
    <w:pPr>
      <w:widowControl/>
      <w:autoSpaceDE/>
      <w:autoSpaceDN/>
      <w:adjustRightInd/>
      <w:jc w:val="both"/>
    </w:pPr>
    <w:rPr>
      <w:rFonts w:asciiTheme="minorHAnsi" w:eastAsiaTheme="minorHAnsi" w:hAnsiTheme="minorHAnsi"/>
      <w:sz w:val="24"/>
    </w:rPr>
  </w:style>
  <w:style w:type="character" w:customStyle="1" w:styleId="BodyTextChar">
    <w:name w:val="Body Text Char"/>
    <w:basedOn w:val="DefaultParagraphFont"/>
    <w:link w:val="BodyText"/>
    <w:rsid w:val="00C41969"/>
  </w:style>
  <w:style w:type="paragraph" w:styleId="BodyText2">
    <w:name w:val="Body Text 2"/>
    <w:basedOn w:val="BodyText"/>
    <w:link w:val="BodyText2Char"/>
    <w:rsid w:val="000D58D8"/>
    <w:pPr>
      <w:spacing w:line="480" w:lineRule="auto"/>
    </w:pPr>
  </w:style>
  <w:style w:type="character" w:customStyle="1" w:styleId="BodyText2Char">
    <w:name w:val="Body Text 2 Char"/>
    <w:basedOn w:val="DefaultParagraphFont"/>
    <w:link w:val="BodyText2"/>
    <w:rsid w:val="000D58D8"/>
  </w:style>
  <w:style w:type="paragraph" w:styleId="BodyText3">
    <w:name w:val="Body Text 3"/>
    <w:basedOn w:val="BodyText"/>
    <w:link w:val="BodyText3Char"/>
    <w:uiPriority w:val="99"/>
    <w:semiHidden/>
    <w:unhideWhenUsed/>
    <w:rsid w:val="000D58D8"/>
    <w:pPr>
      <w:spacing w:after="120"/>
    </w:pPr>
    <w:rPr>
      <w:sz w:val="16"/>
      <w:szCs w:val="16"/>
    </w:rPr>
  </w:style>
  <w:style w:type="character" w:customStyle="1" w:styleId="BodyText3Char">
    <w:name w:val="Body Text 3 Char"/>
    <w:basedOn w:val="DefaultParagraphFont"/>
    <w:link w:val="BodyText3"/>
    <w:uiPriority w:val="99"/>
    <w:semiHidden/>
    <w:rsid w:val="000D58D8"/>
    <w:rPr>
      <w:sz w:val="16"/>
      <w:szCs w:val="16"/>
    </w:rPr>
  </w:style>
  <w:style w:type="paragraph" w:styleId="BodyTextFirstIndent">
    <w:name w:val="Body Text First Indent"/>
    <w:basedOn w:val="BodyText"/>
    <w:link w:val="BodyTextFirstIndentChar"/>
    <w:qFormat/>
    <w:rsid w:val="000D58D8"/>
    <w:pPr>
      <w:ind w:firstLine="720"/>
    </w:pPr>
  </w:style>
  <w:style w:type="character" w:customStyle="1" w:styleId="BodyTextFirstIndentChar">
    <w:name w:val="Body Text First Indent Char"/>
    <w:basedOn w:val="BodyTextChar"/>
    <w:link w:val="BodyTextFirstIndent"/>
    <w:rsid w:val="000D58D8"/>
  </w:style>
  <w:style w:type="paragraph" w:styleId="BodyTextIndent">
    <w:name w:val="Body Text Indent"/>
    <w:basedOn w:val="BodyText"/>
    <w:link w:val="BodyTextIndentChar"/>
    <w:qFormat/>
    <w:rsid w:val="000D58D8"/>
    <w:pPr>
      <w:ind w:left="720"/>
    </w:pPr>
  </w:style>
  <w:style w:type="character" w:customStyle="1" w:styleId="BodyTextIndentChar">
    <w:name w:val="Body Text Indent Char"/>
    <w:basedOn w:val="DefaultParagraphFont"/>
    <w:link w:val="BodyTextIndent"/>
    <w:rsid w:val="000D58D8"/>
  </w:style>
  <w:style w:type="paragraph" w:styleId="BodyTextFirstIndent2">
    <w:name w:val="Body Text First Indent 2"/>
    <w:basedOn w:val="BodyText"/>
    <w:link w:val="BodyTextFirstIndent2Char"/>
    <w:rsid w:val="000D58D8"/>
    <w:pPr>
      <w:spacing w:line="480" w:lineRule="auto"/>
      <w:ind w:firstLine="720"/>
    </w:pPr>
  </w:style>
  <w:style w:type="character" w:customStyle="1" w:styleId="BodyTextFirstIndent2Char">
    <w:name w:val="Body Text First Indent 2 Char"/>
    <w:basedOn w:val="BodyTextIndentChar"/>
    <w:link w:val="BodyTextFirstIndent2"/>
    <w:rsid w:val="000D58D8"/>
  </w:style>
  <w:style w:type="paragraph" w:styleId="BodyTextIndent2">
    <w:name w:val="Body Text Indent 2"/>
    <w:basedOn w:val="BodyText"/>
    <w:link w:val="BodyTextIndent2Char"/>
    <w:rsid w:val="000D58D8"/>
    <w:pPr>
      <w:spacing w:line="480" w:lineRule="auto"/>
      <w:ind w:left="720"/>
    </w:pPr>
  </w:style>
  <w:style w:type="character" w:customStyle="1" w:styleId="BodyTextIndent2Char">
    <w:name w:val="Body Text Indent 2 Char"/>
    <w:basedOn w:val="DefaultParagraphFont"/>
    <w:link w:val="BodyTextIndent2"/>
    <w:rsid w:val="000D58D8"/>
  </w:style>
  <w:style w:type="paragraph" w:styleId="BodyTextIndent3">
    <w:name w:val="Body Text Indent 3"/>
    <w:basedOn w:val="BodyText"/>
    <w:link w:val="BodyTextIndent3Char"/>
    <w:uiPriority w:val="99"/>
    <w:semiHidden/>
    <w:unhideWhenUsed/>
    <w:rsid w:val="000D58D8"/>
    <w:pPr>
      <w:spacing w:after="120"/>
      <w:ind w:left="720"/>
    </w:pPr>
    <w:rPr>
      <w:sz w:val="16"/>
      <w:szCs w:val="16"/>
    </w:rPr>
  </w:style>
  <w:style w:type="character" w:customStyle="1" w:styleId="BodyTextIndent3Char">
    <w:name w:val="Body Text Indent 3 Char"/>
    <w:basedOn w:val="DefaultParagraphFont"/>
    <w:link w:val="BodyTextIndent3"/>
    <w:uiPriority w:val="99"/>
    <w:semiHidden/>
    <w:rsid w:val="000D58D8"/>
    <w:rPr>
      <w:sz w:val="16"/>
      <w:szCs w:val="16"/>
    </w:rPr>
  </w:style>
  <w:style w:type="paragraph" w:styleId="Caption">
    <w:name w:val="caption"/>
    <w:basedOn w:val="Normal"/>
    <w:next w:val="Normal"/>
    <w:uiPriority w:val="99"/>
    <w:semiHidden/>
    <w:unhideWhenUsed/>
    <w:qFormat/>
    <w:rsid w:val="000D58D8"/>
    <w:pPr>
      <w:widowControl/>
      <w:autoSpaceDE/>
      <w:autoSpaceDN/>
      <w:adjustRightInd/>
      <w:spacing w:after="200"/>
      <w:jc w:val="both"/>
    </w:pPr>
    <w:rPr>
      <w:rFonts w:asciiTheme="minorHAnsi" w:eastAsiaTheme="minorHAnsi" w:hAnsiTheme="minorHAnsi"/>
      <w:b/>
      <w:bCs/>
      <w:sz w:val="18"/>
      <w:szCs w:val="18"/>
    </w:rPr>
  </w:style>
  <w:style w:type="character" w:customStyle="1" w:styleId="Heading1Char">
    <w:name w:val="Heading 1 Char"/>
    <w:basedOn w:val="DefaultParagraphFont"/>
    <w:link w:val="Heading1"/>
    <w:uiPriority w:val="9"/>
    <w:rsid w:val="000D58D8"/>
    <w:rPr>
      <w:rFonts w:asciiTheme="majorHAnsi" w:eastAsiaTheme="majorEastAsia" w:hAnsiTheme="majorHAnsi" w:cstheme="majorBidi"/>
      <w:bCs/>
      <w:szCs w:val="28"/>
    </w:rPr>
  </w:style>
  <w:style w:type="character" w:customStyle="1" w:styleId="Heading2Char">
    <w:name w:val="Heading 2 Char"/>
    <w:basedOn w:val="DefaultParagraphFont"/>
    <w:link w:val="Heading2"/>
    <w:uiPriority w:val="9"/>
    <w:rsid w:val="000D58D8"/>
    <w:rPr>
      <w:rFonts w:asciiTheme="majorHAnsi" w:eastAsiaTheme="majorEastAsia" w:hAnsiTheme="majorHAnsi" w:cstheme="majorBidi"/>
      <w:bCs/>
      <w:szCs w:val="26"/>
    </w:rPr>
  </w:style>
  <w:style w:type="character" w:customStyle="1" w:styleId="Heading3Char">
    <w:name w:val="Heading 3 Char"/>
    <w:basedOn w:val="DefaultParagraphFont"/>
    <w:link w:val="Heading3"/>
    <w:uiPriority w:val="9"/>
    <w:rsid w:val="000D58D8"/>
    <w:rPr>
      <w:rFonts w:asciiTheme="majorHAnsi" w:eastAsiaTheme="majorEastAsia" w:hAnsiTheme="majorHAnsi" w:cstheme="majorBidi"/>
      <w:bCs/>
    </w:rPr>
  </w:style>
  <w:style w:type="character" w:customStyle="1" w:styleId="Heading4Char">
    <w:name w:val="Heading 4 Char"/>
    <w:basedOn w:val="DefaultParagraphFont"/>
    <w:link w:val="Heading4"/>
    <w:uiPriority w:val="9"/>
    <w:rsid w:val="000D58D8"/>
    <w:rPr>
      <w:rFonts w:asciiTheme="majorHAnsi" w:eastAsiaTheme="majorEastAsia" w:hAnsiTheme="majorHAnsi" w:cstheme="majorBidi"/>
      <w:bCs/>
      <w:iCs/>
    </w:rPr>
  </w:style>
  <w:style w:type="character" w:customStyle="1" w:styleId="Heading5Char">
    <w:name w:val="Heading 5 Char"/>
    <w:basedOn w:val="DefaultParagraphFont"/>
    <w:link w:val="Heading5"/>
    <w:uiPriority w:val="9"/>
    <w:rsid w:val="000D58D8"/>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0D58D8"/>
    <w:rPr>
      <w:rFonts w:asciiTheme="majorHAnsi" w:eastAsiaTheme="majorEastAsia" w:hAnsiTheme="majorHAnsi" w:cstheme="majorBidi"/>
      <w:iCs/>
    </w:rPr>
  </w:style>
  <w:style w:type="character" w:customStyle="1" w:styleId="Heading7Char">
    <w:name w:val="Heading 7 Char"/>
    <w:basedOn w:val="DefaultParagraphFont"/>
    <w:link w:val="Heading7"/>
    <w:uiPriority w:val="9"/>
    <w:rsid w:val="000D58D8"/>
    <w:rPr>
      <w:rFonts w:asciiTheme="majorHAnsi" w:eastAsiaTheme="majorEastAsia" w:hAnsiTheme="majorHAnsi" w:cstheme="majorBidi"/>
      <w:iCs/>
    </w:rPr>
  </w:style>
  <w:style w:type="character" w:customStyle="1" w:styleId="Heading8Char">
    <w:name w:val="Heading 8 Char"/>
    <w:basedOn w:val="DefaultParagraphFont"/>
    <w:link w:val="Heading8"/>
    <w:uiPriority w:val="9"/>
    <w:rsid w:val="000D58D8"/>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rsid w:val="000D58D8"/>
    <w:rPr>
      <w:rFonts w:asciiTheme="majorHAnsi" w:eastAsiaTheme="majorEastAsia" w:hAnsiTheme="majorHAnsi" w:cstheme="majorBidi"/>
      <w:iCs/>
      <w:szCs w:val="20"/>
    </w:rPr>
  </w:style>
  <w:style w:type="character" w:styleId="IntenseEmphasis">
    <w:name w:val="Intense Emphasis"/>
    <w:basedOn w:val="DefaultParagraphFont"/>
    <w:uiPriority w:val="99"/>
    <w:semiHidden/>
    <w:unhideWhenUsed/>
    <w:rsid w:val="000D58D8"/>
    <w:rPr>
      <w:b/>
      <w:bCs/>
      <w:i/>
      <w:iCs/>
      <w:color w:val="auto"/>
    </w:rPr>
  </w:style>
  <w:style w:type="paragraph" w:styleId="IntenseQuote">
    <w:name w:val="Intense Quote"/>
    <w:basedOn w:val="Normal"/>
    <w:next w:val="Normal"/>
    <w:link w:val="IntenseQuoteChar"/>
    <w:uiPriority w:val="99"/>
    <w:semiHidden/>
    <w:unhideWhenUsed/>
    <w:rsid w:val="000D58D8"/>
    <w:pPr>
      <w:widowControl/>
      <w:pBdr>
        <w:bottom w:val="single" w:sz="4" w:space="4" w:color="F04E23" w:themeColor="accent1"/>
      </w:pBdr>
      <w:autoSpaceDE/>
      <w:autoSpaceDN/>
      <w:adjustRightInd/>
      <w:spacing w:before="200" w:after="280"/>
      <w:ind w:left="936" w:right="936"/>
      <w:jc w:val="both"/>
    </w:pPr>
    <w:rPr>
      <w:rFonts w:asciiTheme="minorHAnsi" w:eastAsiaTheme="minorHAnsi" w:hAnsiTheme="minorHAnsi"/>
      <w:b/>
      <w:bCs/>
      <w:i/>
      <w:iCs/>
      <w:sz w:val="24"/>
    </w:rPr>
  </w:style>
  <w:style w:type="character" w:customStyle="1" w:styleId="IntenseQuoteChar">
    <w:name w:val="Intense Quote Char"/>
    <w:basedOn w:val="DefaultParagraphFont"/>
    <w:link w:val="IntenseQuote"/>
    <w:uiPriority w:val="99"/>
    <w:semiHidden/>
    <w:rsid w:val="000D58D8"/>
    <w:rPr>
      <w:b/>
      <w:bCs/>
      <w:i/>
      <w:iCs/>
    </w:rPr>
  </w:style>
  <w:style w:type="character" w:styleId="IntenseReference">
    <w:name w:val="Intense Reference"/>
    <w:basedOn w:val="DefaultParagraphFont"/>
    <w:uiPriority w:val="99"/>
    <w:semiHidden/>
    <w:unhideWhenUsed/>
    <w:rsid w:val="000D58D8"/>
    <w:rPr>
      <w:b/>
      <w:bCs/>
      <w:smallCaps/>
      <w:color w:val="auto"/>
      <w:spacing w:val="5"/>
      <w:u w:val="single"/>
    </w:rPr>
  </w:style>
  <w:style w:type="paragraph" w:styleId="Quote">
    <w:name w:val="Quote"/>
    <w:basedOn w:val="Normal"/>
    <w:next w:val="BodyText"/>
    <w:link w:val="QuoteChar"/>
    <w:uiPriority w:val="29"/>
    <w:semiHidden/>
    <w:unhideWhenUsed/>
    <w:rsid w:val="000D58D8"/>
    <w:pPr>
      <w:widowControl/>
      <w:autoSpaceDE/>
      <w:autoSpaceDN/>
      <w:adjustRightInd/>
      <w:jc w:val="both"/>
    </w:pPr>
    <w:rPr>
      <w:rFonts w:asciiTheme="minorHAnsi" w:eastAsiaTheme="minorHAnsi" w:hAnsiTheme="minorHAnsi"/>
      <w:i/>
      <w:iCs/>
      <w:color w:val="000000" w:themeColor="text1"/>
      <w:sz w:val="24"/>
    </w:rPr>
  </w:style>
  <w:style w:type="character" w:customStyle="1" w:styleId="QuoteChar">
    <w:name w:val="Quote Char"/>
    <w:basedOn w:val="DefaultParagraphFont"/>
    <w:link w:val="Quote"/>
    <w:uiPriority w:val="29"/>
    <w:semiHidden/>
    <w:rsid w:val="000D58D8"/>
    <w:rPr>
      <w:i/>
      <w:iCs/>
      <w:color w:val="000000" w:themeColor="text1"/>
    </w:rPr>
  </w:style>
  <w:style w:type="paragraph" w:styleId="Salutation">
    <w:name w:val="Salutation"/>
    <w:basedOn w:val="Normal"/>
    <w:next w:val="BodyText"/>
    <w:link w:val="SalutationChar"/>
    <w:uiPriority w:val="99"/>
    <w:semiHidden/>
    <w:unhideWhenUsed/>
    <w:rsid w:val="000D58D8"/>
    <w:pPr>
      <w:widowControl/>
      <w:autoSpaceDE/>
      <w:autoSpaceDN/>
      <w:adjustRightInd/>
      <w:jc w:val="both"/>
    </w:pPr>
    <w:rPr>
      <w:rFonts w:asciiTheme="minorHAnsi" w:eastAsiaTheme="minorHAnsi" w:hAnsiTheme="minorHAnsi"/>
      <w:sz w:val="24"/>
    </w:rPr>
  </w:style>
  <w:style w:type="character" w:customStyle="1" w:styleId="SalutationChar">
    <w:name w:val="Salutation Char"/>
    <w:basedOn w:val="DefaultParagraphFont"/>
    <w:link w:val="Salutation"/>
    <w:uiPriority w:val="99"/>
    <w:semiHidden/>
    <w:rsid w:val="000D58D8"/>
  </w:style>
  <w:style w:type="paragraph" w:styleId="Subtitle">
    <w:name w:val="Subtitle"/>
    <w:basedOn w:val="Title"/>
    <w:next w:val="BodyText"/>
    <w:link w:val="SubtitleChar"/>
    <w:uiPriority w:val="19"/>
    <w:rsid w:val="000D58D8"/>
    <w:pPr>
      <w:numPr>
        <w:ilvl w:val="1"/>
      </w:numPr>
    </w:pPr>
    <w:rPr>
      <w:b w:val="0"/>
      <w:iCs/>
      <w:szCs w:val="24"/>
    </w:rPr>
  </w:style>
  <w:style w:type="character" w:customStyle="1" w:styleId="SubtitleChar">
    <w:name w:val="Subtitle Char"/>
    <w:basedOn w:val="DefaultParagraphFont"/>
    <w:link w:val="Subtitle"/>
    <w:uiPriority w:val="19"/>
    <w:rsid w:val="000D58D8"/>
    <w:rPr>
      <w:rFonts w:asciiTheme="majorHAnsi" w:eastAsiaTheme="majorEastAsia" w:hAnsiTheme="majorHAnsi" w:cstheme="majorBidi"/>
      <w:iCs/>
    </w:rPr>
  </w:style>
  <w:style w:type="character" w:styleId="SubtleReference">
    <w:name w:val="Subtle Reference"/>
    <w:basedOn w:val="DefaultParagraphFont"/>
    <w:uiPriority w:val="31"/>
    <w:semiHidden/>
    <w:unhideWhenUsed/>
    <w:rsid w:val="000D58D8"/>
    <w:rPr>
      <w:smallCaps/>
      <w:color w:val="auto"/>
      <w:u w:val="single"/>
    </w:rPr>
  </w:style>
  <w:style w:type="paragraph" w:styleId="Title">
    <w:name w:val="Title"/>
    <w:basedOn w:val="BodyText"/>
    <w:next w:val="BodyText"/>
    <w:link w:val="TitleChar"/>
    <w:uiPriority w:val="19"/>
    <w:qFormat/>
    <w:rsid w:val="000D58D8"/>
    <w:pPr>
      <w:keepNext/>
      <w:keepLines/>
      <w:jc w:val="center"/>
    </w:pPr>
    <w:rPr>
      <w:rFonts w:asciiTheme="majorHAnsi" w:eastAsiaTheme="majorEastAsia" w:hAnsiTheme="majorHAnsi" w:cstheme="majorBidi"/>
      <w:b/>
      <w:szCs w:val="52"/>
    </w:rPr>
  </w:style>
  <w:style w:type="character" w:customStyle="1" w:styleId="TitleChar">
    <w:name w:val="Title Char"/>
    <w:basedOn w:val="DefaultParagraphFont"/>
    <w:link w:val="Title"/>
    <w:uiPriority w:val="19"/>
    <w:rsid w:val="000D58D8"/>
    <w:rPr>
      <w:rFonts w:asciiTheme="majorHAnsi" w:eastAsiaTheme="majorEastAsia" w:hAnsiTheme="majorHAnsi" w:cstheme="majorBidi"/>
      <w:b/>
      <w:szCs w:val="52"/>
    </w:rPr>
  </w:style>
  <w:style w:type="paragraph" w:styleId="TOCHeading">
    <w:name w:val="TOC Heading"/>
    <w:basedOn w:val="Title"/>
    <w:next w:val="Normal"/>
    <w:uiPriority w:val="39"/>
    <w:unhideWhenUsed/>
    <w:rsid w:val="000D58D8"/>
  </w:style>
  <w:style w:type="character" w:styleId="Emphasis">
    <w:name w:val="Emphasis"/>
    <w:basedOn w:val="DefaultParagraphFont"/>
    <w:uiPriority w:val="99"/>
    <w:unhideWhenUsed/>
    <w:rsid w:val="000D58D8"/>
    <w:rPr>
      <w:i/>
      <w:iCs/>
    </w:rPr>
  </w:style>
  <w:style w:type="paragraph" w:styleId="ListBullet">
    <w:name w:val="List Bullet"/>
    <w:basedOn w:val="Normal"/>
    <w:uiPriority w:val="19"/>
    <w:qFormat/>
    <w:rsid w:val="000D58D8"/>
    <w:pPr>
      <w:widowControl/>
      <w:numPr>
        <w:numId w:val="1"/>
      </w:numPr>
      <w:autoSpaceDE/>
      <w:autoSpaceDN/>
      <w:adjustRightInd/>
      <w:spacing w:after="240"/>
      <w:jc w:val="both"/>
    </w:pPr>
    <w:rPr>
      <w:rFonts w:asciiTheme="minorHAnsi" w:eastAsiaTheme="minorHAnsi" w:hAnsiTheme="minorHAnsi"/>
      <w:sz w:val="24"/>
    </w:rPr>
  </w:style>
  <w:style w:type="paragraph" w:styleId="ListNumber">
    <w:name w:val="List Number"/>
    <w:basedOn w:val="Normal"/>
    <w:uiPriority w:val="19"/>
    <w:qFormat/>
    <w:rsid w:val="000D58D8"/>
    <w:pPr>
      <w:widowControl/>
      <w:numPr>
        <w:numId w:val="3"/>
      </w:numPr>
      <w:autoSpaceDE/>
      <w:autoSpaceDN/>
      <w:adjustRightInd/>
      <w:spacing w:after="240"/>
      <w:jc w:val="both"/>
    </w:pPr>
    <w:rPr>
      <w:rFonts w:asciiTheme="minorHAnsi" w:eastAsiaTheme="minorHAnsi" w:hAnsiTheme="minorHAnsi"/>
      <w:sz w:val="24"/>
    </w:rPr>
  </w:style>
  <w:style w:type="character" w:styleId="Strong">
    <w:name w:val="Strong"/>
    <w:basedOn w:val="DefaultParagraphFont"/>
    <w:uiPriority w:val="99"/>
    <w:unhideWhenUsed/>
    <w:rsid w:val="000D58D8"/>
    <w:rPr>
      <w:b/>
      <w:bCs/>
    </w:rPr>
  </w:style>
  <w:style w:type="character" w:styleId="LineNumber">
    <w:name w:val="line number"/>
    <w:basedOn w:val="DefaultParagraphFont"/>
    <w:uiPriority w:val="99"/>
    <w:semiHidden/>
    <w:unhideWhenUsed/>
    <w:rsid w:val="000D58D8"/>
  </w:style>
  <w:style w:type="character" w:styleId="SubtleEmphasis">
    <w:name w:val="Subtle Emphasis"/>
    <w:basedOn w:val="DefaultParagraphFont"/>
    <w:uiPriority w:val="19"/>
    <w:semiHidden/>
    <w:unhideWhenUsed/>
    <w:rsid w:val="000D58D8"/>
    <w:rPr>
      <w:i/>
      <w:iCs/>
      <w:color w:val="808080" w:themeColor="text1" w:themeTint="7F"/>
    </w:rPr>
  </w:style>
  <w:style w:type="paragraph" w:customStyle="1" w:styleId="BlockQuote">
    <w:name w:val="Block Quote"/>
    <w:basedOn w:val="BodyText"/>
    <w:rsid w:val="000D58D8"/>
    <w:pPr>
      <w:ind w:left="1440" w:right="1440"/>
    </w:pPr>
  </w:style>
  <w:style w:type="paragraph" w:styleId="NoSpacing">
    <w:name w:val="No Spacing"/>
    <w:basedOn w:val="Normal"/>
    <w:uiPriority w:val="99"/>
    <w:rsid w:val="000D58D8"/>
    <w:pPr>
      <w:widowControl/>
      <w:autoSpaceDE/>
      <w:autoSpaceDN/>
      <w:adjustRightInd/>
      <w:jc w:val="both"/>
    </w:pPr>
    <w:rPr>
      <w:rFonts w:asciiTheme="minorHAnsi" w:eastAsiaTheme="minorHAnsi" w:hAnsiTheme="minorHAnsi"/>
      <w:sz w:val="24"/>
    </w:rPr>
  </w:style>
  <w:style w:type="paragraph" w:customStyle="1" w:styleId="ListAlpha">
    <w:name w:val="List Alpha"/>
    <w:basedOn w:val="Normal"/>
    <w:uiPriority w:val="19"/>
    <w:qFormat/>
    <w:rsid w:val="000D58D8"/>
    <w:pPr>
      <w:widowControl/>
      <w:numPr>
        <w:numId w:val="6"/>
      </w:numPr>
      <w:autoSpaceDE/>
      <w:autoSpaceDN/>
      <w:adjustRightInd/>
      <w:spacing w:after="240"/>
      <w:ind w:hanging="720"/>
      <w:jc w:val="both"/>
    </w:pPr>
    <w:rPr>
      <w:rFonts w:asciiTheme="minorHAnsi" w:eastAsiaTheme="minorHAnsi" w:hAnsiTheme="minorHAnsi"/>
      <w:sz w:val="24"/>
    </w:rPr>
  </w:style>
  <w:style w:type="paragraph" w:styleId="ListBullet2">
    <w:name w:val="List Bullet 2"/>
    <w:basedOn w:val="Normal"/>
    <w:uiPriority w:val="19"/>
    <w:rsid w:val="000D58D8"/>
    <w:pPr>
      <w:widowControl/>
      <w:numPr>
        <w:numId w:val="2"/>
      </w:numPr>
      <w:autoSpaceDE/>
      <w:autoSpaceDN/>
      <w:adjustRightInd/>
      <w:spacing w:after="240"/>
      <w:jc w:val="both"/>
    </w:pPr>
    <w:rPr>
      <w:rFonts w:asciiTheme="minorHAnsi" w:eastAsiaTheme="minorHAnsi" w:hAnsiTheme="minorHAnsi"/>
      <w:sz w:val="24"/>
    </w:rPr>
  </w:style>
  <w:style w:type="paragraph" w:styleId="ListContinue">
    <w:name w:val="List Continue"/>
    <w:basedOn w:val="Normal"/>
    <w:uiPriority w:val="99"/>
    <w:unhideWhenUsed/>
    <w:rsid w:val="000D58D8"/>
    <w:pPr>
      <w:widowControl/>
      <w:autoSpaceDE/>
      <w:autoSpaceDN/>
      <w:adjustRightInd/>
      <w:spacing w:after="240"/>
      <w:ind w:left="360"/>
      <w:jc w:val="both"/>
    </w:pPr>
    <w:rPr>
      <w:rFonts w:asciiTheme="minorHAnsi" w:eastAsiaTheme="minorHAnsi" w:hAnsiTheme="minorHAnsi"/>
      <w:sz w:val="24"/>
    </w:rPr>
  </w:style>
  <w:style w:type="paragraph" w:styleId="ListContinue2">
    <w:name w:val="List Continue 2"/>
    <w:basedOn w:val="Normal"/>
    <w:uiPriority w:val="99"/>
    <w:unhideWhenUsed/>
    <w:rsid w:val="000D58D8"/>
    <w:pPr>
      <w:widowControl/>
      <w:autoSpaceDE/>
      <w:autoSpaceDN/>
      <w:adjustRightInd/>
      <w:spacing w:after="240"/>
      <w:ind w:left="720"/>
      <w:jc w:val="both"/>
    </w:pPr>
    <w:rPr>
      <w:rFonts w:asciiTheme="minorHAnsi" w:eastAsiaTheme="minorHAnsi" w:hAnsiTheme="minorHAnsi"/>
      <w:sz w:val="24"/>
    </w:rPr>
  </w:style>
  <w:style w:type="paragraph" w:styleId="ListNumber2">
    <w:name w:val="List Number 2"/>
    <w:basedOn w:val="Normal"/>
    <w:uiPriority w:val="19"/>
    <w:rsid w:val="000D58D8"/>
    <w:pPr>
      <w:widowControl/>
      <w:numPr>
        <w:numId w:val="4"/>
      </w:numPr>
      <w:autoSpaceDE/>
      <w:autoSpaceDN/>
      <w:adjustRightInd/>
      <w:spacing w:after="240"/>
      <w:jc w:val="both"/>
    </w:pPr>
    <w:rPr>
      <w:rFonts w:asciiTheme="minorHAnsi" w:eastAsiaTheme="minorHAnsi" w:hAnsiTheme="minorHAnsi"/>
      <w:sz w:val="24"/>
    </w:rPr>
  </w:style>
  <w:style w:type="paragraph" w:customStyle="1" w:styleId="Para1">
    <w:name w:val="Para1"/>
    <w:basedOn w:val="Normal"/>
    <w:next w:val="Heading1"/>
    <w:link w:val="Para1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1Char">
    <w:name w:val="Para1 Char"/>
    <w:basedOn w:val="DefaultParagraphFont"/>
    <w:link w:val="Para1"/>
    <w:uiPriority w:val="99"/>
    <w:rsid w:val="000D58D8"/>
  </w:style>
  <w:style w:type="paragraph" w:customStyle="1" w:styleId="Para2">
    <w:name w:val="Para2"/>
    <w:basedOn w:val="Normal"/>
    <w:next w:val="Heading2"/>
    <w:link w:val="Para2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2Char">
    <w:name w:val="Para2 Char"/>
    <w:basedOn w:val="DefaultParagraphFont"/>
    <w:link w:val="Para2"/>
    <w:uiPriority w:val="99"/>
    <w:rsid w:val="000D58D8"/>
  </w:style>
  <w:style w:type="paragraph" w:customStyle="1" w:styleId="Para3">
    <w:name w:val="Para3"/>
    <w:basedOn w:val="Normal"/>
    <w:next w:val="Heading3"/>
    <w:link w:val="Para3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3Char">
    <w:name w:val="Para3 Char"/>
    <w:basedOn w:val="DefaultParagraphFont"/>
    <w:link w:val="Para3"/>
    <w:uiPriority w:val="99"/>
    <w:rsid w:val="000D58D8"/>
  </w:style>
  <w:style w:type="paragraph" w:customStyle="1" w:styleId="Para4">
    <w:name w:val="Para4"/>
    <w:basedOn w:val="Normal"/>
    <w:next w:val="Heading4"/>
    <w:link w:val="Para4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4Char">
    <w:name w:val="Para4 Char"/>
    <w:basedOn w:val="DefaultParagraphFont"/>
    <w:link w:val="Para4"/>
    <w:uiPriority w:val="99"/>
    <w:rsid w:val="000D58D8"/>
  </w:style>
  <w:style w:type="paragraph" w:customStyle="1" w:styleId="Para5">
    <w:name w:val="Para5"/>
    <w:basedOn w:val="Normal"/>
    <w:next w:val="Heading5"/>
    <w:link w:val="Para5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5Char">
    <w:name w:val="Para5 Char"/>
    <w:basedOn w:val="DefaultParagraphFont"/>
    <w:link w:val="Para5"/>
    <w:uiPriority w:val="99"/>
    <w:rsid w:val="000D58D8"/>
  </w:style>
  <w:style w:type="paragraph" w:customStyle="1" w:styleId="Para6">
    <w:name w:val="Para6"/>
    <w:basedOn w:val="Normal"/>
    <w:next w:val="Heading6"/>
    <w:link w:val="Para6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6Char">
    <w:name w:val="Para6 Char"/>
    <w:basedOn w:val="DefaultParagraphFont"/>
    <w:link w:val="Para6"/>
    <w:uiPriority w:val="99"/>
    <w:rsid w:val="000D58D8"/>
  </w:style>
  <w:style w:type="paragraph" w:customStyle="1" w:styleId="Para7">
    <w:name w:val="Para7"/>
    <w:basedOn w:val="Normal"/>
    <w:next w:val="Heading7"/>
    <w:link w:val="Para7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7Char">
    <w:name w:val="Para7 Char"/>
    <w:basedOn w:val="DefaultParagraphFont"/>
    <w:link w:val="Para7"/>
    <w:uiPriority w:val="99"/>
    <w:rsid w:val="000D58D8"/>
  </w:style>
  <w:style w:type="paragraph" w:customStyle="1" w:styleId="Para8">
    <w:name w:val="Para8"/>
    <w:basedOn w:val="Normal"/>
    <w:next w:val="Heading8"/>
    <w:link w:val="Para8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8Char">
    <w:name w:val="Para8 Char"/>
    <w:basedOn w:val="DefaultParagraphFont"/>
    <w:link w:val="Para8"/>
    <w:uiPriority w:val="99"/>
    <w:rsid w:val="000D58D8"/>
  </w:style>
  <w:style w:type="paragraph" w:customStyle="1" w:styleId="Para9">
    <w:name w:val="Para9"/>
    <w:basedOn w:val="Normal"/>
    <w:next w:val="Heading9"/>
    <w:link w:val="Para9Char"/>
    <w:uiPriority w:val="99"/>
    <w:unhideWhenUsed/>
    <w:rsid w:val="000D58D8"/>
    <w:pPr>
      <w:widowControl/>
      <w:autoSpaceDE/>
      <w:autoSpaceDN/>
      <w:adjustRightInd/>
      <w:spacing w:after="240"/>
      <w:jc w:val="both"/>
    </w:pPr>
    <w:rPr>
      <w:rFonts w:asciiTheme="minorHAnsi" w:eastAsiaTheme="minorHAnsi" w:hAnsiTheme="minorHAnsi"/>
      <w:sz w:val="24"/>
    </w:rPr>
  </w:style>
  <w:style w:type="character" w:customStyle="1" w:styleId="Para9Char">
    <w:name w:val="Para9 Char"/>
    <w:basedOn w:val="DefaultParagraphFont"/>
    <w:link w:val="Para9"/>
    <w:uiPriority w:val="99"/>
    <w:rsid w:val="000D58D8"/>
  </w:style>
  <w:style w:type="table" w:styleId="TableGrid">
    <w:name w:val="Table Grid"/>
    <w:basedOn w:val="TableNormal"/>
    <w:rsid w:val="000D5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D58D8"/>
    <w:tblPr>
      <w:tblStyleRowBandSize w:val="1"/>
      <w:tblStyleColBandSize w:val="1"/>
      <w:tblBorders>
        <w:top w:val="single" w:sz="4" w:space="0" w:color="F9B8A7" w:themeColor="accent1" w:themeTint="66"/>
        <w:left w:val="single" w:sz="4" w:space="0" w:color="F9B8A7" w:themeColor="accent1" w:themeTint="66"/>
        <w:bottom w:val="single" w:sz="4" w:space="0" w:color="F9B8A7" w:themeColor="accent1" w:themeTint="66"/>
        <w:right w:val="single" w:sz="4" w:space="0" w:color="F9B8A7" w:themeColor="accent1" w:themeTint="66"/>
        <w:insideH w:val="single" w:sz="4" w:space="0" w:color="F9B8A7" w:themeColor="accent1" w:themeTint="66"/>
        <w:insideV w:val="single" w:sz="4" w:space="0" w:color="F9B8A7" w:themeColor="accent1" w:themeTint="66"/>
      </w:tblBorders>
    </w:tblPr>
    <w:tblStylePr w:type="firstRow">
      <w:rPr>
        <w:b/>
        <w:bCs/>
      </w:rPr>
      <w:tblPr/>
      <w:tcPr>
        <w:tcBorders>
          <w:bottom w:val="single" w:sz="12" w:space="0" w:color="F6947B" w:themeColor="accent1" w:themeTint="99"/>
        </w:tcBorders>
      </w:tcPr>
    </w:tblStylePr>
    <w:tblStylePr w:type="lastRow">
      <w:rPr>
        <w:b/>
        <w:bCs/>
      </w:rPr>
      <w:tblPr/>
      <w:tcPr>
        <w:tcBorders>
          <w:top w:val="double" w:sz="2" w:space="0" w:color="F6947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0D58D8"/>
    <w:tblPr>
      <w:tblStyleRowBandSize w:val="1"/>
      <w:tblStyleColBandSize w:val="1"/>
      <w:tblBorders>
        <w:top w:val="single" w:sz="4" w:space="0" w:color="F04E23" w:themeColor="accent1"/>
        <w:left w:val="single" w:sz="4" w:space="0" w:color="F04E23" w:themeColor="accent1"/>
        <w:bottom w:val="single" w:sz="4" w:space="0" w:color="F04E23" w:themeColor="accent1"/>
        <w:right w:val="single" w:sz="4" w:space="0" w:color="F04E23" w:themeColor="accent1"/>
      </w:tblBorders>
    </w:tblPr>
    <w:tblStylePr w:type="firstRow">
      <w:rPr>
        <w:b/>
        <w:bCs/>
        <w:color w:val="FFFFFF" w:themeColor="background1"/>
      </w:rPr>
      <w:tblPr/>
      <w:tcPr>
        <w:shd w:val="clear" w:color="auto" w:fill="F04E23" w:themeFill="accent1"/>
      </w:tcPr>
    </w:tblStylePr>
    <w:tblStylePr w:type="lastRow">
      <w:rPr>
        <w:b/>
        <w:bCs/>
      </w:rPr>
      <w:tblPr/>
      <w:tcPr>
        <w:tcBorders>
          <w:top w:val="double" w:sz="4" w:space="0" w:color="F04E2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4E23" w:themeColor="accent1"/>
          <w:right w:val="single" w:sz="4" w:space="0" w:color="F04E23" w:themeColor="accent1"/>
        </w:tcBorders>
      </w:tcPr>
    </w:tblStylePr>
    <w:tblStylePr w:type="band1Horz">
      <w:tblPr/>
      <w:tcPr>
        <w:tcBorders>
          <w:top w:val="single" w:sz="4" w:space="0" w:color="F04E23" w:themeColor="accent1"/>
          <w:bottom w:val="single" w:sz="4" w:space="0" w:color="F04E2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4E23" w:themeColor="accent1"/>
          <w:left w:val="nil"/>
        </w:tcBorders>
      </w:tcPr>
    </w:tblStylePr>
    <w:tblStylePr w:type="swCell">
      <w:tblPr/>
      <w:tcPr>
        <w:tcBorders>
          <w:top w:val="double" w:sz="4" w:space="0" w:color="F04E23" w:themeColor="accent1"/>
          <w:right w:val="nil"/>
        </w:tcBorders>
      </w:tcPr>
    </w:tblStylePr>
  </w:style>
  <w:style w:type="table" w:styleId="TableGridLight">
    <w:name w:val="Grid Table Light"/>
    <w:basedOn w:val="TableNormal"/>
    <w:uiPriority w:val="40"/>
    <w:rsid w:val="000D58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29"/>
    <w:rsid w:val="000D58D8"/>
    <w:pPr>
      <w:widowControl/>
      <w:tabs>
        <w:tab w:val="center" w:pos="4680"/>
        <w:tab w:val="right" w:pos="9360"/>
      </w:tabs>
      <w:autoSpaceDE/>
      <w:autoSpaceDN/>
      <w:adjustRightInd/>
      <w:jc w:val="both"/>
    </w:pPr>
    <w:rPr>
      <w:rFonts w:asciiTheme="minorHAnsi" w:eastAsiaTheme="minorHAnsi" w:hAnsiTheme="minorHAnsi"/>
      <w:sz w:val="24"/>
    </w:rPr>
  </w:style>
  <w:style w:type="character" w:customStyle="1" w:styleId="HeaderChar">
    <w:name w:val="Header Char"/>
    <w:basedOn w:val="DefaultParagraphFont"/>
    <w:link w:val="Header"/>
    <w:uiPriority w:val="29"/>
    <w:rsid w:val="000D58D8"/>
  </w:style>
  <w:style w:type="paragraph" w:styleId="Footer">
    <w:name w:val="footer"/>
    <w:basedOn w:val="Normal"/>
    <w:link w:val="FooterChar"/>
    <w:uiPriority w:val="99"/>
    <w:rsid w:val="000D58D8"/>
    <w:pPr>
      <w:widowControl/>
      <w:tabs>
        <w:tab w:val="center" w:pos="4680"/>
        <w:tab w:val="right" w:pos="9360"/>
      </w:tabs>
      <w:autoSpaceDE/>
      <w:autoSpaceDN/>
      <w:adjustRightInd/>
      <w:jc w:val="both"/>
    </w:pPr>
    <w:rPr>
      <w:rFonts w:asciiTheme="minorHAnsi" w:eastAsiaTheme="minorHAnsi" w:hAnsiTheme="minorHAnsi"/>
      <w:sz w:val="24"/>
    </w:rPr>
  </w:style>
  <w:style w:type="character" w:customStyle="1" w:styleId="FooterChar">
    <w:name w:val="Footer Char"/>
    <w:basedOn w:val="DefaultParagraphFont"/>
    <w:link w:val="Footer"/>
    <w:uiPriority w:val="99"/>
    <w:rsid w:val="000D58D8"/>
  </w:style>
  <w:style w:type="character" w:styleId="BookTitle">
    <w:name w:val="Book Title"/>
    <w:basedOn w:val="DefaultParagraphFont"/>
    <w:uiPriority w:val="99"/>
    <w:unhideWhenUsed/>
    <w:rsid w:val="000D58D8"/>
    <w:rPr>
      <w:b/>
      <w:bCs/>
      <w:i/>
      <w:iCs/>
      <w:spacing w:val="5"/>
    </w:rPr>
  </w:style>
  <w:style w:type="paragraph" w:styleId="ListParagraph">
    <w:name w:val="List Paragraph"/>
    <w:basedOn w:val="Normal"/>
    <w:uiPriority w:val="99"/>
    <w:unhideWhenUsed/>
    <w:rsid w:val="000D58D8"/>
    <w:pPr>
      <w:widowControl/>
      <w:autoSpaceDE/>
      <w:autoSpaceDN/>
      <w:adjustRightInd/>
      <w:spacing w:after="240"/>
      <w:ind w:left="720"/>
      <w:jc w:val="both"/>
    </w:pPr>
    <w:rPr>
      <w:rFonts w:asciiTheme="minorHAnsi" w:eastAsiaTheme="minorHAnsi" w:hAnsiTheme="minorHAnsi"/>
      <w:sz w:val="24"/>
    </w:rPr>
  </w:style>
  <w:style w:type="paragraph" w:styleId="Signature">
    <w:name w:val="Signature"/>
    <w:basedOn w:val="Normal"/>
    <w:link w:val="SignatureChar"/>
    <w:uiPriority w:val="19"/>
    <w:rsid w:val="000D58D8"/>
    <w:pPr>
      <w:widowControl/>
      <w:autoSpaceDE/>
      <w:autoSpaceDN/>
      <w:adjustRightInd/>
      <w:ind w:left="4320"/>
      <w:jc w:val="both"/>
    </w:pPr>
    <w:rPr>
      <w:rFonts w:asciiTheme="minorHAnsi" w:eastAsiaTheme="minorHAnsi" w:hAnsiTheme="minorHAnsi"/>
      <w:sz w:val="24"/>
    </w:rPr>
  </w:style>
  <w:style w:type="character" w:customStyle="1" w:styleId="SignatureChar">
    <w:name w:val="Signature Char"/>
    <w:basedOn w:val="DefaultParagraphFont"/>
    <w:link w:val="Signature"/>
    <w:uiPriority w:val="19"/>
    <w:rsid w:val="000D58D8"/>
  </w:style>
  <w:style w:type="paragraph" w:styleId="BalloonText">
    <w:name w:val="Balloon Text"/>
    <w:basedOn w:val="Normal"/>
    <w:link w:val="BalloonTextChar"/>
    <w:uiPriority w:val="99"/>
    <w:semiHidden/>
    <w:unhideWhenUsed/>
    <w:rsid w:val="000D58D8"/>
    <w:pPr>
      <w:widowControl/>
      <w:autoSpaceDE/>
      <w:autoSpaceDN/>
      <w:adjustRightInd/>
      <w:jc w:val="both"/>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0D58D8"/>
    <w:rPr>
      <w:rFonts w:ascii="Segoe UI" w:hAnsi="Segoe UI" w:cs="Segoe UI"/>
      <w:sz w:val="18"/>
      <w:szCs w:val="18"/>
    </w:rPr>
  </w:style>
  <w:style w:type="paragraph" w:customStyle="1" w:styleId="DocID">
    <w:name w:val="DocID"/>
    <w:basedOn w:val="Footer"/>
    <w:next w:val="Footer"/>
    <w:link w:val="DocIDChar"/>
    <w:rsid w:val="00C25268"/>
    <w:pPr>
      <w:tabs>
        <w:tab w:val="clear" w:pos="4680"/>
        <w:tab w:val="clear" w:pos="9360"/>
      </w:tabs>
      <w:jc w:val="left"/>
    </w:pPr>
    <w:rPr>
      <w:rFonts w:ascii="Times New Roman" w:eastAsia="Times New Roman" w:hAnsi="Times New Roman"/>
      <w:sz w:val="16"/>
      <w:szCs w:val="20"/>
    </w:rPr>
  </w:style>
  <w:style w:type="character" w:customStyle="1" w:styleId="DocIDChar">
    <w:name w:val="DocID Char"/>
    <w:basedOn w:val="BodyTextChar"/>
    <w:link w:val="DocID"/>
    <w:rsid w:val="00C25268"/>
    <w:rPr>
      <w:rFonts w:ascii="Times New Roman" w:eastAsia="Times New Roman" w:hAnsi="Times New Roman"/>
      <w:sz w:val="16"/>
      <w:szCs w:val="20"/>
      <w:lang w:val="en-US" w:eastAsia="en-US"/>
    </w:rPr>
  </w:style>
  <w:style w:type="character" w:customStyle="1" w:styleId="cf01">
    <w:name w:val="cf01"/>
    <w:basedOn w:val="DefaultParagraphFont"/>
    <w:rsid w:val="003813C6"/>
    <w:rPr>
      <w:rFonts w:ascii="Segoe UI" w:hAnsi="Segoe UI" w:cs="Segoe UI" w:hint="default"/>
      <w:sz w:val="18"/>
      <w:szCs w:val="18"/>
    </w:rPr>
  </w:style>
  <w:style w:type="character" w:styleId="Hyperlink">
    <w:name w:val="Hyperlink"/>
    <w:basedOn w:val="DefaultParagraphFont"/>
    <w:uiPriority w:val="99"/>
    <w:unhideWhenUsed/>
    <w:rsid w:val="008B1D36"/>
    <w:rPr>
      <w:color w:val="0000FF"/>
      <w:u w:val="single"/>
    </w:rPr>
  </w:style>
  <w:style w:type="character" w:styleId="FollowedHyperlink">
    <w:name w:val="FollowedHyperlink"/>
    <w:basedOn w:val="DefaultParagraphFont"/>
    <w:uiPriority w:val="99"/>
    <w:semiHidden/>
    <w:unhideWhenUsed/>
    <w:rsid w:val="008B1D36"/>
    <w:rPr>
      <w:color w:val="9D3C23" w:themeColor="followedHyperlink"/>
      <w:u w:val="single"/>
    </w:rPr>
  </w:style>
  <w:style w:type="paragraph" w:styleId="FootnoteText">
    <w:name w:val="footnote text"/>
    <w:basedOn w:val="Normal"/>
    <w:link w:val="FootnoteTextChar"/>
    <w:uiPriority w:val="99"/>
    <w:semiHidden/>
    <w:unhideWhenUsed/>
    <w:rsid w:val="005B5BC5"/>
    <w:pPr>
      <w:spacing w:after="120"/>
    </w:pPr>
    <w:rPr>
      <w:sz w:val="20"/>
      <w:szCs w:val="20"/>
    </w:rPr>
  </w:style>
  <w:style w:type="character" w:customStyle="1" w:styleId="FootnoteTextChar">
    <w:name w:val="Footnote Text Char"/>
    <w:basedOn w:val="DefaultParagraphFont"/>
    <w:link w:val="FootnoteText"/>
    <w:uiPriority w:val="99"/>
    <w:semiHidden/>
    <w:rsid w:val="005B5BC5"/>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B507C2"/>
    <w:rPr>
      <w:vertAlign w:val="superscript"/>
    </w:rPr>
  </w:style>
  <w:style w:type="character" w:customStyle="1" w:styleId="vkekvd">
    <w:name w:val="vkekvd"/>
    <w:basedOn w:val="DefaultParagraphFont"/>
    <w:rsid w:val="00A3362A"/>
  </w:style>
  <w:style w:type="paragraph" w:styleId="Revision">
    <w:name w:val="Revision"/>
    <w:hidden/>
    <w:uiPriority w:val="99"/>
    <w:semiHidden/>
    <w:rsid w:val="001D7CE0"/>
    <w:rPr>
      <w:rFonts w:ascii="Times New Roman" w:eastAsia="Times New Roman" w:hAnsi="Times New Roman"/>
      <w:sz w:val="26"/>
    </w:rPr>
  </w:style>
  <w:style w:type="character" w:styleId="CommentReference">
    <w:name w:val="annotation reference"/>
    <w:basedOn w:val="DefaultParagraphFont"/>
    <w:uiPriority w:val="99"/>
    <w:semiHidden/>
    <w:unhideWhenUsed/>
    <w:rsid w:val="00565696"/>
    <w:rPr>
      <w:sz w:val="16"/>
      <w:szCs w:val="16"/>
    </w:rPr>
  </w:style>
  <w:style w:type="paragraph" w:styleId="CommentText">
    <w:name w:val="annotation text"/>
    <w:basedOn w:val="Normal"/>
    <w:link w:val="CommentTextChar"/>
    <w:uiPriority w:val="99"/>
    <w:unhideWhenUsed/>
    <w:rsid w:val="00565696"/>
    <w:rPr>
      <w:sz w:val="20"/>
      <w:szCs w:val="20"/>
    </w:rPr>
  </w:style>
  <w:style w:type="character" w:customStyle="1" w:styleId="CommentTextChar">
    <w:name w:val="Comment Text Char"/>
    <w:basedOn w:val="DefaultParagraphFont"/>
    <w:link w:val="CommentText"/>
    <w:uiPriority w:val="99"/>
    <w:rsid w:val="00565696"/>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65696"/>
    <w:rPr>
      <w:b/>
      <w:bCs/>
    </w:rPr>
  </w:style>
  <w:style w:type="character" w:customStyle="1" w:styleId="CommentSubjectChar">
    <w:name w:val="Comment Subject Char"/>
    <w:basedOn w:val="CommentTextChar"/>
    <w:link w:val="CommentSubject"/>
    <w:uiPriority w:val="99"/>
    <w:semiHidden/>
    <w:rsid w:val="00565696"/>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802293">
      <w:bodyDiv w:val="1"/>
      <w:marLeft w:val="0"/>
      <w:marRight w:val="0"/>
      <w:marTop w:val="0"/>
      <w:marBottom w:val="0"/>
      <w:divBdr>
        <w:top w:val="none" w:sz="0" w:space="0" w:color="auto"/>
        <w:left w:val="none" w:sz="0" w:space="0" w:color="auto"/>
        <w:bottom w:val="none" w:sz="0" w:space="0" w:color="auto"/>
        <w:right w:val="none" w:sz="0" w:space="0" w:color="auto"/>
      </w:divBdr>
    </w:div>
    <w:div w:id="1030836718">
      <w:bodyDiv w:val="1"/>
      <w:marLeft w:val="0"/>
      <w:marRight w:val="0"/>
      <w:marTop w:val="0"/>
      <w:marBottom w:val="0"/>
      <w:divBdr>
        <w:top w:val="none" w:sz="0" w:space="0" w:color="auto"/>
        <w:left w:val="none" w:sz="0" w:space="0" w:color="auto"/>
        <w:bottom w:val="none" w:sz="0" w:space="0" w:color="auto"/>
        <w:right w:val="none" w:sz="0" w:space="0" w:color="auto"/>
      </w:divBdr>
    </w:div>
    <w:div w:id="1544637405">
      <w:bodyDiv w:val="1"/>
      <w:marLeft w:val="0"/>
      <w:marRight w:val="0"/>
      <w:marTop w:val="0"/>
      <w:marBottom w:val="0"/>
      <w:divBdr>
        <w:top w:val="none" w:sz="0" w:space="0" w:color="auto"/>
        <w:left w:val="none" w:sz="0" w:space="0" w:color="auto"/>
        <w:bottom w:val="none" w:sz="0" w:space="0" w:color="auto"/>
        <w:right w:val="none" w:sz="0" w:space="0" w:color="auto"/>
      </w:divBdr>
    </w:div>
    <w:div w:id="1566377086">
      <w:bodyDiv w:val="1"/>
      <w:marLeft w:val="0"/>
      <w:marRight w:val="0"/>
      <w:marTop w:val="0"/>
      <w:marBottom w:val="0"/>
      <w:divBdr>
        <w:top w:val="none" w:sz="0" w:space="0" w:color="auto"/>
        <w:left w:val="none" w:sz="0" w:space="0" w:color="auto"/>
        <w:bottom w:val="none" w:sz="0" w:space="0" w:color="auto"/>
        <w:right w:val="none" w:sz="0" w:space="0" w:color="auto"/>
      </w:divBdr>
    </w:div>
    <w:div w:id="1753431494">
      <w:bodyDiv w:val="1"/>
      <w:marLeft w:val="0"/>
      <w:marRight w:val="0"/>
      <w:marTop w:val="0"/>
      <w:marBottom w:val="0"/>
      <w:divBdr>
        <w:top w:val="none" w:sz="0" w:space="0" w:color="auto"/>
        <w:left w:val="none" w:sz="0" w:space="0" w:color="auto"/>
        <w:bottom w:val="none" w:sz="0" w:space="0" w:color="auto"/>
        <w:right w:val="none" w:sz="0" w:space="0" w:color="auto"/>
      </w:divBdr>
    </w:div>
    <w:div w:id="183464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than.schneider@stinson.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marykate.jaworowski@stinson.com" TargetMode="External"/><Relationship Id="rId4" Type="http://schemas.openxmlformats.org/officeDocument/2006/relationships/settings" Target="settings.xml"/><Relationship Id="rId9" Type="http://schemas.openxmlformats.org/officeDocument/2006/relationships/hyperlink" Target="mailto:John.McCaffrey@stinson.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Stinson">
      <a:dk1>
        <a:srgbClr val="000000"/>
      </a:dk1>
      <a:lt1>
        <a:srgbClr val="FFFFFF"/>
      </a:lt1>
      <a:dk2>
        <a:srgbClr val="32465F"/>
      </a:dk2>
      <a:lt2>
        <a:srgbClr val="C4E6EB"/>
      </a:lt2>
      <a:accent1>
        <a:srgbClr val="F04E23"/>
      </a:accent1>
      <a:accent2>
        <a:srgbClr val="3D4644"/>
      </a:accent2>
      <a:accent3>
        <a:srgbClr val="32465F"/>
      </a:accent3>
      <a:accent4>
        <a:srgbClr val="76BBC1"/>
      </a:accent4>
      <a:accent5>
        <a:srgbClr val="C4E6EB"/>
      </a:accent5>
      <a:accent6>
        <a:srgbClr val="9D3C23"/>
      </a:accent6>
      <a:hlink>
        <a:srgbClr val="F04E23"/>
      </a:hlink>
      <a:folHlink>
        <a:srgbClr val="9D3C23"/>
      </a:folHlink>
    </a:clrScheme>
    <a:fontScheme name="SMH Defaul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7B12D-86FD-473F-A3BF-E94F2C746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1057</Words>
  <Characters>6282</Characters>
  <Application>Microsoft Office Word</Application>
  <DocSecurity>0</DocSecurity>
  <Lines>140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Hollis, Breara</cp:lastModifiedBy>
  <cp:revision>4</cp:revision>
  <cp:lastPrinted>1900-01-01T05:00:00Z</cp:lastPrinted>
  <dcterms:created xsi:type="dcterms:W3CDTF">2025-12-05T20:41:00Z</dcterms:created>
  <dcterms:modified xsi:type="dcterms:W3CDTF">2025-12-05T20:41:00Z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ActiveBits">
    <vt:lpwstr>1046528</vt:lpwstr>
  </property>
  <property fmtid="{D5CDD505-2E9C-101B-9397-08002B2CF9AE}" pid="3" name="CUS_DocIDLocation">
    <vt:lpwstr>NO_DOC_ID</vt:lpwstr>
  </property>
  <property fmtid="{D5CDD505-2E9C-101B-9397-08002B2CF9AE}" pid="4" name="CUS_DocIDReference">
    <vt:lpwstr>noDocID</vt:lpwstr>
  </property>
</Properties>
</file>