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2163B" w:rsidRPr="002376C7" w:rsidRDefault="008E16A7">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6"/>
          <w:szCs w:val="26"/>
        </w:rPr>
      </w:pPr>
      <w:r w:rsidRPr="002376C7">
        <w:rPr>
          <w:rFonts w:ascii="Times New Roman" w:eastAsia="Times New Roman" w:hAnsi="Times New Roman" w:cs="Times New Roman"/>
          <w:b/>
          <w:bCs/>
          <w:color w:val="000000"/>
          <w:sz w:val="26"/>
          <w:szCs w:val="26"/>
        </w:rPr>
        <w:t>UNITED STATES OF AMERICA</w:t>
      </w:r>
    </w:p>
    <w:p w14:paraId="00000002" w14:textId="77777777" w:rsidR="00F2163B" w:rsidRPr="002376C7" w:rsidRDefault="008E16A7">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6"/>
          <w:szCs w:val="26"/>
        </w:rPr>
      </w:pPr>
      <w:r w:rsidRPr="002376C7">
        <w:rPr>
          <w:rFonts w:ascii="Times New Roman" w:eastAsia="Times New Roman" w:hAnsi="Times New Roman" w:cs="Times New Roman"/>
          <w:b/>
          <w:bCs/>
          <w:color w:val="000000"/>
          <w:sz w:val="26"/>
          <w:szCs w:val="26"/>
        </w:rPr>
        <w:t>BEFORE THE</w:t>
      </w:r>
    </w:p>
    <w:p w14:paraId="00000003" w14:textId="77777777" w:rsidR="00F2163B" w:rsidRPr="002376C7" w:rsidRDefault="008E16A7">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6"/>
          <w:szCs w:val="26"/>
        </w:rPr>
      </w:pPr>
      <w:r w:rsidRPr="002376C7">
        <w:rPr>
          <w:rFonts w:ascii="Times New Roman" w:eastAsia="Times New Roman" w:hAnsi="Times New Roman" w:cs="Times New Roman"/>
          <w:b/>
          <w:bCs/>
          <w:color w:val="000000"/>
          <w:sz w:val="26"/>
          <w:szCs w:val="26"/>
        </w:rPr>
        <w:t>FEDERAL ENERGY REGULATORY COMMISSION</w:t>
      </w:r>
    </w:p>
    <w:p w14:paraId="00000004" w14:textId="77777777" w:rsidR="00F2163B" w:rsidRPr="002376C7" w:rsidRDefault="00F2163B">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p>
    <w:p w14:paraId="00000005" w14:textId="77777777" w:rsidR="00F2163B" w:rsidRPr="002376C7" w:rsidRDefault="008E16A7">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Interconnection of Large Loads to the</w:t>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t>)</w:t>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r>
    </w:p>
    <w:p w14:paraId="00000006" w14:textId="77777777" w:rsidR="00F2163B" w:rsidRPr="002376C7" w:rsidRDefault="008E16A7">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Interstate Transmission System</w:t>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t>)</w:t>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t>Docket No. RM26-4-000</w:t>
      </w:r>
    </w:p>
    <w:p w14:paraId="00000007" w14:textId="77777777" w:rsidR="00F2163B" w:rsidRPr="002376C7" w:rsidRDefault="008E16A7">
      <w:pPr>
        <w:pBdr>
          <w:top w:val="nil"/>
          <w:left w:val="nil"/>
          <w:bottom w:val="nil"/>
          <w:right w:val="nil"/>
          <w:between w:val="nil"/>
        </w:pBdr>
        <w:spacing w:after="0" w:line="240" w:lineRule="auto"/>
        <w:ind w:left="4320"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w:t>
      </w:r>
    </w:p>
    <w:p w14:paraId="00000008" w14:textId="77777777" w:rsidR="00F2163B" w:rsidRPr="002376C7" w:rsidRDefault="00F2163B">
      <w:pPr>
        <w:pBdr>
          <w:top w:val="nil"/>
          <w:left w:val="nil"/>
          <w:bottom w:val="nil"/>
          <w:right w:val="nil"/>
          <w:between w:val="nil"/>
        </w:pBdr>
        <w:spacing w:after="0" w:line="240" w:lineRule="auto"/>
        <w:rPr>
          <w:rFonts w:ascii="Times New Roman" w:eastAsia="Times New Roman" w:hAnsi="Times New Roman" w:cs="Times New Roman"/>
          <w:b/>
          <w:bCs/>
          <w:color w:val="000000"/>
          <w:sz w:val="26"/>
          <w:szCs w:val="26"/>
        </w:rPr>
      </w:pPr>
    </w:p>
    <w:p w14:paraId="00000009" w14:textId="77777777" w:rsidR="00F2163B" w:rsidRPr="002376C7" w:rsidRDefault="008E16A7">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6"/>
          <w:szCs w:val="26"/>
        </w:rPr>
      </w:pPr>
      <w:r w:rsidRPr="002376C7">
        <w:rPr>
          <w:rFonts w:ascii="Times New Roman" w:eastAsia="Times New Roman" w:hAnsi="Times New Roman" w:cs="Times New Roman"/>
          <w:b/>
          <w:bCs/>
          <w:color w:val="000000"/>
          <w:sz w:val="26"/>
          <w:szCs w:val="26"/>
        </w:rPr>
        <w:t>COMMENTS OF VERRUS</w:t>
      </w:r>
    </w:p>
    <w:p w14:paraId="0000000A" w14:textId="77777777" w:rsidR="00F2163B" w:rsidRPr="002376C7" w:rsidRDefault="00F2163B">
      <w:pPr>
        <w:pBdr>
          <w:top w:val="nil"/>
          <w:left w:val="nil"/>
          <w:bottom w:val="nil"/>
          <w:right w:val="nil"/>
          <w:between w:val="nil"/>
        </w:pBdr>
        <w:spacing w:after="0" w:line="240" w:lineRule="auto"/>
        <w:rPr>
          <w:rFonts w:ascii="Times New Roman" w:eastAsia="Times New Roman" w:hAnsi="Times New Roman" w:cs="Times New Roman"/>
          <w:b/>
          <w:bCs/>
          <w:color w:val="000000"/>
          <w:sz w:val="26"/>
          <w:szCs w:val="26"/>
        </w:rPr>
      </w:pPr>
    </w:p>
    <w:p w14:paraId="0000000B" w14:textId="28C1A89B"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Verrus respectfully submits comments in support of the objectives included in the Advance Notice of Proposed Rulemaking (ANOPR) on Interconnection of Large Loads to the Interstate Transmission System, and urges the Commission to develop a Notice of Proposed Rulemaking and final rule implementing these objectives. As discussed herein, Verrus is a developer, owner, and operator of a first-of-its-kind fleet of purpose-built, flexible hyperscale data centers. These comments address the areas where Verrus brings a unique and practical perspective. Specifically, we focus on those policy decisions that determine whether grid-supportive, asset-backed loads can connect efficiently and equitably under federal jurisdiction: how they are defined, how they are studied, how credit is assigned, and how their flexibility is recognized as a reliability resource.</w:t>
      </w:r>
    </w:p>
    <w:p w14:paraId="0000000C" w14:textId="5D165785" w:rsidR="00F2163B" w:rsidRPr="002376C7" w:rsidRDefault="00A14DB6" w:rsidP="00A14DB6">
      <w:p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ab/>
        <w:t xml:space="preserve">To win the AI race our country needs to be able to bring large loads online faster than it does today. To achieve that goal, the Commission should advance rules that </w:t>
      </w:r>
      <w:r w:rsidR="00BA15DA" w:rsidRPr="002376C7">
        <w:rPr>
          <w:rFonts w:ascii="Times New Roman" w:eastAsia="Times New Roman" w:hAnsi="Times New Roman" w:cs="Times New Roman"/>
          <w:color w:val="000000"/>
          <w:sz w:val="26"/>
          <w:szCs w:val="26"/>
        </w:rPr>
        <w:t xml:space="preserve">actively facilitate getting more from the grid we have while we build the grid we need.  The tools are available today and we encourage the Commission to </w:t>
      </w:r>
      <w:r w:rsidRPr="002376C7">
        <w:rPr>
          <w:rFonts w:ascii="Times New Roman" w:eastAsia="Times New Roman" w:hAnsi="Times New Roman" w:cs="Times New Roman"/>
          <w:color w:val="000000"/>
          <w:sz w:val="26"/>
          <w:szCs w:val="26"/>
        </w:rPr>
        <w:t xml:space="preserve">foster market competition open to as many technology solutions as possible. Flexible large loads represent a technology solution that can </w:t>
      </w:r>
      <w:r w:rsidR="00BA15DA" w:rsidRPr="002376C7">
        <w:rPr>
          <w:rFonts w:ascii="Times New Roman" w:eastAsia="Times New Roman" w:hAnsi="Times New Roman" w:cs="Times New Roman"/>
          <w:color w:val="000000"/>
          <w:sz w:val="26"/>
          <w:szCs w:val="26"/>
        </w:rPr>
        <w:t xml:space="preserve">uniquely </w:t>
      </w:r>
      <w:r w:rsidRPr="002376C7">
        <w:rPr>
          <w:rFonts w:ascii="Times New Roman" w:eastAsia="Times New Roman" w:hAnsi="Times New Roman" w:cs="Times New Roman"/>
          <w:color w:val="000000"/>
          <w:sz w:val="26"/>
          <w:szCs w:val="26"/>
        </w:rPr>
        <w:t>speed interconnection time</w:t>
      </w:r>
      <w:r w:rsidR="00BA15DA" w:rsidRPr="002376C7">
        <w:rPr>
          <w:rFonts w:ascii="Times New Roman" w:eastAsia="Times New Roman" w:hAnsi="Times New Roman" w:cs="Times New Roman"/>
          <w:color w:val="000000"/>
          <w:sz w:val="26"/>
          <w:szCs w:val="26"/>
        </w:rPr>
        <w:t>, maximize the use of the grid we have,</w:t>
      </w:r>
      <w:r w:rsidRPr="002376C7">
        <w:rPr>
          <w:rFonts w:ascii="Times New Roman" w:eastAsia="Times New Roman" w:hAnsi="Times New Roman" w:cs="Times New Roman"/>
          <w:color w:val="000000"/>
          <w:sz w:val="26"/>
          <w:szCs w:val="26"/>
        </w:rPr>
        <w:t xml:space="preserve"> while also providing a distinct set of benefits to grid </w:t>
      </w:r>
      <w:r w:rsidRPr="002376C7">
        <w:rPr>
          <w:rFonts w:ascii="Times New Roman" w:eastAsia="Times New Roman" w:hAnsi="Times New Roman" w:cs="Times New Roman"/>
          <w:color w:val="000000"/>
          <w:sz w:val="26"/>
          <w:szCs w:val="26"/>
        </w:rPr>
        <w:lastRenderedPageBreak/>
        <w:t>operators and resource adequacy planners. Today, the benefits of load flexibility are neither accounted for nor compensated. As a result, flexible resources are discouraged from the market and cannot practically be used to accelerate interconnection times or to protect consumers from the costs of load growth. For that reason, Verrus supports the ANOPR’s proposal to establish uniform federal rules for large load interconnection to ensure fairness, transparency, and efficiency. To provide for such fairness, transparency, and efficiency, Verrus encourages the Commission to adopt rules that:</w:t>
      </w:r>
    </w:p>
    <w:p w14:paraId="0000000D" w14:textId="77777777" w:rsidR="00F2163B" w:rsidRPr="002376C7" w:rsidRDefault="008E16A7">
      <w:pPr>
        <w:numPr>
          <w:ilvl w:val="0"/>
          <w:numId w:val="4"/>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Establish a </w:t>
      </w:r>
      <w:r w:rsidRPr="002376C7">
        <w:rPr>
          <w:rFonts w:ascii="Times New Roman" w:eastAsia="Times New Roman" w:hAnsi="Times New Roman" w:cs="Times New Roman"/>
          <w:b/>
          <w:bCs/>
          <w:color w:val="000000"/>
          <w:sz w:val="26"/>
          <w:szCs w:val="26"/>
        </w:rPr>
        <w:t>clear national definition and prioritization of flexible, asset-backed loads with the capability to avoid, minimize, or defer network upgrades.</w:t>
      </w:r>
      <w:r w:rsidRPr="002376C7">
        <w:rPr>
          <w:rFonts w:ascii="Times New Roman" w:eastAsia="Times New Roman" w:hAnsi="Times New Roman" w:cs="Times New Roman"/>
          <w:b/>
          <w:bCs/>
          <w:color w:val="000000"/>
          <w:sz w:val="26"/>
          <w:szCs w:val="26"/>
          <w:vertAlign w:val="superscript"/>
        </w:rPr>
        <w:footnoteReference w:id="1"/>
      </w:r>
    </w:p>
    <w:p w14:paraId="0000000E" w14:textId="77777777" w:rsidR="00F2163B" w:rsidRPr="002376C7" w:rsidRDefault="008E16A7">
      <w:pPr>
        <w:numPr>
          <w:ilvl w:val="0"/>
          <w:numId w:val="4"/>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Establish </w:t>
      </w:r>
      <w:r w:rsidRPr="002376C7">
        <w:rPr>
          <w:rFonts w:ascii="Times New Roman" w:eastAsia="Times New Roman" w:hAnsi="Times New Roman" w:cs="Times New Roman"/>
          <w:b/>
          <w:bCs/>
          <w:color w:val="000000"/>
          <w:sz w:val="26"/>
          <w:szCs w:val="26"/>
        </w:rPr>
        <w:t>uniform large load interconnection procedures</w:t>
      </w:r>
      <w:r w:rsidRPr="002376C7">
        <w:rPr>
          <w:rFonts w:ascii="Times New Roman" w:eastAsia="Times New Roman" w:hAnsi="Times New Roman" w:cs="Times New Roman"/>
          <w:color w:val="000000"/>
          <w:sz w:val="26"/>
          <w:szCs w:val="26"/>
        </w:rPr>
        <w:t xml:space="preserve"> that standardize queue management and </w:t>
      </w:r>
      <w:r w:rsidRPr="002376C7">
        <w:rPr>
          <w:rFonts w:ascii="Times New Roman" w:eastAsia="Times New Roman" w:hAnsi="Times New Roman" w:cs="Times New Roman"/>
          <w:b/>
          <w:bCs/>
          <w:color w:val="000000"/>
          <w:sz w:val="26"/>
          <w:szCs w:val="26"/>
        </w:rPr>
        <w:t>provide flexible loads a fast-track study lane</w:t>
      </w:r>
      <w:r w:rsidRPr="002376C7">
        <w:rPr>
          <w:rFonts w:ascii="Times New Roman" w:eastAsia="Times New Roman" w:hAnsi="Times New Roman" w:cs="Times New Roman"/>
          <w:color w:val="000000"/>
          <w:sz w:val="26"/>
          <w:szCs w:val="26"/>
        </w:rPr>
        <w:t xml:space="preserve"> consistent with their lesser impacts on the grid.</w:t>
      </w:r>
    </w:p>
    <w:p w14:paraId="0000000F" w14:textId="77777777" w:rsidR="00F2163B" w:rsidRPr="002376C7" w:rsidRDefault="008E16A7">
      <w:pPr>
        <w:numPr>
          <w:ilvl w:val="0"/>
          <w:numId w:val="4"/>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b/>
          <w:bCs/>
          <w:color w:val="000000"/>
          <w:sz w:val="26"/>
          <w:szCs w:val="26"/>
        </w:rPr>
        <w:t>Recognize flexible loads as reliability assets</w:t>
      </w:r>
      <w:r w:rsidRPr="002376C7">
        <w:rPr>
          <w:rFonts w:ascii="Times New Roman" w:eastAsia="Times New Roman" w:hAnsi="Times New Roman" w:cs="Times New Roman"/>
          <w:color w:val="000000"/>
          <w:sz w:val="26"/>
          <w:szCs w:val="26"/>
        </w:rPr>
        <w:t xml:space="preserve"> in planning and cost allocation.</w:t>
      </w:r>
    </w:p>
    <w:p w14:paraId="00000010" w14:textId="77777777" w:rsidR="00F2163B" w:rsidRPr="002376C7" w:rsidRDefault="008E16A7">
      <w:pPr>
        <w:numPr>
          <w:ilvl w:val="0"/>
          <w:numId w:val="4"/>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Create a </w:t>
      </w:r>
      <w:r w:rsidRPr="002376C7">
        <w:rPr>
          <w:rFonts w:ascii="Times New Roman" w:eastAsia="Times New Roman" w:hAnsi="Times New Roman" w:cs="Times New Roman"/>
          <w:b/>
          <w:bCs/>
          <w:color w:val="000000"/>
          <w:sz w:val="26"/>
          <w:szCs w:val="26"/>
        </w:rPr>
        <w:t>risk-based credit and readiness framework</w:t>
      </w:r>
      <w:r w:rsidRPr="002376C7">
        <w:rPr>
          <w:rFonts w:ascii="Times New Roman" w:eastAsia="Times New Roman" w:hAnsi="Times New Roman" w:cs="Times New Roman"/>
          <w:color w:val="000000"/>
          <w:sz w:val="26"/>
          <w:szCs w:val="26"/>
        </w:rPr>
        <w:t xml:space="preserve"> that aligns financial security with actual system exposure.</w:t>
      </w:r>
    </w:p>
    <w:p w14:paraId="00000011"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Verrus submits these comments to provide the Commission with a developer/operator’s perspective on how the nation’s growing class of large electric loads—including data centers, industrial electrification, and other emerging demands—can be integrated into the transmission system in a way that enhances reliability, reduces </w:t>
      </w:r>
      <w:r w:rsidRPr="002376C7">
        <w:rPr>
          <w:rFonts w:ascii="Times New Roman" w:eastAsia="Times New Roman" w:hAnsi="Times New Roman" w:cs="Times New Roman"/>
          <w:color w:val="000000"/>
          <w:sz w:val="26"/>
          <w:szCs w:val="26"/>
        </w:rPr>
        <w:lastRenderedPageBreak/>
        <w:t>total system costs, and maintains fairness and transparency. Verrus’ perspective is rooted in direct, operational experience developing asset-backed, flexible data centers—a new model of large-load infrastructure capable of dynamic coordination with the grid. These facilities demonstrate that large loads can strengthen, rather than strain, the power system when properly designed and governed under clear, transparent interconnection standards.</w:t>
      </w:r>
    </w:p>
    <w:p w14:paraId="00000012" w14:textId="77777777" w:rsidR="00F2163B" w:rsidRPr="002376C7" w:rsidRDefault="008E16A7">
      <w:pPr>
        <w:pStyle w:val="Heading3"/>
        <w:keepNext w:val="0"/>
        <w:keepLines w:val="0"/>
        <w:spacing w:before="280"/>
        <w:rPr>
          <w:rFonts w:ascii="Times New Roman" w:eastAsia="Times New Roman" w:hAnsi="Times New Roman" w:cs="Times New Roman"/>
          <w:b/>
          <w:bCs/>
          <w:color w:val="000000"/>
          <w:sz w:val="26"/>
          <w:szCs w:val="26"/>
        </w:rPr>
      </w:pPr>
      <w:r w:rsidRPr="002376C7">
        <w:rPr>
          <w:rFonts w:ascii="Times New Roman" w:eastAsia="Times New Roman" w:hAnsi="Times New Roman" w:cs="Times New Roman"/>
          <w:b/>
          <w:bCs/>
          <w:color w:val="000000"/>
          <w:sz w:val="26"/>
          <w:szCs w:val="26"/>
        </w:rPr>
        <w:t>Summary – Verrus’ Four Pillars for the Commission</w:t>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19"/>
        <w:gridCol w:w="2268"/>
        <w:gridCol w:w="4473"/>
      </w:tblGrid>
      <w:tr w:rsidR="00F2163B" w:rsidRPr="002376C7" w14:paraId="1FBBED49" w14:textId="77777777">
        <w:trPr>
          <w:trHeight w:val="515"/>
        </w:trPr>
        <w:tc>
          <w:tcPr>
            <w:tcW w:w="2619" w:type="dxa"/>
            <w:tcMar>
              <w:top w:w="100" w:type="dxa"/>
              <w:left w:w="100" w:type="dxa"/>
              <w:bottom w:w="100" w:type="dxa"/>
              <w:right w:w="100" w:type="dxa"/>
            </w:tcMar>
          </w:tcPr>
          <w:p w14:paraId="00000013" w14:textId="77777777" w:rsidR="00F2163B" w:rsidRPr="002376C7" w:rsidRDefault="008E16A7">
            <w:pPr>
              <w:spacing w:before="240" w:after="240"/>
              <w:jc w:val="center"/>
              <w:rPr>
                <w:rFonts w:ascii="Times New Roman" w:eastAsia="Times New Roman" w:hAnsi="Times New Roman" w:cs="Times New Roman"/>
                <w:sz w:val="26"/>
                <w:szCs w:val="26"/>
              </w:rPr>
            </w:pPr>
            <w:r w:rsidRPr="002376C7">
              <w:rPr>
                <w:rFonts w:ascii="Times New Roman" w:eastAsia="Times New Roman" w:hAnsi="Times New Roman" w:cs="Times New Roman"/>
                <w:b/>
                <w:bCs/>
                <w:sz w:val="26"/>
                <w:szCs w:val="26"/>
              </w:rPr>
              <w:t>Issue</w:t>
            </w:r>
          </w:p>
        </w:tc>
        <w:tc>
          <w:tcPr>
            <w:tcW w:w="2268" w:type="dxa"/>
            <w:tcMar>
              <w:top w:w="100" w:type="dxa"/>
              <w:left w:w="100" w:type="dxa"/>
              <w:bottom w:w="100" w:type="dxa"/>
              <w:right w:w="100" w:type="dxa"/>
            </w:tcMar>
          </w:tcPr>
          <w:p w14:paraId="00000014" w14:textId="77777777" w:rsidR="00F2163B" w:rsidRPr="002376C7" w:rsidRDefault="008E16A7">
            <w:pPr>
              <w:spacing w:before="240" w:after="240"/>
              <w:jc w:val="center"/>
              <w:rPr>
                <w:rFonts w:ascii="Times New Roman" w:eastAsia="Times New Roman" w:hAnsi="Times New Roman" w:cs="Times New Roman"/>
                <w:sz w:val="26"/>
                <w:szCs w:val="26"/>
              </w:rPr>
            </w:pPr>
            <w:r w:rsidRPr="002376C7">
              <w:rPr>
                <w:rFonts w:ascii="Times New Roman" w:eastAsia="Times New Roman" w:hAnsi="Times New Roman" w:cs="Times New Roman"/>
                <w:b/>
                <w:bCs/>
                <w:sz w:val="26"/>
                <w:szCs w:val="26"/>
              </w:rPr>
              <w:t>Current Problem</w:t>
            </w:r>
          </w:p>
        </w:tc>
        <w:tc>
          <w:tcPr>
            <w:tcW w:w="4473" w:type="dxa"/>
            <w:tcMar>
              <w:top w:w="100" w:type="dxa"/>
              <w:left w:w="100" w:type="dxa"/>
              <w:bottom w:w="100" w:type="dxa"/>
              <w:right w:w="100" w:type="dxa"/>
            </w:tcMar>
          </w:tcPr>
          <w:p w14:paraId="00000015" w14:textId="77777777" w:rsidR="00F2163B" w:rsidRPr="002376C7" w:rsidRDefault="008E16A7">
            <w:pPr>
              <w:spacing w:before="240" w:after="240"/>
              <w:jc w:val="center"/>
              <w:rPr>
                <w:rFonts w:ascii="Times New Roman" w:eastAsia="Times New Roman" w:hAnsi="Times New Roman" w:cs="Times New Roman"/>
                <w:sz w:val="26"/>
                <w:szCs w:val="26"/>
              </w:rPr>
            </w:pPr>
            <w:r w:rsidRPr="002376C7">
              <w:rPr>
                <w:rFonts w:ascii="Times New Roman" w:eastAsia="Times New Roman" w:hAnsi="Times New Roman" w:cs="Times New Roman"/>
                <w:b/>
                <w:bCs/>
                <w:sz w:val="26"/>
                <w:szCs w:val="26"/>
              </w:rPr>
              <w:t>Verrus Solution / Ask of FERC</w:t>
            </w:r>
          </w:p>
        </w:tc>
      </w:tr>
      <w:tr w:rsidR="00F2163B" w:rsidRPr="002376C7" w14:paraId="078AD9C6" w14:textId="77777777">
        <w:trPr>
          <w:trHeight w:val="1070"/>
        </w:trPr>
        <w:tc>
          <w:tcPr>
            <w:tcW w:w="2619" w:type="dxa"/>
            <w:tcMar>
              <w:top w:w="100" w:type="dxa"/>
              <w:left w:w="100" w:type="dxa"/>
              <w:bottom w:w="100" w:type="dxa"/>
              <w:right w:w="100" w:type="dxa"/>
            </w:tcMar>
          </w:tcPr>
          <w:p w14:paraId="00000016" w14:textId="77777777" w:rsidR="00F2163B" w:rsidRPr="002376C7" w:rsidRDefault="008E16A7">
            <w:pPr>
              <w:spacing w:before="240" w:after="240"/>
              <w:rPr>
                <w:rFonts w:ascii="Times New Roman" w:eastAsia="Times New Roman" w:hAnsi="Times New Roman" w:cs="Times New Roman"/>
                <w:sz w:val="26"/>
                <w:szCs w:val="26"/>
              </w:rPr>
            </w:pPr>
            <w:r w:rsidRPr="002376C7">
              <w:rPr>
                <w:rFonts w:ascii="Times New Roman" w:eastAsia="Times New Roman" w:hAnsi="Times New Roman" w:cs="Times New Roman"/>
                <w:b/>
                <w:bCs/>
                <w:sz w:val="26"/>
                <w:szCs w:val="26"/>
              </w:rPr>
              <w:t>1. Defining &amp; Prioritizing Flexible Loads</w:t>
            </w:r>
          </w:p>
        </w:tc>
        <w:tc>
          <w:tcPr>
            <w:tcW w:w="2268" w:type="dxa"/>
            <w:tcMar>
              <w:top w:w="100" w:type="dxa"/>
              <w:left w:w="100" w:type="dxa"/>
              <w:bottom w:w="100" w:type="dxa"/>
              <w:right w:w="100" w:type="dxa"/>
            </w:tcMar>
          </w:tcPr>
          <w:p w14:paraId="00000017" w14:textId="77777777" w:rsidR="00F2163B" w:rsidRPr="002376C7" w:rsidRDefault="008E16A7">
            <w:pPr>
              <w:spacing w:before="240" w:after="240"/>
              <w:rPr>
                <w:rFonts w:ascii="Times New Roman" w:eastAsia="Times New Roman" w:hAnsi="Times New Roman" w:cs="Times New Roman"/>
                <w:sz w:val="26"/>
                <w:szCs w:val="26"/>
              </w:rPr>
            </w:pPr>
            <w:r w:rsidRPr="002376C7">
              <w:rPr>
                <w:rFonts w:ascii="Times New Roman" w:eastAsia="Times New Roman" w:hAnsi="Times New Roman" w:cs="Times New Roman"/>
                <w:sz w:val="26"/>
                <w:szCs w:val="26"/>
              </w:rPr>
              <w:t xml:space="preserve">No national </w:t>
            </w:r>
            <w:proofErr w:type="gramStart"/>
            <w:r w:rsidRPr="002376C7">
              <w:rPr>
                <w:rFonts w:ascii="Times New Roman" w:eastAsia="Times New Roman" w:hAnsi="Times New Roman" w:cs="Times New Roman"/>
                <w:sz w:val="26"/>
                <w:szCs w:val="26"/>
              </w:rPr>
              <w:t>definition;</w:t>
            </w:r>
            <w:proofErr w:type="gramEnd"/>
            <w:r w:rsidRPr="002376C7">
              <w:rPr>
                <w:rFonts w:ascii="Times New Roman" w:eastAsia="Times New Roman" w:hAnsi="Times New Roman" w:cs="Times New Roman"/>
                <w:sz w:val="26"/>
                <w:szCs w:val="26"/>
              </w:rPr>
              <w:t xml:space="preserve"> all loads treated alike</w:t>
            </w:r>
          </w:p>
        </w:tc>
        <w:tc>
          <w:tcPr>
            <w:tcW w:w="4473" w:type="dxa"/>
            <w:tcMar>
              <w:top w:w="100" w:type="dxa"/>
              <w:left w:w="100" w:type="dxa"/>
              <w:bottom w:w="100" w:type="dxa"/>
              <w:right w:w="100" w:type="dxa"/>
            </w:tcMar>
          </w:tcPr>
          <w:p w14:paraId="00000018" w14:textId="77777777" w:rsidR="00F2163B" w:rsidRPr="002376C7" w:rsidRDefault="008E16A7">
            <w:pPr>
              <w:spacing w:before="240" w:after="240"/>
              <w:rPr>
                <w:rFonts w:ascii="Times New Roman" w:eastAsia="Times New Roman" w:hAnsi="Times New Roman" w:cs="Times New Roman"/>
                <w:sz w:val="26"/>
                <w:szCs w:val="26"/>
              </w:rPr>
            </w:pPr>
            <w:r w:rsidRPr="002376C7">
              <w:rPr>
                <w:rFonts w:ascii="Times New Roman" w:eastAsia="Times New Roman" w:hAnsi="Times New Roman" w:cs="Times New Roman"/>
                <w:sz w:val="26"/>
                <w:szCs w:val="26"/>
              </w:rPr>
              <w:t>Create a “Flexible Load” subclass and fast-lane interconnection track with standardized M&amp;V and pathway for using verified, flexible operation to avoid/reduce/defer network upgrades</w:t>
            </w:r>
          </w:p>
        </w:tc>
      </w:tr>
      <w:tr w:rsidR="00F2163B" w:rsidRPr="002376C7" w14:paraId="162B0A1B" w14:textId="77777777">
        <w:trPr>
          <w:trHeight w:val="1070"/>
        </w:trPr>
        <w:tc>
          <w:tcPr>
            <w:tcW w:w="2619" w:type="dxa"/>
            <w:tcMar>
              <w:top w:w="100" w:type="dxa"/>
              <w:left w:w="100" w:type="dxa"/>
              <w:bottom w:w="100" w:type="dxa"/>
              <w:right w:w="100" w:type="dxa"/>
            </w:tcMar>
          </w:tcPr>
          <w:p w14:paraId="00000019" w14:textId="77777777" w:rsidR="00F2163B" w:rsidRPr="002376C7" w:rsidRDefault="008E16A7">
            <w:pPr>
              <w:spacing w:before="240" w:after="240"/>
              <w:rPr>
                <w:rFonts w:ascii="Times New Roman" w:eastAsia="Times New Roman" w:hAnsi="Times New Roman" w:cs="Times New Roman"/>
                <w:b/>
                <w:bCs/>
                <w:sz w:val="26"/>
                <w:szCs w:val="26"/>
              </w:rPr>
            </w:pPr>
            <w:r w:rsidRPr="002376C7">
              <w:rPr>
                <w:rFonts w:ascii="Times New Roman" w:eastAsia="Times New Roman" w:hAnsi="Times New Roman" w:cs="Times New Roman"/>
                <w:b/>
                <w:bCs/>
                <w:sz w:val="26"/>
                <w:szCs w:val="26"/>
              </w:rPr>
              <w:t>2. Establishing Standard Load Interconnection Queue Processes</w:t>
            </w:r>
          </w:p>
        </w:tc>
        <w:tc>
          <w:tcPr>
            <w:tcW w:w="2268" w:type="dxa"/>
            <w:tcMar>
              <w:top w:w="100" w:type="dxa"/>
              <w:left w:w="100" w:type="dxa"/>
              <w:bottom w:w="100" w:type="dxa"/>
              <w:right w:w="100" w:type="dxa"/>
            </w:tcMar>
          </w:tcPr>
          <w:p w14:paraId="0000001A" w14:textId="77777777" w:rsidR="00F2163B" w:rsidRPr="002376C7" w:rsidRDefault="008E16A7">
            <w:pPr>
              <w:spacing w:before="240" w:after="240"/>
              <w:rPr>
                <w:rFonts w:ascii="Times New Roman" w:eastAsia="Times New Roman" w:hAnsi="Times New Roman" w:cs="Times New Roman"/>
                <w:sz w:val="26"/>
                <w:szCs w:val="26"/>
              </w:rPr>
            </w:pPr>
            <w:r w:rsidRPr="002376C7">
              <w:rPr>
                <w:rFonts w:ascii="Times New Roman" w:eastAsia="Times New Roman" w:hAnsi="Times New Roman" w:cs="Times New Roman"/>
                <w:sz w:val="26"/>
                <w:szCs w:val="26"/>
              </w:rPr>
              <w:t>Unfiled procedures create uncertainty and opportunities for discrimination</w:t>
            </w:r>
          </w:p>
        </w:tc>
        <w:tc>
          <w:tcPr>
            <w:tcW w:w="4473" w:type="dxa"/>
            <w:tcMar>
              <w:top w:w="100" w:type="dxa"/>
              <w:left w:w="100" w:type="dxa"/>
              <w:bottom w:w="100" w:type="dxa"/>
              <w:right w:w="100" w:type="dxa"/>
            </w:tcMar>
          </w:tcPr>
          <w:p w14:paraId="0000001B" w14:textId="61AE2B10" w:rsidR="00F2163B" w:rsidRPr="002376C7" w:rsidRDefault="008E16A7">
            <w:pPr>
              <w:spacing w:before="240" w:after="240"/>
              <w:rPr>
                <w:rFonts w:ascii="Times New Roman" w:eastAsia="Times New Roman" w:hAnsi="Times New Roman" w:cs="Times New Roman"/>
                <w:sz w:val="26"/>
                <w:szCs w:val="26"/>
              </w:rPr>
            </w:pPr>
            <w:r w:rsidRPr="002376C7">
              <w:rPr>
                <w:rFonts w:ascii="Times New Roman" w:eastAsia="Times New Roman" w:hAnsi="Times New Roman" w:cs="Times New Roman"/>
                <w:sz w:val="26"/>
                <w:szCs w:val="26"/>
              </w:rPr>
              <w:t>Require transmission providers to file transparent and uniform large load interconnection procedures that recognize</w:t>
            </w:r>
            <w:sdt>
              <w:sdtPr>
                <w:tag w:val="goog_rdk_0"/>
                <w:id w:val="1290014925"/>
              </w:sdtPr>
              <w:sdtEndPr/>
              <w:sdtContent>
                <w:sdt>
                  <w:sdtPr>
                    <w:tag w:val="goog_rdk_1"/>
                    <w:id w:val="1118381335"/>
                  </w:sdtPr>
                  <w:sdtEndPr/>
                  <w:sdtContent/>
                </w:sdt>
                <w:r w:rsidRPr="002376C7">
                  <w:rPr>
                    <w:rFonts w:ascii="Times New Roman" w:eastAsia="Times New Roman" w:hAnsi="Times New Roman" w:cs="Times New Roman"/>
                    <w:sz w:val="26"/>
                    <w:szCs w:val="26"/>
                  </w:rPr>
                  <w:t xml:space="preserve"> and </w:t>
                </w:r>
                <w:r w:rsidR="00A14DB6" w:rsidRPr="002376C7">
                  <w:rPr>
                    <w:rFonts w:ascii="Times New Roman" w:eastAsia="Times New Roman" w:hAnsi="Times New Roman" w:cs="Times New Roman"/>
                    <w:sz w:val="26"/>
                    <w:szCs w:val="26"/>
                  </w:rPr>
                  <w:t>compensate</w:t>
                </w:r>
              </w:sdtContent>
            </w:sdt>
            <w:r w:rsidRPr="002376C7">
              <w:rPr>
                <w:rFonts w:ascii="Times New Roman" w:eastAsia="Times New Roman" w:hAnsi="Times New Roman" w:cs="Times New Roman"/>
                <w:sz w:val="26"/>
                <w:szCs w:val="26"/>
              </w:rPr>
              <w:t xml:space="preserve"> the benefits of flexibility</w:t>
            </w:r>
          </w:p>
        </w:tc>
      </w:tr>
      <w:tr w:rsidR="00F2163B" w:rsidRPr="002376C7" w14:paraId="0C2F7285" w14:textId="77777777">
        <w:trPr>
          <w:trHeight w:val="1070"/>
        </w:trPr>
        <w:tc>
          <w:tcPr>
            <w:tcW w:w="2619" w:type="dxa"/>
            <w:tcMar>
              <w:top w:w="100" w:type="dxa"/>
              <w:left w:w="100" w:type="dxa"/>
              <w:bottom w:w="100" w:type="dxa"/>
              <w:right w:w="100" w:type="dxa"/>
            </w:tcMar>
          </w:tcPr>
          <w:p w14:paraId="0000001C" w14:textId="77777777" w:rsidR="00F2163B" w:rsidRPr="002376C7" w:rsidRDefault="008E16A7">
            <w:pPr>
              <w:spacing w:before="240" w:after="240"/>
              <w:rPr>
                <w:rFonts w:ascii="Times New Roman" w:eastAsia="Times New Roman" w:hAnsi="Times New Roman" w:cs="Times New Roman"/>
                <w:b/>
                <w:bCs/>
                <w:sz w:val="26"/>
                <w:szCs w:val="26"/>
              </w:rPr>
            </w:pPr>
            <w:r w:rsidRPr="002376C7">
              <w:rPr>
                <w:rFonts w:ascii="Times New Roman" w:eastAsia="Times New Roman" w:hAnsi="Times New Roman" w:cs="Times New Roman"/>
                <w:b/>
                <w:bCs/>
                <w:sz w:val="26"/>
                <w:szCs w:val="26"/>
              </w:rPr>
              <w:t>3. Recognizing Flexible Loads as Reliability Assets</w:t>
            </w:r>
          </w:p>
        </w:tc>
        <w:tc>
          <w:tcPr>
            <w:tcW w:w="2268" w:type="dxa"/>
            <w:tcMar>
              <w:top w:w="100" w:type="dxa"/>
              <w:left w:w="100" w:type="dxa"/>
              <w:bottom w:w="100" w:type="dxa"/>
              <w:right w:w="100" w:type="dxa"/>
            </w:tcMar>
          </w:tcPr>
          <w:p w14:paraId="0000001D" w14:textId="77777777" w:rsidR="00F2163B" w:rsidRPr="002376C7" w:rsidRDefault="008E16A7">
            <w:pPr>
              <w:spacing w:before="240" w:after="240"/>
              <w:rPr>
                <w:rFonts w:ascii="Times New Roman" w:eastAsia="Times New Roman" w:hAnsi="Times New Roman" w:cs="Times New Roman"/>
                <w:sz w:val="26"/>
                <w:szCs w:val="26"/>
              </w:rPr>
            </w:pPr>
            <w:r w:rsidRPr="002376C7">
              <w:rPr>
                <w:rFonts w:ascii="Times New Roman" w:eastAsia="Times New Roman" w:hAnsi="Times New Roman" w:cs="Times New Roman"/>
                <w:sz w:val="26"/>
                <w:szCs w:val="26"/>
              </w:rPr>
              <w:t>Large loads viewed only as cost drivers</w:t>
            </w:r>
          </w:p>
        </w:tc>
        <w:tc>
          <w:tcPr>
            <w:tcW w:w="4473" w:type="dxa"/>
            <w:tcMar>
              <w:top w:w="100" w:type="dxa"/>
              <w:left w:w="100" w:type="dxa"/>
              <w:bottom w:w="100" w:type="dxa"/>
              <w:right w:w="100" w:type="dxa"/>
            </w:tcMar>
          </w:tcPr>
          <w:p w14:paraId="0000001E" w14:textId="77777777" w:rsidR="00F2163B" w:rsidRPr="002376C7" w:rsidRDefault="008E16A7">
            <w:pPr>
              <w:spacing w:before="240" w:after="240"/>
              <w:rPr>
                <w:rFonts w:ascii="Times New Roman" w:eastAsia="Times New Roman" w:hAnsi="Times New Roman" w:cs="Times New Roman"/>
                <w:sz w:val="26"/>
                <w:szCs w:val="26"/>
              </w:rPr>
            </w:pPr>
            <w:r w:rsidRPr="002376C7">
              <w:rPr>
                <w:rFonts w:ascii="Times New Roman" w:eastAsia="Times New Roman" w:hAnsi="Times New Roman" w:cs="Times New Roman"/>
                <w:sz w:val="26"/>
                <w:szCs w:val="26"/>
              </w:rPr>
              <w:t>Integrate loads capable of making robust flexibility commitments into reliability modeling and planning; enable compensation and/or avoided grid investment costs for measurable grid support commitments</w:t>
            </w:r>
          </w:p>
        </w:tc>
      </w:tr>
      <w:tr w:rsidR="00F2163B" w:rsidRPr="002376C7" w14:paraId="13492173" w14:textId="77777777">
        <w:trPr>
          <w:trHeight w:val="1070"/>
        </w:trPr>
        <w:tc>
          <w:tcPr>
            <w:tcW w:w="2619" w:type="dxa"/>
            <w:tcMar>
              <w:top w:w="100" w:type="dxa"/>
              <w:left w:w="100" w:type="dxa"/>
              <w:bottom w:w="100" w:type="dxa"/>
              <w:right w:w="100" w:type="dxa"/>
            </w:tcMar>
          </w:tcPr>
          <w:p w14:paraId="0000001F" w14:textId="77777777" w:rsidR="00F2163B" w:rsidRPr="002376C7" w:rsidRDefault="008E16A7">
            <w:pPr>
              <w:spacing w:before="240" w:after="240"/>
              <w:rPr>
                <w:rFonts w:ascii="Times New Roman" w:eastAsia="Times New Roman" w:hAnsi="Times New Roman" w:cs="Times New Roman"/>
                <w:sz w:val="26"/>
                <w:szCs w:val="26"/>
              </w:rPr>
            </w:pPr>
            <w:r w:rsidRPr="002376C7">
              <w:rPr>
                <w:rFonts w:ascii="Times New Roman" w:eastAsia="Times New Roman" w:hAnsi="Times New Roman" w:cs="Times New Roman"/>
                <w:b/>
                <w:bCs/>
                <w:sz w:val="26"/>
                <w:szCs w:val="26"/>
              </w:rPr>
              <w:lastRenderedPageBreak/>
              <w:t>4. Credit Assurance &amp; Readiness</w:t>
            </w:r>
          </w:p>
        </w:tc>
        <w:tc>
          <w:tcPr>
            <w:tcW w:w="2268" w:type="dxa"/>
            <w:tcMar>
              <w:top w:w="100" w:type="dxa"/>
              <w:left w:w="100" w:type="dxa"/>
              <w:bottom w:w="100" w:type="dxa"/>
              <w:right w:w="100" w:type="dxa"/>
            </w:tcMar>
          </w:tcPr>
          <w:p w14:paraId="00000020" w14:textId="77777777" w:rsidR="00F2163B" w:rsidRPr="002376C7" w:rsidRDefault="008E16A7">
            <w:pPr>
              <w:spacing w:before="240" w:after="240"/>
              <w:rPr>
                <w:rFonts w:ascii="Times New Roman" w:eastAsia="Times New Roman" w:hAnsi="Times New Roman" w:cs="Times New Roman"/>
                <w:sz w:val="26"/>
                <w:szCs w:val="26"/>
              </w:rPr>
            </w:pPr>
            <w:r w:rsidRPr="002376C7">
              <w:rPr>
                <w:rFonts w:ascii="Times New Roman" w:eastAsia="Times New Roman" w:hAnsi="Times New Roman" w:cs="Times New Roman"/>
                <w:sz w:val="26"/>
                <w:szCs w:val="26"/>
              </w:rPr>
              <w:t>One-size-fits-all collateral favors incumbents</w:t>
            </w:r>
          </w:p>
        </w:tc>
        <w:tc>
          <w:tcPr>
            <w:tcW w:w="4473" w:type="dxa"/>
            <w:tcMar>
              <w:top w:w="100" w:type="dxa"/>
              <w:left w:w="100" w:type="dxa"/>
              <w:bottom w:w="100" w:type="dxa"/>
              <w:right w:w="100" w:type="dxa"/>
            </w:tcMar>
          </w:tcPr>
          <w:p w14:paraId="00000021" w14:textId="77777777" w:rsidR="00F2163B" w:rsidRPr="002376C7" w:rsidRDefault="008E16A7">
            <w:pPr>
              <w:spacing w:before="240" w:after="240"/>
              <w:rPr>
                <w:rFonts w:ascii="Times New Roman" w:eastAsia="Times New Roman" w:hAnsi="Times New Roman" w:cs="Times New Roman"/>
                <w:sz w:val="26"/>
                <w:szCs w:val="26"/>
              </w:rPr>
            </w:pPr>
            <w:r w:rsidRPr="002376C7">
              <w:rPr>
                <w:rFonts w:ascii="Times New Roman" w:eastAsia="Times New Roman" w:hAnsi="Times New Roman" w:cs="Times New Roman"/>
                <w:sz w:val="26"/>
                <w:szCs w:val="26"/>
              </w:rPr>
              <w:t>Implement risk-based credit tied to actual stranded-cost exposure</w:t>
            </w:r>
          </w:p>
        </w:tc>
      </w:tr>
    </w:tbl>
    <w:p w14:paraId="00000022" w14:textId="77777777" w:rsidR="00F2163B" w:rsidRPr="002376C7" w:rsidRDefault="00F2163B">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p>
    <w:p w14:paraId="00000023" w14:textId="77777777" w:rsidR="00F2163B" w:rsidRPr="002376C7" w:rsidRDefault="008E16A7">
      <w:pPr>
        <w:keepNext/>
        <w:numPr>
          <w:ilvl w:val="0"/>
          <w:numId w:val="1"/>
        </w:numPr>
        <w:pBdr>
          <w:top w:val="nil"/>
          <w:left w:val="nil"/>
          <w:bottom w:val="nil"/>
          <w:right w:val="nil"/>
          <w:between w:val="nil"/>
        </w:pBdr>
        <w:spacing w:after="240" w:line="240" w:lineRule="auto"/>
        <w:rPr>
          <w:rFonts w:ascii="Times New Roman" w:eastAsia="Times New Roman" w:hAnsi="Times New Roman" w:cs="Times New Roman"/>
          <w:b/>
          <w:bCs/>
          <w:color w:val="000000"/>
          <w:sz w:val="26"/>
          <w:szCs w:val="26"/>
        </w:rPr>
      </w:pPr>
      <w:r w:rsidRPr="002376C7">
        <w:rPr>
          <w:rFonts w:ascii="Times New Roman" w:eastAsia="Times New Roman" w:hAnsi="Times New Roman" w:cs="Times New Roman"/>
          <w:b/>
          <w:bCs/>
          <w:color w:val="000000"/>
          <w:sz w:val="26"/>
          <w:szCs w:val="26"/>
        </w:rPr>
        <w:t>VERRUS IS DEVELOPING FLEXIBLE DATA CENTERS TODAY</w:t>
      </w:r>
    </w:p>
    <w:p w14:paraId="00000024"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Verrus is a developer, owner, and operator of a first-of-its-kind fleet of purpose-built, load-flexible hyperscale data centers. Verrus designs facilities from the ground up to function not only as digital infrastructure but also as grid assets—a new class of large customer capable of dynamically adjusting electricity consumption to support reliability, efficiency, and affordability. Verrus’ facilities can provide these system benefits without disrupting the critical computing workloads that increasingly underpin the modern economy.  </w:t>
      </w:r>
    </w:p>
    <w:p w14:paraId="00000025"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Each Verrus campus integrates on-site utility-scale battery energy storage, advanced load-management controls, and grid-aware automation that collectively enable real-time coordination with utilities and regional transmission operators. These are long-term assets that can and should be integrated into long-term system planning. Verrus’ facilities can modulate hundreds of megawatts of demand within seconds, allowing them to reduce consumption from the grid during peaks and absorb energy from the grid when supply is abundant. These same capabilities make Verrus an early example of how large-load development can directly enhance grid reliability—a key focus of this proceeding.</w:t>
      </w:r>
    </w:p>
    <w:p w14:paraId="00000026" w14:textId="77777777" w:rsidR="00F2163B" w:rsidRPr="002376C7" w:rsidRDefault="008E16A7">
      <w:pPr>
        <w:numPr>
          <w:ilvl w:val="0"/>
          <w:numId w:val="1"/>
        </w:numPr>
        <w:pBdr>
          <w:top w:val="nil"/>
          <w:left w:val="nil"/>
          <w:bottom w:val="nil"/>
          <w:right w:val="nil"/>
          <w:between w:val="nil"/>
        </w:pBdr>
        <w:spacing w:after="240" w:line="240" w:lineRule="auto"/>
        <w:rPr>
          <w:rFonts w:ascii="Times New Roman" w:eastAsia="Times New Roman" w:hAnsi="Times New Roman" w:cs="Times New Roman"/>
          <w:b/>
          <w:bCs/>
          <w:color w:val="000000"/>
          <w:sz w:val="26"/>
          <w:szCs w:val="26"/>
        </w:rPr>
      </w:pPr>
      <w:r w:rsidRPr="002376C7">
        <w:rPr>
          <w:rFonts w:ascii="Times New Roman" w:eastAsia="Times New Roman" w:hAnsi="Times New Roman" w:cs="Times New Roman"/>
          <w:b/>
          <w:bCs/>
          <w:color w:val="000000"/>
          <w:sz w:val="26"/>
          <w:szCs w:val="26"/>
        </w:rPr>
        <w:t>FLEXIBLE DATA CENTERS DIFFER FROM DEMAND RESPONSE</w:t>
      </w:r>
    </w:p>
    <w:p w14:paraId="00000027"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lastRenderedPageBreak/>
        <w:t>Some—including, recently, PJM’s Independent Market Monitor—have called into question the ability of large data center loads to dependably provide flexibility and reduce capacity and transmission infrastructure needs.</w:t>
      </w:r>
      <w:r w:rsidRPr="002376C7">
        <w:rPr>
          <w:rFonts w:ascii="Times New Roman" w:eastAsia="Times New Roman" w:hAnsi="Times New Roman" w:cs="Times New Roman"/>
          <w:color w:val="000000"/>
          <w:sz w:val="26"/>
          <w:szCs w:val="26"/>
          <w:vertAlign w:val="superscript"/>
        </w:rPr>
        <w:footnoteReference w:id="2"/>
      </w:r>
      <w:r w:rsidRPr="002376C7">
        <w:rPr>
          <w:rFonts w:ascii="Times New Roman" w:eastAsia="Times New Roman" w:hAnsi="Times New Roman" w:cs="Times New Roman"/>
          <w:color w:val="000000"/>
          <w:sz w:val="26"/>
          <w:szCs w:val="26"/>
        </w:rPr>
        <w:t xml:space="preserve"> But the characterization of flexible data centers as analogous to short-duration or voluntary demand response overlooks important distinctions. Traditional demand response typically depends on customer willingness, has limited duration, and can vary year to year. In contrast, asset-backed flexible data centers incorporate physical infrastructure—utility-scale battery storage, automated curtailment systems, real-time telemetry, and programmable power distribution—that enables predictable, dispatchable performance over the full life of the interconnection agreement.</w:t>
      </w:r>
    </w:p>
    <w:p w14:paraId="00000028"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These facilities function less like a behavioral load modification and more like a demand-side reliability resource. Their flexibility is engineered, persistent, verifiable, and a foundational element of their business model, providing system operators with tools that resemble supply-side capabilities but are located on the customer side of the meter. Recognizing this distinction is important in understanding how these new loads interact with grid operations and market dynamics.</w:t>
      </w:r>
    </w:p>
    <w:p w14:paraId="00000029" w14:textId="77777777" w:rsidR="00F2163B" w:rsidRPr="002376C7" w:rsidRDefault="008E16A7">
      <w:pPr>
        <w:pBdr>
          <w:top w:val="nil"/>
          <w:left w:val="nil"/>
          <w:bottom w:val="nil"/>
          <w:right w:val="nil"/>
          <w:between w:val="nil"/>
        </w:pBdr>
        <w:spacing w:after="0" w:line="480" w:lineRule="auto"/>
        <w:ind w:firstLine="36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Verrus respects the long-standing role of the PJM Independent Market Monitor in safeguarding competitive </w:t>
      </w:r>
      <w:proofErr w:type="gramStart"/>
      <w:r w:rsidRPr="002376C7">
        <w:rPr>
          <w:rFonts w:ascii="Times New Roman" w:eastAsia="Times New Roman" w:hAnsi="Times New Roman" w:cs="Times New Roman"/>
          <w:color w:val="000000"/>
          <w:sz w:val="26"/>
          <w:szCs w:val="26"/>
        </w:rPr>
        <w:t>markets, but</w:t>
      </w:r>
      <w:proofErr w:type="gramEnd"/>
      <w:r w:rsidRPr="002376C7">
        <w:rPr>
          <w:rFonts w:ascii="Times New Roman" w:eastAsia="Times New Roman" w:hAnsi="Times New Roman" w:cs="Times New Roman"/>
          <w:color w:val="000000"/>
          <w:sz w:val="26"/>
          <w:szCs w:val="26"/>
        </w:rPr>
        <w:t xml:space="preserve"> disagrees with recent assertions that flexible data centers are a “regulatory fiction.” That characterization reflects an older conception of demand response as voluntary or behavioral. The emerging class of asset-backed flexible </w:t>
      </w:r>
      <w:r w:rsidRPr="002376C7">
        <w:rPr>
          <w:rFonts w:ascii="Times New Roman" w:eastAsia="Times New Roman" w:hAnsi="Times New Roman" w:cs="Times New Roman"/>
          <w:color w:val="000000"/>
          <w:sz w:val="26"/>
          <w:szCs w:val="26"/>
        </w:rPr>
        <w:lastRenderedPageBreak/>
        <w:t>loads is fundamentally different. Verrus facilities incorporate large-scale on-site battery storage, automated load-management systems, real-time telemetry, and power-flow controls that enable predictable, dispatchable performance. Far from being a fiction, this is investment-backed physical infrastructure designed to function as a reliability asset on the demand side of the grid—providing verifiable, repeatable flexibility that system operators can rely on.</w:t>
      </w:r>
    </w:p>
    <w:p w14:paraId="0000002A" w14:textId="77777777" w:rsidR="00F2163B" w:rsidRPr="002376C7" w:rsidRDefault="008E16A7">
      <w:pPr>
        <w:numPr>
          <w:ilvl w:val="0"/>
          <w:numId w:val="1"/>
        </w:numPr>
        <w:pBdr>
          <w:top w:val="nil"/>
          <w:left w:val="nil"/>
          <w:bottom w:val="nil"/>
          <w:right w:val="nil"/>
          <w:between w:val="nil"/>
        </w:pBdr>
        <w:spacing w:after="240" w:line="240" w:lineRule="auto"/>
        <w:rPr>
          <w:rFonts w:ascii="Times New Roman" w:eastAsia="Times New Roman" w:hAnsi="Times New Roman" w:cs="Times New Roman"/>
          <w:b/>
          <w:bCs/>
          <w:color w:val="000000"/>
          <w:sz w:val="26"/>
          <w:szCs w:val="26"/>
        </w:rPr>
      </w:pPr>
      <w:r w:rsidRPr="002376C7">
        <w:rPr>
          <w:rFonts w:ascii="Times New Roman" w:eastAsia="Times New Roman" w:hAnsi="Times New Roman" w:cs="Times New Roman"/>
          <w:b/>
          <w:bCs/>
          <w:color w:val="000000"/>
          <w:sz w:val="26"/>
          <w:szCs w:val="26"/>
        </w:rPr>
        <w:t>FERC SHOULD ESTABLISH UNIFORM NATIONAL BASELINE RULES FOR LARGE LOAD INTERCONNECTION</w:t>
      </w:r>
    </w:p>
    <w:p w14:paraId="0000002B"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Verrus supports adoption of a rule establishing uniform federal requirements for large load interconnection. Today, the interconnection of large loads is governed by a patchwork of state and utility practices that lack consistency, transparency, and in some cases sufficient technical rigor. In some jurisdictions, access depends more on negotiations, relationships, or economic-development discretion than on objective, system-based criteria. This uncertainty makes it difficult for emerging flexible-load developers to plan projects, creates inefficiency for utilities, and risks allowing priority to be determined by factors other than measurable system benefit</w:t>
      </w:r>
      <w:sdt>
        <w:sdtPr>
          <w:tag w:val="goog_rdk_2"/>
          <w:id w:val="-600243906"/>
        </w:sdtPr>
        <w:sdtEndPr/>
        <w:sdtContent>
          <w:sdt>
            <w:sdtPr>
              <w:tag w:val="goog_rdk_3"/>
              <w:id w:val="-912652775"/>
            </w:sdtPr>
            <w:sdtEndPr/>
            <w:sdtContent>
              <w:r w:rsidRPr="002376C7">
                <w:rPr>
                  <w:rFonts w:ascii="Times New Roman" w:eastAsia="Times New Roman" w:hAnsi="Times New Roman" w:cs="Times New Roman"/>
                  <w:sz w:val="26"/>
                  <w:szCs w:val="26"/>
                </w:rPr>
                <w:t xml:space="preserve"> and</w:t>
              </w:r>
            </w:sdtContent>
          </w:sdt>
          <w:r w:rsidRPr="002376C7">
            <w:rPr>
              <w:rFonts w:ascii="Times New Roman" w:eastAsia="Times New Roman" w:hAnsi="Times New Roman" w:cs="Times New Roman"/>
              <w:color w:val="000000"/>
              <w:sz w:val="26"/>
              <w:szCs w:val="26"/>
            </w:rPr>
            <w:t xml:space="preserve"> equitable treatment of all c</w:t>
          </w:r>
          <w:sdt>
            <w:sdtPr>
              <w:tag w:val="goog_rdk_4"/>
              <w:id w:val="-1967795875"/>
            </w:sdtPr>
            <w:sdtEndPr/>
            <w:sdtContent>
              <w:r w:rsidRPr="002376C7">
                <w:rPr>
                  <w:rFonts w:ascii="Times New Roman" w:eastAsia="Times New Roman" w:hAnsi="Times New Roman" w:cs="Times New Roman"/>
                  <w:sz w:val="26"/>
                  <w:szCs w:val="26"/>
                </w:rPr>
                <w:t>onsumers</w:t>
              </w:r>
            </w:sdtContent>
          </w:sdt>
        </w:sdtContent>
      </w:sdt>
      <w:r w:rsidRPr="002376C7">
        <w:rPr>
          <w:rFonts w:ascii="Times New Roman" w:eastAsia="Times New Roman" w:hAnsi="Times New Roman" w:cs="Times New Roman"/>
          <w:color w:val="000000"/>
          <w:sz w:val="26"/>
          <w:szCs w:val="26"/>
        </w:rPr>
        <w:t>. Federal rules would therefore help to mitigate the risk of undue discrimination among large loads.</w:t>
      </w:r>
    </w:p>
    <w:p w14:paraId="0000002C"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For that reason, Verrus supports the ANOPR’s proposal for the Commission to assert jurisdiction over the interconnection of large loads to the interstate transmission system. In doing so, the Commission should establish a uniform national baseline that guarantees:</w:t>
      </w:r>
    </w:p>
    <w:p w14:paraId="0000002D"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u w:val="single"/>
        </w:rPr>
        <w:lastRenderedPageBreak/>
        <w:t>Fair access</w:t>
      </w:r>
      <w:r w:rsidRPr="002376C7">
        <w:rPr>
          <w:rFonts w:ascii="Times New Roman" w:eastAsia="Times New Roman" w:hAnsi="Times New Roman" w:cs="Times New Roman"/>
          <w:color w:val="000000"/>
          <w:sz w:val="26"/>
          <w:szCs w:val="26"/>
        </w:rPr>
        <w:t>: all large-load customers—regardless of affiliation or market power—must be subject to transparent, nondiscriminatory standards.</w:t>
      </w:r>
    </w:p>
    <w:p w14:paraId="0000002E"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u w:val="single"/>
        </w:rPr>
        <w:t>Transparency</w:t>
      </w:r>
      <w:r w:rsidRPr="002376C7">
        <w:rPr>
          <w:rFonts w:ascii="Times New Roman" w:eastAsia="Times New Roman" w:hAnsi="Times New Roman" w:cs="Times New Roman"/>
          <w:color w:val="000000"/>
          <w:sz w:val="26"/>
          <w:szCs w:val="26"/>
        </w:rPr>
        <w:t>: public posting of study procedures, assumptions, and results.</w:t>
      </w:r>
    </w:p>
    <w:p w14:paraId="0000002F"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u w:val="single"/>
        </w:rPr>
        <w:t>Technical consistency</w:t>
      </w:r>
      <w:r w:rsidRPr="002376C7">
        <w:rPr>
          <w:rFonts w:ascii="Times New Roman" w:eastAsia="Times New Roman" w:hAnsi="Times New Roman" w:cs="Times New Roman"/>
          <w:color w:val="000000"/>
          <w:sz w:val="26"/>
          <w:szCs w:val="26"/>
        </w:rPr>
        <w:t>: uniform definitions for large load, flexible load, and asset-backed flexibility.</w:t>
      </w:r>
    </w:p>
    <w:p w14:paraId="00000030"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u w:val="single"/>
        </w:rPr>
        <w:t>Predictability</w:t>
      </w:r>
      <w:r w:rsidRPr="002376C7">
        <w:rPr>
          <w:rFonts w:ascii="Times New Roman" w:eastAsia="Times New Roman" w:hAnsi="Times New Roman" w:cs="Times New Roman"/>
          <w:color w:val="000000"/>
          <w:sz w:val="26"/>
          <w:szCs w:val="26"/>
        </w:rPr>
        <w:t>: standardized study timelines and readiness milestones.</w:t>
      </w:r>
    </w:p>
    <w:p w14:paraId="00000031"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u w:val="single"/>
        </w:rPr>
        <w:t>Eligibility for expedited processing</w:t>
      </w:r>
      <w:r w:rsidRPr="002376C7">
        <w:rPr>
          <w:rFonts w:ascii="Times New Roman" w:eastAsia="Times New Roman" w:hAnsi="Times New Roman" w:cs="Times New Roman"/>
          <w:color w:val="000000"/>
          <w:sz w:val="26"/>
          <w:szCs w:val="26"/>
        </w:rPr>
        <w:t>: priority based on measurable reliability and efficiency benefits to the grid, with safeguards to prevent gaming.</w:t>
      </w:r>
    </w:p>
    <w:p w14:paraId="00000032"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u w:val="single"/>
        </w:rPr>
        <w:t>Credit fairness</w:t>
      </w:r>
      <w:r w:rsidRPr="002376C7">
        <w:rPr>
          <w:rFonts w:ascii="Times New Roman" w:eastAsia="Times New Roman" w:hAnsi="Times New Roman" w:cs="Times New Roman"/>
          <w:color w:val="000000"/>
          <w:sz w:val="26"/>
          <w:szCs w:val="26"/>
        </w:rPr>
        <w:t>: security requirements proportionate to actual stranded-cost risk.</w:t>
      </w:r>
    </w:p>
    <w:p w14:paraId="00000033"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To achieve these objectives, FERC’s rule should rest on </w:t>
      </w:r>
      <w:r w:rsidRPr="002376C7">
        <w:rPr>
          <w:rFonts w:ascii="Times New Roman" w:eastAsia="Times New Roman" w:hAnsi="Times New Roman" w:cs="Times New Roman"/>
          <w:b/>
          <w:bCs/>
          <w:color w:val="000000"/>
          <w:sz w:val="26"/>
          <w:szCs w:val="26"/>
        </w:rPr>
        <w:t>four foundational reforms</w:t>
      </w:r>
      <w:r w:rsidRPr="002376C7">
        <w:rPr>
          <w:rFonts w:ascii="Times New Roman" w:eastAsia="Times New Roman" w:hAnsi="Times New Roman" w:cs="Times New Roman"/>
          <w:color w:val="000000"/>
          <w:sz w:val="26"/>
          <w:szCs w:val="26"/>
        </w:rPr>
        <w:t>:</w:t>
      </w:r>
    </w:p>
    <w:p w14:paraId="00000034" w14:textId="77777777" w:rsidR="00F2163B" w:rsidRPr="002376C7" w:rsidRDefault="008E16A7">
      <w:pPr>
        <w:numPr>
          <w:ilvl w:val="0"/>
          <w:numId w:val="3"/>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Establishing a </w:t>
      </w:r>
      <w:r w:rsidRPr="002376C7">
        <w:rPr>
          <w:rFonts w:ascii="Times New Roman" w:eastAsia="Times New Roman" w:hAnsi="Times New Roman" w:cs="Times New Roman"/>
          <w:b/>
          <w:bCs/>
          <w:color w:val="000000"/>
          <w:sz w:val="26"/>
          <w:szCs w:val="26"/>
        </w:rPr>
        <w:t>clear national definition and prioritization of flexible, asset-backed loads.</w:t>
      </w:r>
    </w:p>
    <w:p w14:paraId="00000035" w14:textId="77777777" w:rsidR="00F2163B" w:rsidRPr="002376C7" w:rsidRDefault="008E16A7">
      <w:pPr>
        <w:numPr>
          <w:ilvl w:val="0"/>
          <w:numId w:val="3"/>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Establishing </w:t>
      </w:r>
      <w:r w:rsidRPr="002376C7">
        <w:rPr>
          <w:rFonts w:ascii="Times New Roman" w:eastAsia="Times New Roman" w:hAnsi="Times New Roman" w:cs="Times New Roman"/>
          <w:b/>
          <w:bCs/>
          <w:color w:val="000000"/>
          <w:sz w:val="26"/>
          <w:szCs w:val="26"/>
        </w:rPr>
        <w:t>uniform large load interconnection procedures</w:t>
      </w:r>
      <w:r w:rsidRPr="002376C7">
        <w:rPr>
          <w:rFonts w:ascii="Times New Roman" w:eastAsia="Times New Roman" w:hAnsi="Times New Roman" w:cs="Times New Roman"/>
          <w:color w:val="000000"/>
          <w:sz w:val="26"/>
          <w:szCs w:val="26"/>
        </w:rPr>
        <w:t xml:space="preserve"> that standardize queue management and </w:t>
      </w:r>
      <w:r w:rsidRPr="002376C7">
        <w:rPr>
          <w:rFonts w:ascii="Times New Roman" w:eastAsia="Times New Roman" w:hAnsi="Times New Roman" w:cs="Times New Roman"/>
          <w:b/>
          <w:bCs/>
          <w:color w:val="000000"/>
          <w:sz w:val="26"/>
          <w:szCs w:val="26"/>
        </w:rPr>
        <w:t>provide flexible loads a fast-track study lane</w:t>
      </w:r>
      <w:r w:rsidRPr="002376C7">
        <w:rPr>
          <w:rFonts w:ascii="Times New Roman" w:eastAsia="Times New Roman" w:hAnsi="Times New Roman" w:cs="Times New Roman"/>
          <w:color w:val="000000"/>
          <w:sz w:val="26"/>
          <w:szCs w:val="26"/>
        </w:rPr>
        <w:t xml:space="preserve"> consistent with their enforceable commitment to curtail in a manner that avoids or reduces the need for network upgrades.</w:t>
      </w:r>
    </w:p>
    <w:p w14:paraId="00000036" w14:textId="77777777" w:rsidR="00F2163B" w:rsidRPr="002376C7" w:rsidRDefault="008E16A7">
      <w:pPr>
        <w:numPr>
          <w:ilvl w:val="0"/>
          <w:numId w:val="3"/>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b/>
          <w:bCs/>
          <w:color w:val="000000"/>
          <w:sz w:val="26"/>
          <w:szCs w:val="26"/>
        </w:rPr>
        <w:t>Recognizing flexible loads as reliability assets</w:t>
      </w:r>
      <w:r w:rsidRPr="002376C7">
        <w:rPr>
          <w:rFonts w:ascii="Times New Roman" w:eastAsia="Times New Roman" w:hAnsi="Times New Roman" w:cs="Times New Roman"/>
          <w:color w:val="000000"/>
          <w:sz w:val="26"/>
          <w:szCs w:val="26"/>
        </w:rPr>
        <w:t xml:space="preserve"> in planning and cost allocation.</w:t>
      </w:r>
    </w:p>
    <w:p w14:paraId="00000037" w14:textId="77777777" w:rsidR="00F2163B" w:rsidRPr="002376C7" w:rsidRDefault="008E16A7">
      <w:pPr>
        <w:numPr>
          <w:ilvl w:val="0"/>
          <w:numId w:val="3"/>
        </w:numPr>
        <w:pBdr>
          <w:top w:val="nil"/>
          <w:left w:val="nil"/>
          <w:bottom w:val="nil"/>
          <w:right w:val="nil"/>
          <w:between w:val="nil"/>
        </w:pBdr>
        <w:spacing w:after="0" w:line="480" w:lineRule="auto"/>
        <w:rPr>
          <w:rFonts w:ascii="Arial" w:eastAsia="Arial" w:hAnsi="Arial" w:cs="Arial"/>
          <w:sz w:val="26"/>
          <w:szCs w:val="26"/>
        </w:rPr>
      </w:pPr>
      <w:r w:rsidRPr="002376C7">
        <w:rPr>
          <w:rFonts w:ascii="Times New Roman" w:eastAsia="Times New Roman" w:hAnsi="Times New Roman" w:cs="Times New Roman"/>
          <w:color w:val="000000"/>
          <w:sz w:val="26"/>
          <w:szCs w:val="26"/>
        </w:rPr>
        <w:t xml:space="preserve">Creating a </w:t>
      </w:r>
      <w:r w:rsidRPr="002376C7">
        <w:rPr>
          <w:rFonts w:ascii="Times New Roman" w:eastAsia="Times New Roman" w:hAnsi="Times New Roman" w:cs="Times New Roman"/>
          <w:b/>
          <w:bCs/>
          <w:color w:val="000000"/>
          <w:sz w:val="26"/>
          <w:szCs w:val="26"/>
        </w:rPr>
        <w:t>risk-based credit and readiness framework</w:t>
      </w:r>
      <w:r w:rsidRPr="002376C7">
        <w:rPr>
          <w:rFonts w:ascii="Times New Roman" w:eastAsia="Times New Roman" w:hAnsi="Times New Roman" w:cs="Times New Roman"/>
          <w:color w:val="000000"/>
          <w:sz w:val="26"/>
          <w:szCs w:val="26"/>
        </w:rPr>
        <w:t xml:space="preserve"> that aligns financial security with actual system exposure.</w:t>
      </w:r>
    </w:p>
    <w:p w14:paraId="00000038" w14:textId="77777777" w:rsidR="00F2163B" w:rsidRPr="002376C7" w:rsidRDefault="008E16A7">
      <w:pPr>
        <w:pBdr>
          <w:top w:val="nil"/>
          <w:left w:val="nil"/>
          <w:bottom w:val="nil"/>
          <w:right w:val="nil"/>
          <w:between w:val="nil"/>
        </w:pBdr>
        <w:spacing w:after="0" w:line="480" w:lineRule="auto"/>
        <w:ind w:left="720" w:hanging="630"/>
        <w:jc w:val="center"/>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w:t>
      </w:r>
      <w:r w:rsidRPr="002376C7">
        <w:rPr>
          <w:rFonts w:ascii="Times New Roman" w:eastAsia="Times New Roman" w:hAnsi="Times New Roman" w:cs="Times New Roman"/>
          <w:color w:val="000000"/>
          <w:sz w:val="26"/>
          <w:szCs w:val="26"/>
        </w:rPr>
        <w:tab/>
        <w:t>*</w:t>
      </w:r>
      <w:r w:rsidRPr="002376C7">
        <w:rPr>
          <w:rFonts w:ascii="Times New Roman" w:eastAsia="Times New Roman" w:hAnsi="Times New Roman" w:cs="Times New Roman"/>
          <w:color w:val="000000"/>
          <w:sz w:val="26"/>
          <w:szCs w:val="26"/>
        </w:rPr>
        <w:tab/>
        <w:t>*</w:t>
      </w:r>
    </w:p>
    <w:p w14:paraId="00000039" w14:textId="77777777" w:rsidR="00F2163B" w:rsidRPr="002376C7" w:rsidRDefault="008E16A7">
      <w:pPr>
        <w:numPr>
          <w:ilvl w:val="1"/>
          <w:numId w:val="1"/>
        </w:numPr>
        <w:pBdr>
          <w:top w:val="nil"/>
          <w:left w:val="nil"/>
          <w:bottom w:val="nil"/>
          <w:right w:val="nil"/>
          <w:between w:val="nil"/>
        </w:pBdr>
        <w:spacing w:after="240" w:line="240" w:lineRule="auto"/>
        <w:rPr>
          <w:rFonts w:ascii="Times New Roman" w:eastAsia="Times New Roman" w:hAnsi="Times New Roman" w:cs="Times New Roman"/>
          <w:b/>
          <w:bCs/>
          <w:color w:val="000000"/>
          <w:sz w:val="26"/>
          <w:szCs w:val="26"/>
        </w:rPr>
      </w:pPr>
      <w:r w:rsidRPr="002376C7">
        <w:rPr>
          <w:rFonts w:ascii="Times New Roman" w:eastAsia="Times New Roman" w:hAnsi="Times New Roman" w:cs="Times New Roman"/>
          <w:b/>
          <w:bCs/>
          <w:color w:val="000000"/>
          <w:sz w:val="26"/>
          <w:szCs w:val="26"/>
        </w:rPr>
        <w:lastRenderedPageBreak/>
        <w:t xml:space="preserve">The Commission should create a “flexible load” subclass subject to standardized measurement and verification requirements </w:t>
      </w:r>
    </w:p>
    <w:p w14:paraId="0000003A"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Flexible, asset-backed loads deliver broad public benefits that current interconnection and tariff frameworks often do not fully value. When properly integrated, these loads can reduce stress on the grid, improve balance between supply and demand, and enable the integration of new beneficial resources—all while helping to defer costly transmission and generation upgrades. These outcomes directly benefit all ratepayers by lowering system costs and strengthening overall reliability.</w:t>
      </w:r>
    </w:p>
    <w:p w14:paraId="0000003B"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Yet most existing rules treat flexible and inflexible loads as indistinguishable, applying the same study timelines, cost allocations, and credit requirements even when their grid impacts are fundamentally different. This lack of differentiation discourages investment in technologies that make the grid stronger and more efficient. </w:t>
      </w:r>
    </w:p>
    <w:p w14:paraId="0000003C" w14:textId="2D2A99CB"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To correct this, the Commission should establish a clear, standardized definition of “flexible load” as an asset-backed, verifiable, and dispatchable demand capable of modulating consumption in coordination with the transmission provider or balancing authority throughout a long-term commitment. Flexibility must be physical, durable, and measurable—not merely theoretical or price-responsive. The defining characteristic should be the presence of on-site assets such as battery energy storage, power-flow controls, or other infrastructure that enables sustained, repeatable flexibility over decades, not just seasonal participation. The Commission may define the “asset-backed” component of this definition in technology-neutral terms; but what is essential is that the load have the demonstrated physical capability to curtail in the operational time frame </w:t>
      </w:r>
      <w:r w:rsidRPr="002376C7">
        <w:rPr>
          <w:rFonts w:ascii="Times New Roman" w:eastAsia="Times New Roman" w:hAnsi="Times New Roman" w:cs="Times New Roman"/>
          <w:color w:val="000000"/>
          <w:sz w:val="26"/>
          <w:szCs w:val="26"/>
        </w:rPr>
        <w:lastRenderedPageBreak/>
        <w:t xml:space="preserve">necessary to meet NERC standards as </w:t>
      </w:r>
      <w:sdt>
        <w:sdtPr>
          <w:tag w:val="goog_rdk_5"/>
          <w:id w:val="2111415453"/>
        </w:sdtPr>
        <w:sdtEndPr/>
        <w:sdtContent>
          <w:r w:rsidRPr="002376C7">
            <w:rPr>
              <w:rFonts w:ascii="Times New Roman" w:eastAsia="Times New Roman" w:hAnsi="Times New Roman" w:cs="Times New Roman"/>
              <w:color w:val="000000"/>
              <w:sz w:val="26"/>
              <w:szCs w:val="26"/>
            </w:rPr>
            <w:t>primary/</w:t>
          </w:r>
          <w:sdt>
            <w:sdtPr>
              <w:tag w:val="goog_rdk_6"/>
              <w:id w:val="792074438"/>
            </w:sdtPr>
            <w:sdtEndPr/>
            <w:sdtContent>
              <w:r w:rsidRPr="002376C7">
                <w:rPr>
                  <w:rFonts w:ascii="Times New Roman" w:eastAsia="Times New Roman" w:hAnsi="Times New Roman" w:cs="Times New Roman"/>
                  <w:sz w:val="26"/>
                  <w:szCs w:val="26"/>
                </w:rPr>
                <w:t>operating/contingency</w:t>
              </w:r>
            </w:sdtContent>
          </w:sdt>
        </w:sdtContent>
      </w:sdt>
      <w:sdt>
        <w:sdtPr>
          <w:tag w:val="goog_rdk_7"/>
          <w:id w:val="-74714519"/>
        </w:sdtPr>
        <w:sdtEndPr/>
        <w:sdtContent>
          <w:sdt>
            <w:sdtPr>
              <w:tag w:val="goog_rdk_8"/>
              <w:id w:val="333944829"/>
              <w:showingPlcHdr/>
            </w:sdtPr>
            <w:sdtEndPr/>
            <w:sdtContent>
              <w:r w:rsidR="00D52473" w:rsidRPr="002376C7">
                <w:t xml:space="preserve">     </w:t>
              </w:r>
            </w:sdtContent>
          </w:sdt>
        </w:sdtContent>
      </w:sdt>
      <w:r w:rsidRPr="002376C7">
        <w:rPr>
          <w:rFonts w:ascii="Times New Roman" w:eastAsia="Times New Roman" w:hAnsi="Times New Roman" w:cs="Times New Roman"/>
          <w:color w:val="000000"/>
          <w:sz w:val="26"/>
          <w:szCs w:val="26"/>
        </w:rPr>
        <w:t xml:space="preserve"> reserves (e.g., within 10 minutes).</w:t>
      </w:r>
    </w:p>
    <w:p w14:paraId="0000003D"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To qualify, a load should:</w:t>
      </w:r>
    </w:p>
    <w:p w14:paraId="0000003E"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Possess enduring business interest and commitment to flexibility, such as physical assets—battery storage, controllable demand systems, or other grid-support infrastructure—that enable sustained flexibility over the life of the interconnection.</w:t>
      </w:r>
    </w:p>
    <w:p w14:paraId="0000003F"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Maintain real-time telemetry and performance measurement sufficient to verify curtailment or load-shifting performance when directed.</w:t>
      </w:r>
    </w:p>
    <w:p w14:paraId="00000040"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Demonstrate an operational design that allows a material share of total load (e.g., the greater of 20 MW or 25% of total load) to be curtailed or shifted during designated system-peak or reliability events.</w:t>
      </w:r>
    </w:p>
    <w:p w14:paraId="00000041"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Commit to maintaining that minimum level of flexible capability for the duration of the interconnection agreement or service term.</w:t>
      </w:r>
    </w:p>
    <w:p w14:paraId="00000042"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This definition ensures that flexible loads represent enduring, physical contributions to system reliability rather than short-term or intermittent responses. By setting a measurable performance threshold and linking it to the full term of interconnection service, the Commission can confidently distinguish infrastructure-grade flexibility from temporary demand response—ensuring that only loads providing durable, verifiable system benefits qualify for expedited treatment. Flexible loads that meet this definition should also be allowed to nominate operational flexibility commitments in the </w:t>
      </w:r>
      <w:r w:rsidRPr="002376C7">
        <w:rPr>
          <w:rFonts w:ascii="Times New Roman" w:eastAsia="Times New Roman" w:hAnsi="Times New Roman" w:cs="Times New Roman"/>
          <w:color w:val="000000"/>
          <w:sz w:val="26"/>
          <w:szCs w:val="26"/>
        </w:rPr>
        <w:lastRenderedPageBreak/>
        <w:t xml:space="preserve">study process that allow the Transmission Provider to avoid, reduce, or defer network upgrades, thereby accelerating interconnection and reducing system costs. </w:t>
      </w:r>
    </w:p>
    <w:p w14:paraId="00000043"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To give that definition practical force, the Commission should also establish clear M&amp;V requirements for qualifying flexible loads. The Commission should:</w:t>
      </w:r>
    </w:p>
    <w:p w14:paraId="00000044"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b/>
          <w:bCs/>
          <w:color w:val="000000"/>
          <w:sz w:val="26"/>
          <w:szCs w:val="26"/>
        </w:rPr>
        <w:t>Set telemetry and reporting standards</w:t>
      </w:r>
      <w:r w:rsidRPr="002376C7">
        <w:rPr>
          <w:rFonts w:ascii="Times New Roman" w:eastAsia="Times New Roman" w:hAnsi="Times New Roman" w:cs="Times New Roman"/>
          <w:color w:val="000000"/>
          <w:sz w:val="26"/>
          <w:szCs w:val="26"/>
        </w:rPr>
        <w:t xml:space="preserve"> as required to meet NERC operational reliability standards (e.g., 5 or 10 minutes) sufficient to verify curtailment or load-shifting performance.</w:t>
      </w:r>
    </w:p>
    <w:p w14:paraId="00000045"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b/>
          <w:bCs/>
          <w:color w:val="000000"/>
          <w:sz w:val="26"/>
          <w:szCs w:val="26"/>
        </w:rPr>
        <w:t>Require annual certification of performance</w:t>
      </w:r>
      <w:r w:rsidRPr="002376C7">
        <w:rPr>
          <w:rFonts w:ascii="Times New Roman" w:eastAsia="Times New Roman" w:hAnsi="Times New Roman" w:cs="Times New Roman"/>
          <w:color w:val="000000"/>
          <w:sz w:val="26"/>
          <w:szCs w:val="26"/>
        </w:rPr>
        <w:t>, including demonstration that the facility has maintained its committed level of flexibility (for example, the 25% curtailment capability threshold noted above).</w:t>
      </w:r>
    </w:p>
    <w:p w14:paraId="00000046"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b/>
          <w:bCs/>
          <w:color w:val="000000"/>
          <w:sz w:val="26"/>
          <w:szCs w:val="26"/>
        </w:rPr>
        <w:t>Define remedies or suspension of fast-lane eligibility</w:t>
      </w:r>
      <w:r w:rsidRPr="002376C7">
        <w:rPr>
          <w:rFonts w:ascii="Times New Roman" w:eastAsia="Times New Roman" w:hAnsi="Times New Roman" w:cs="Times New Roman"/>
          <w:color w:val="000000"/>
          <w:sz w:val="26"/>
          <w:szCs w:val="26"/>
        </w:rPr>
        <w:t xml:space="preserve"> for repeated non-performance, balanced by recognition or credit relief for verified over-performance.</w:t>
      </w:r>
      <w:sdt>
        <w:sdtPr>
          <w:tag w:val="goog_rdk_9"/>
          <w:id w:val="1245039567"/>
        </w:sdtPr>
        <w:sdtEndPr/>
        <w:sdtContent/>
      </w:sdt>
    </w:p>
    <w:p w14:paraId="00000047" w14:textId="6F20024B"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These verification requirements will ensure that asset-backed flexibility becomes a trusted and quantifiable element of system planning, not an untested assumption. By coupling measurable commitments with transparent performance reporting</w:t>
      </w:r>
      <w:r w:rsidR="00D52473" w:rsidRPr="002376C7">
        <w:rPr>
          <w:rFonts w:ascii="Times New Roman" w:eastAsia="Times New Roman" w:hAnsi="Times New Roman" w:cs="Times New Roman"/>
          <w:color w:val="000000"/>
          <w:sz w:val="26"/>
          <w:szCs w:val="26"/>
        </w:rPr>
        <w:t xml:space="preserve"> and penalties for non-performance</w:t>
      </w:r>
      <w:r w:rsidRPr="002376C7">
        <w:rPr>
          <w:rFonts w:ascii="Times New Roman" w:eastAsia="Times New Roman" w:hAnsi="Times New Roman" w:cs="Times New Roman"/>
          <w:color w:val="000000"/>
          <w:sz w:val="26"/>
          <w:szCs w:val="26"/>
        </w:rPr>
        <w:t>, the Commission can make sure that flexible</w:t>
      </w:r>
      <w:r w:rsidRPr="002376C7">
        <w:rPr>
          <w:rFonts w:ascii="Times New Roman" w:eastAsia="Times New Roman" w:hAnsi="Times New Roman" w:cs="Times New Roman"/>
          <w:sz w:val="26"/>
          <w:szCs w:val="26"/>
        </w:rPr>
        <w:t xml:space="preserve"> </w:t>
      </w:r>
      <w:r w:rsidRPr="002376C7">
        <w:rPr>
          <w:rFonts w:ascii="Times New Roman" w:eastAsia="Times New Roman" w:hAnsi="Times New Roman" w:cs="Times New Roman"/>
          <w:color w:val="000000"/>
          <w:sz w:val="26"/>
          <w:szCs w:val="26"/>
        </w:rPr>
        <w:t>load integration improves reliability, supports transmission efficiency, and protects ratepayers from speculative claims of flexibility that cannot be sustained.</w:t>
      </w:r>
    </w:p>
    <w:p w14:paraId="00000048"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Without a formal, asset-based definition, flexibility remains invisible in both planning and pricing. Long-term system planning depends on resources that are physically durable and expected to persist for decades, not temporary responses that may </w:t>
      </w:r>
      <w:r w:rsidRPr="002376C7">
        <w:rPr>
          <w:rFonts w:ascii="Times New Roman" w:eastAsia="Times New Roman" w:hAnsi="Times New Roman" w:cs="Times New Roman"/>
          <w:color w:val="000000"/>
          <w:sz w:val="26"/>
          <w:szCs w:val="26"/>
        </w:rPr>
        <w:lastRenderedPageBreak/>
        <w:t>appear one year and disappear the next. By defining and prioritizing infrastructure-grade, asset-backed flexibility, the Commission can ensure that these capabilities are recognized in reliability models, cost-allocation frameworks, and future transmission plans. Verrus’ experience demonstrates that large, asset-backed loads can function as enduring grid-support assets—resources that can be confidently integrated into long-term planning and relied upon to strengthen reliability while reducing system costs.</w:t>
      </w:r>
    </w:p>
    <w:p w14:paraId="00000049" w14:textId="4B0AE621" w:rsidR="00F2163B" w:rsidRPr="002376C7" w:rsidRDefault="008E16A7">
      <w:pPr>
        <w:numPr>
          <w:ilvl w:val="1"/>
          <w:numId w:val="1"/>
        </w:numPr>
        <w:pBdr>
          <w:top w:val="nil"/>
          <w:left w:val="nil"/>
          <w:bottom w:val="nil"/>
          <w:right w:val="nil"/>
          <w:between w:val="nil"/>
        </w:pBdr>
        <w:spacing w:after="240" w:line="240" w:lineRule="auto"/>
        <w:rPr>
          <w:rFonts w:ascii="Times New Roman" w:eastAsia="Times New Roman" w:hAnsi="Times New Roman" w:cs="Times New Roman"/>
          <w:b/>
          <w:bCs/>
          <w:color w:val="000000"/>
          <w:sz w:val="26"/>
          <w:szCs w:val="26"/>
        </w:rPr>
      </w:pPr>
      <w:r w:rsidRPr="002376C7">
        <w:rPr>
          <w:rFonts w:ascii="Times New Roman" w:eastAsia="Times New Roman" w:hAnsi="Times New Roman" w:cs="Times New Roman"/>
          <w:b/>
          <w:bCs/>
          <w:color w:val="000000"/>
          <w:sz w:val="26"/>
          <w:szCs w:val="26"/>
        </w:rPr>
        <w:t xml:space="preserve">The Commission should require transmission providers to file transparent and uniform large load interconnection procedures that recognize </w:t>
      </w:r>
      <w:sdt>
        <w:sdtPr>
          <w:tag w:val="goog_rdk_10"/>
          <w:id w:val="-506775464"/>
        </w:sdtPr>
        <w:sdtEndPr/>
        <w:sdtContent>
          <w:r w:rsidRPr="002376C7">
            <w:rPr>
              <w:rFonts w:ascii="Times New Roman" w:eastAsia="Times New Roman" w:hAnsi="Times New Roman" w:cs="Times New Roman"/>
              <w:b/>
              <w:bCs/>
              <w:color w:val="000000"/>
              <w:sz w:val="26"/>
              <w:szCs w:val="26"/>
            </w:rPr>
            <w:t xml:space="preserve">and </w:t>
          </w:r>
          <w:r w:rsidR="00D52473" w:rsidRPr="002376C7">
            <w:rPr>
              <w:rFonts w:ascii="Times New Roman" w:eastAsia="Times New Roman" w:hAnsi="Times New Roman" w:cs="Times New Roman"/>
              <w:b/>
              <w:bCs/>
              <w:color w:val="000000"/>
              <w:sz w:val="26"/>
              <w:szCs w:val="26"/>
            </w:rPr>
            <w:t>compensate</w:t>
          </w:r>
          <w:r w:rsidRPr="002376C7">
            <w:rPr>
              <w:rFonts w:ascii="Times New Roman" w:eastAsia="Times New Roman" w:hAnsi="Times New Roman" w:cs="Times New Roman"/>
              <w:b/>
              <w:bCs/>
              <w:color w:val="000000"/>
              <w:sz w:val="26"/>
              <w:szCs w:val="26"/>
            </w:rPr>
            <w:t xml:space="preserve"> </w:t>
          </w:r>
        </w:sdtContent>
      </w:sdt>
      <w:r w:rsidRPr="002376C7">
        <w:rPr>
          <w:rFonts w:ascii="Times New Roman" w:eastAsia="Times New Roman" w:hAnsi="Times New Roman" w:cs="Times New Roman"/>
          <w:b/>
          <w:bCs/>
          <w:color w:val="000000"/>
          <w:sz w:val="26"/>
          <w:szCs w:val="26"/>
        </w:rPr>
        <w:t>the benefits of flexibility</w:t>
      </w:r>
    </w:p>
    <w:p w14:paraId="0000004A"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Queue management procedures are the practical expression of the Commission’s fairness requirements—it is how ready projects will </w:t>
      </w:r>
      <w:proofErr w:type="gramStart"/>
      <w:r w:rsidRPr="002376C7">
        <w:rPr>
          <w:rFonts w:ascii="Times New Roman" w:eastAsia="Times New Roman" w:hAnsi="Times New Roman" w:cs="Times New Roman"/>
          <w:color w:val="000000"/>
          <w:sz w:val="26"/>
          <w:szCs w:val="26"/>
        </w:rPr>
        <w:t>actually gain</w:t>
      </w:r>
      <w:proofErr w:type="gramEnd"/>
      <w:r w:rsidRPr="002376C7">
        <w:rPr>
          <w:rFonts w:ascii="Times New Roman" w:eastAsia="Times New Roman" w:hAnsi="Times New Roman" w:cs="Times New Roman"/>
          <w:color w:val="000000"/>
          <w:sz w:val="26"/>
          <w:szCs w:val="26"/>
        </w:rPr>
        <w:t xml:space="preserve"> access. Queue management procedures determine whether technically qualified, grid-supportive projects move forward efficiently or wait indefinitely behind less beneficial requests. An effective queue process should not only ensure non-discrimination but also provide treatment commensurate with the measurable reliability and efficiency benefits that a project delivers to the grid.</w:t>
      </w:r>
    </w:p>
    <w:p w14:paraId="0000004B"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The Commission should require transmission providers to adopt large load interconnection procedures that:</w:t>
      </w:r>
    </w:p>
    <w:p w14:paraId="0000004C"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b/>
          <w:bCs/>
          <w:color w:val="000000"/>
          <w:sz w:val="26"/>
          <w:szCs w:val="26"/>
        </w:rPr>
        <w:t>Apply uniform criteria</w:t>
      </w:r>
      <w:r w:rsidRPr="002376C7">
        <w:rPr>
          <w:rFonts w:ascii="Times New Roman" w:eastAsia="Times New Roman" w:hAnsi="Times New Roman" w:cs="Times New Roman"/>
          <w:color w:val="000000"/>
          <w:sz w:val="26"/>
          <w:szCs w:val="26"/>
        </w:rPr>
        <w:t xml:space="preserve"> for readiness and advancement.</w:t>
      </w:r>
    </w:p>
    <w:p w14:paraId="0000004D"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b/>
          <w:bCs/>
          <w:color w:val="000000"/>
          <w:sz w:val="26"/>
          <w:szCs w:val="26"/>
        </w:rPr>
        <w:t>Prohibit any discretionary reprioritization or selective acceleration</w:t>
      </w:r>
      <w:r w:rsidRPr="002376C7">
        <w:rPr>
          <w:rFonts w:ascii="Times New Roman" w:eastAsia="Times New Roman" w:hAnsi="Times New Roman" w:cs="Times New Roman"/>
          <w:color w:val="000000"/>
          <w:sz w:val="26"/>
          <w:szCs w:val="26"/>
        </w:rPr>
        <w:t xml:space="preserve"> by utilities.</w:t>
      </w:r>
    </w:p>
    <w:p w14:paraId="0000004E"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b/>
          <w:bCs/>
          <w:color w:val="000000"/>
          <w:sz w:val="26"/>
          <w:szCs w:val="26"/>
        </w:rPr>
        <w:t>Require public reporting</w:t>
      </w:r>
      <w:r w:rsidRPr="002376C7">
        <w:rPr>
          <w:rFonts w:ascii="Times New Roman" w:eastAsia="Times New Roman" w:hAnsi="Times New Roman" w:cs="Times New Roman"/>
          <w:color w:val="000000"/>
          <w:sz w:val="26"/>
          <w:szCs w:val="26"/>
        </w:rPr>
        <w:t xml:space="preserve"> of queue timelines and outcomes to maintain accountability.</w:t>
      </w:r>
    </w:p>
    <w:p w14:paraId="0000004F" w14:textId="77777777" w:rsidR="00F2163B" w:rsidRPr="002376C7" w:rsidRDefault="008E16A7">
      <w:pPr>
        <w:numPr>
          <w:ilvl w:val="0"/>
          <w:numId w:val="5"/>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b/>
          <w:bCs/>
          <w:color w:val="000000"/>
          <w:sz w:val="26"/>
          <w:szCs w:val="26"/>
        </w:rPr>
        <w:lastRenderedPageBreak/>
        <w:t>Prioritize projects that demonstrate verified system benefits</w:t>
      </w:r>
      <w:r w:rsidRPr="002376C7">
        <w:rPr>
          <w:rFonts w:ascii="Times New Roman" w:eastAsia="Times New Roman" w:hAnsi="Times New Roman" w:cs="Times New Roman"/>
          <w:color w:val="000000"/>
          <w:sz w:val="26"/>
          <w:szCs w:val="26"/>
        </w:rPr>
        <w:t xml:space="preserve">, including dispatchable flexibility, peak-load reduction, or contribution to grid reliability. </w:t>
      </w:r>
    </w:p>
    <w:p w14:paraId="00000050" w14:textId="77777777" w:rsidR="00F2163B" w:rsidRPr="002376C7" w:rsidRDefault="008E16A7">
      <w:p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Further, to effectuate this prioritization of projects that demonstrate verified system benefits, the Commission should require a </w:t>
      </w:r>
      <w:r w:rsidRPr="002376C7">
        <w:rPr>
          <w:rFonts w:ascii="Times New Roman" w:eastAsia="Times New Roman" w:hAnsi="Times New Roman" w:cs="Times New Roman"/>
          <w:b/>
          <w:bCs/>
          <w:color w:val="000000"/>
          <w:sz w:val="26"/>
          <w:szCs w:val="26"/>
        </w:rPr>
        <w:t>Fast-Lane Study Track</w:t>
      </w:r>
      <w:r w:rsidRPr="002376C7">
        <w:rPr>
          <w:rFonts w:ascii="Times New Roman" w:eastAsia="Times New Roman" w:hAnsi="Times New Roman" w:cs="Times New Roman"/>
          <w:color w:val="000000"/>
          <w:sz w:val="26"/>
          <w:szCs w:val="26"/>
        </w:rPr>
        <w:t xml:space="preserve"> for verified flexible loads, using shorter study timelines and modeling that accounts for their ability to curtail or shift load and to operate on-site resources.</w:t>
      </w:r>
    </w:p>
    <w:p w14:paraId="00000051"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Without a predictable and transparent queue process, utilities can effectively determine which projects advance and which stall—creating uncertainty that discourages innovation and undermines public confidence. When queue management prioritizes objectivity, readiness, and verified public benefit, it enables grid-supportive large loads to connect faster, deliver reliability value sooner, and ultimately reduce costs for all customers. A fair and benefit-based queue is therefore not just an administrative improvement—it is a public-interest reform that ensures the most beneficial projects reach the grid first.</w:t>
      </w:r>
    </w:p>
    <w:p w14:paraId="00000052" w14:textId="77777777" w:rsidR="00F2163B" w:rsidRPr="002376C7" w:rsidRDefault="008E16A7">
      <w:pPr>
        <w:numPr>
          <w:ilvl w:val="1"/>
          <w:numId w:val="1"/>
        </w:numPr>
        <w:pBdr>
          <w:top w:val="nil"/>
          <w:left w:val="nil"/>
          <w:bottom w:val="nil"/>
          <w:right w:val="nil"/>
          <w:between w:val="nil"/>
        </w:pBdr>
        <w:spacing w:after="240" w:line="240" w:lineRule="auto"/>
        <w:rPr>
          <w:rFonts w:ascii="Times New Roman" w:eastAsia="Times New Roman" w:hAnsi="Times New Roman" w:cs="Times New Roman"/>
          <w:b/>
          <w:bCs/>
          <w:color w:val="000000"/>
          <w:sz w:val="26"/>
          <w:szCs w:val="26"/>
        </w:rPr>
      </w:pPr>
      <w:r w:rsidRPr="002376C7">
        <w:rPr>
          <w:rFonts w:ascii="Times New Roman" w:eastAsia="Times New Roman" w:hAnsi="Times New Roman" w:cs="Times New Roman"/>
          <w:b/>
          <w:bCs/>
          <w:color w:val="000000"/>
          <w:sz w:val="26"/>
          <w:szCs w:val="26"/>
        </w:rPr>
        <w:t>The Commission should allow commitments by flexible loads to avoid both network upgrades and capacity procurements</w:t>
      </w:r>
    </w:p>
    <w:p w14:paraId="00000053"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Large flexible loads—when designed with integrated storage, automation, and coordinated dispatch—can enhance reliability by using existing grid capacity more efficiently. Because flexible data centers do not increase peak demand and can reduce load during hours of thermal or voltage constraint, they can meaningfully affect transmission planning needs. Their ability to reduce net-peak contribution lowers the likelihood that incremental upgrades will be triggered by their interconnection. </w:t>
      </w:r>
      <w:r w:rsidRPr="002376C7">
        <w:rPr>
          <w:rFonts w:ascii="Times New Roman" w:eastAsia="Times New Roman" w:hAnsi="Times New Roman" w:cs="Times New Roman"/>
          <w:color w:val="000000"/>
          <w:sz w:val="26"/>
          <w:szCs w:val="26"/>
        </w:rPr>
        <w:lastRenderedPageBreak/>
        <w:t xml:space="preserve">Incorporating this into long-term planning requires modeling flexible-load capabilities explicitly. Doing so allows planners to differentiate between large loads that drive system expansion and those that do </w:t>
      </w:r>
      <w:proofErr w:type="gramStart"/>
      <w:r w:rsidRPr="002376C7">
        <w:rPr>
          <w:rFonts w:ascii="Times New Roman" w:eastAsia="Times New Roman" w:hAnsi="Times New Roman" w:cs="Times New Roman"/>
          <w:color w:val="000000"/>
          <w:sz w:val="26"/>
          <w:szCs w:val="26"/>
        </w:rPr>
        <w:t>not—ensuring</w:t>
      </w:r>
      <w:proofErr w:type="gramEnd"/>
      <w:r w:rsidRPr="002376C7">
        <w:rPr>
          <w:rFonts w:ascii="Times New Roman" w:eastAsia="Times New Roman" w:hAnsi="Times New Roman" w:cs="Times New Roman"/>
          <w:color w:val="000000"/>
          <w:sz w:val="26"/>
          <w:szCs w:val="26"/>
        </w:rPr>
        <w:t xml:space="preserve"> that transmission investments and cost allocations accurately reflect causation.</w:t>
      </w:r>
    </w:p>
    <w:p w14:paraId="00000054"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For example, Verrus’ power-flow campus architecture allows dynamic redistribution of power among compute halls, batteries, and support systems, enabling the site to respond to grid conditions in real time. Verrus facilities are designed to operate in coordination with the host utility and balancing authority to ensure that flexibility is dispatched when it provides the greatest system benefit. This operational partnership ensures that flexibility contributes to reliability objectives rather than creating uncertainty or conflicts with system operators.</w:t>
      </w:r>
    </w:p>
    <w:p w14:paraId="00000055"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This design transforms the data center from a passive consumer into an active reliability partner. During peaks, the facility can curtail load from the grid by discharging the batteries on site; during troughs, it can absorb surplus generation. That capability reduces the need for new peaking resources, mitigates congestion, and provides contingency support—all while maintaining critical computing uptime.</w:t>
      </w:r>
    </w:p>
    <w:p w14:paraId="00000056"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However, the regulatory framework must evolve to recognize and value these contributions. Current rules classify large loads solely as cost drivers, not as resources capable of supporting the grid. Instead, the Commission should adopt rules that:</w:t>
      </w:r>
    </w:p>
    <w:p w14:paraId="00000057" w14:textId="77777777" w:rsidR="00F2163B" w:rsidRPr="002376C7" w:rsidRDefault="008E16A7">
      <w:pPr>
        <w:numPr>
          <w:ilvl w:val="0"/>
          <w:numId w:val="2"/>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b/>
          <w:bCs/>
          <w:color w:val="000000"/>
          <w:sz w:val="26"/>
          <w:szCs w:val="26"/>
        </w:rPr>
        <w:t>Explicitly recognize asset-backed flexible loads as reliability resources.</w:t>
      </w:r>
      <w:r w:rsidRPr="002376C7">
        <w:rPr>
          <w:rFonts w:ascii="Times New Roman" w:eastAsia="Times New Roman" w:hAnsi="Times New Roman" w:cs="Times New Roman"/>
          <w:color w:val="000000"/>
          <w:sz w:val="26"/>
          <w:szCs w:val="26"/>
        </w:rPr>
        <w:t xml:space="preserve"> Coordinate with NERC and RTOs so these loads can participate in reliability programs and be modeled as controllable demand.</w:t>
      </w:r>
    </w:p>
    <w:p w14:paraId="00000058" w14:textId="77777777" w:rsidR="00F2163B" w:rsidRPr="002376C7" w:rsidRDefault="008E16A7">
      <w:pPr>
        <w:numPr>
          <w:ilvl w:val="0"/>
          <w:numId w:val="2"/>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b/>
          <w:bCs/>
          <w:color w:val="000000"/>
          <w:sz w:val="26"/>
          <w:szCs w:val="26"/>
        </w:rPr>
        <w:lastRenderedPageBreak/>
        <w:t>Integrate flexible-load participation into transmission planning.</w:t>
      </w:r>
      <w:r w:rsidRPr="002376C7">
        <w:rPr>
          <w:rFonts w:ascii="Times New Roman" w:eastAsia="Times New Roman" w:hAnsi="Times New Roman" w:cs="Times New Roman"/>
          <w:color w:val="000000"/>
          <w:sz w:val="26"/>
          <w:szCs w:val="26"/>
        </w:rPr>
        <w:t xml:space="preserve"> The Commission should require transmission providers to explicitly model flexible-load curtailment potential in their base-case and sensitivity analyses so that flexibility is valued in interconnection studies with respect to network upgrades, and in the studies that underlie local and regional transmission planning.</w:t>
      </w:r>
    </w:p>
    <w:p w14:paraId="00000059" w14:textId="77777777" w:rsidR="00F2163B" w:rsidRPr="002376C7" w:rsidRDefault="008E16A7">
      <w:pPr>
        <w:numPr>
          <w:ilvl w:val="0"/>
          <w:numId w:val="2"/>
        </w:num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b/>
          <w:bCs/>
          <w:color w:val="000000"/>
          <w:sz w:val="26"/>
          <w:szCs w:val="26"/>
        </w:rPr>
        <w:t>Develop M&amp;V standards</w:t>
      </w:r>
      <w:r w:rsidRPr="002376C7">
        <w:rPr>
          <w:rFonts w:ascii="Times New Roman" w:eastAsia="Times New Roman" w:hAnsi="Times New Roman" w:cs="Times New Roman"/>
          <w:color w:val="000000"/>
          <w:sz w:val="26"/>
          <w:szCs w:val="26"/>
        </w:rPr>
        <w:t xml:space="preserve"> so reliability value can be quantified and compensated through tariffs or deferral credits.</w:t>
      </w:r>
    </w:p>
    <w:p w14:paraId="0000005A" w14:textId="77777777" w:rsidR="00F2163B" w:rsidRPr="002376C7" w:rsidRDefault="008E16A7">
      <w:pPr>
        <w:pBdr>
          <w:top w:val="nil"/>
          <w:left w:val="nil"/>
          <w:bottom w:val="nil"/>
          <w:right w:val="nil"/>
          <w:between w:val="nil"/>
        </w:pBdr>
        <w:spacing w:after="0" w:line="48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Large flexible loads are not the problem—they are a scalable reliability solution. Properly recognized, they allow the grid to deliver more compute per megawatt and more reliability per dollar invested. By embedding coordination with utilities and modeling flexibility in planning, the Commission can ensure that flexible loads enhance both near-term operations and long-term system efficiency.</w:t>
      </w:r>
    </w:p>
    <w:p w14:paraId="0000005B" w14:textId="77777777" w:rsidR="00F2163B" w:rsidRPr="002376C7" w:rsidRDefault="008E16A7">
      <w:pPr>
        <w:numPr>
          <w:ilvl w:val="1"/>
          <w:numId w:val="1"/>
        </w:numPr>
        <w:pBdr>
          <w:top w:val="nil"/>
          <w:left w:val="nil"/>
          <w:bottom w:val="nil"/>
          <w:right w:val="nil"/>
          <w:between w:val="nil"/>
        </w:pBdr>
        <w:spacing w:after="240" w:line="240" w:lineRule="auto"/>
        <w:rPr>
          <w:rFonts w:ascii="Times New Roman" w:eastAsia="Times New Roman" w:hAnsi="Times New Roman" w:cs="Times New Roman"/>
          <w:b/>
          <w:bCs/>
          <w:color w:val="000000"/>
          <w:sz w:val="26"/>
          <w:szCs w:val="26"/>
        </w:rPr>
      </w:pPr>
      <w:r w:rsidRPr="002376C7">
        <w:rPr>
          <w:rFonts w:ascii="Times New Roman" w:eastAsia="Times New Roman" w:hAnsi="Times New Roman" w:cs="Times New Roman"/>
          <w:b/>
          <w:bCs/>
          <w:color w:val="000000"/>
          <w:sz w:val="26"/>
          <w:szCs w:val="26"/>
        </w:rPr>
        <w:t xml:space="preserve">Credit requirements should be tied directly to stranded-cost exposure </w:t>
      </w:r>
    </w:p>
    <w:p w14:paraId="0000005C"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Credit assurance should protect ratepayers from stranded-cost risk—not serve as a barrier to participation. Today, many utilities require deposits equal to multiple years of transmission revenue or theoretical upgrade costs regardless of a project’s actual risk profile or contribution to bulk system upgrades. Such rules privilege only the largest incumbents and exclude technically capable but less capitalized entrants—precisely those advancing innovative, grid-beneficial designs.</w:t>
      </w:r>
    </w:p>
    <w:p w14:paraId="0000005D"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18"/>
          <w:szCs w:val="18"/>
        </w:rPr>
      </w:pPr>
      <w:r w:rsidRPr="002376C7">
        <w:rPr>
          <w:rFonts w:ascii="Times New Roman" w:eastAsia="Times New Roman" w:hAnsi="Times New Roman" w:cs="Times New Roman"/>
          <w:color w:val="000000"/>
          <w:sz w:val="26"/>
          <w:szCs w:val="26"/>
        </w:rPr>
        <w:t xml:space="preserve">Consistent with the ANOPR’s Seventh Principle, large load flexibility should be incorporated into “system planning,” and should be utilized to avoid and reduce network upgrade costs and capacity procurement. The ANOPR’s Eighth Principle states that large </w:t>
      </w:r>
      <w:r w:rsidRPr="002376C7">
        <w:rPr>
          <w:rFonts w:ascii="Times New Roman" w:eastAsia="Times New Roman" w:hAnsi="Times New Roman" w:cs="Times New Roman"/>
          <w:color w:val="000000"/>
          <w:sz w:val="26"/>
          <w:szCs w:val="26"/>
        </w:rPr>
        <w:lastRenderedPageBreak/>
        <w:t xml:space="preserve">loads should be responsible for 100% of the network upgrade costs they are assigned. Putting these two concepts together, </w:t>
      </w:r>
      <w:proofErr w:type="gramStart"/>
      <w:r w:rsidRPr="002376C7">
        <w:rPr>
          <w:rFonts w:ascii="Times New Roman" w:eastAsia="Times New Roman" w:hAnsi="Times New Roman" w:cs="Times New Roman"/>
          <w:color w:val="000000"/>
          <w:sz w:val="26"/>
          <w:szCs w:val="26"/>
        </w:rPr>
        <w:t>it is clear that credit</w:t>
      </w:r>
      <w:proofErr w:type="gramEnd"/>
      <w:r w:rsidRPr="002376C7">
        <w:rPr>
          <w:rFonts w:ascii="Times New Roman" w:eastAsia="Times New Roman" w:hAnsi="Times New Roman" w:cs="Times New Roman"/>
          <w:color w:val="000000"/>
          <w:sz w:val="26"/>
          <w:szCs w:val="26"/>
        </w:rPr>
        <w:t xml:space="preserve"> requirements should scale with the actual infrastructure spend required to interconnect the large load. As in the generator interconnection process, credit requirements should secure actual interconnection costs, but only during the period of construction when ratepayers are exposed to those costs. </w:t>
      </w:r>
      <w:r w:rsidRPr="002376C7">
        <w:rPr>
          <w:rFonts w:ascii="Times New Roman" w:eastAsia="Times New Roman" w:hAnsi="Times New Roman" w:cs="Times New Roman"/>
          <w:i/>
          <w:iCs/>
          <w:color w:val="000000"/>
          <w:sz w:val="26"/>
          <w:szCs w:val="26"/>
        </w:rPr>
        <w:t>See pro forma</w:t>
      </w:r>
      <w:r w:rsidRPr="002376C7">
        <w:rPr>
          <w:rFonts w:ascii="Times New Roman" w:eastAsia="Times New Roman" w:hAnsi="Times New Roman" w:cs="Times New Roman"/>
          <w:color w:val="000000"/>
          <w:sz w:val="26"/>
          <w:szCs w:val="26"/>
        </w:rPr>
        <w:t xml:space="preserve"> LGIA, § 11.5.</w:t>
      </w:r>
    </w:p>
    <w:p w14:paraId="0000005E" w14:textId="77777777" w:rsidR="00F2163B" w:rsidRPr="002376C7" w:rsidRDefault="008E16A7">
      <w:pPr>
        <w:numPr>
          <w:ilvl w:val="0"/>
          <w:numId w:val="1"/>
        </w:numPr>
        <w:pBdr>
          <w:top w:val="nil"/>
          <w:left w:val="nil"/>
          <w:bottom w:val="nil"/>
          <w:right w:val="nil"/>
          <w:between w:val="nil"/>
        </w:pBdr>
        <w:spacing w:after="240" w:line="240" w:lineRule="auto"/>
        <w:rPr>
          <w:rFonts w:ascii="Times New Roman" w:eastAsia="Times New Roman" w:hAnsi="Times New Roman" w:cs="Times New Roman"/>
          <w:b/>
          <w:bCs/>
          <w:color w:val="000000"/>
          <w:sz w:val="26"/>
          <w:szCs w:val="26"/>
        </w:rPr>
      </w:pPr>
      <w:r w:rsidRPr="002376C7">
        <w:rPr>
          <w:rFonts w:ascii="Times New Roman" w:eastAsia="Times New Roman" w:hAnsi="Times New Roman" w:cs="Times New Roman"/>
          <w:b/>
          <w:bCs/>
          <w:color w:val="000000"/>
          <w:sz w:val="26"/>
          <w:szCs w:val="26"/>
        </w:rPr>
        <w:t>CONCLUSION</w:t>
      </w:r>
    </w:p>
    <w:p w14:paraId="0000005F"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 xml:space="preserve">The Commission should adopt a rule that provides for fairness and transparency through three core reforms: defining and prioritizing flexible loads, </w:t>
      </w:r>
      <w:r w:rsidRPr="002376C7">
        <w:rPr>
          <w:rFonts w:ascii="Times New Roman" w:eastAsia="Times New Roman" w:hAnsi="Times New Roman" w:cs="Times New Roman"/>
          <w:sz w:val="26"/>
          <w:szCs w:val="26"/>
        </w:rPr>
        <w:t xml:space="preserve">recognizing flexibility as a reliability resource, and </w:t>
      </w:r>
      <w:r w:rsidRPr="002376C7">
        <w:rPr>
          <w:rFonts w:ascii="Times New Roman" w:eastAsia="Times New Roman" w:hAnsi="Times New Roman" w:cs="Times New Roman"/>
          <w:color w:val="000000"/>
          <w:sz w:val="26"/>
          <w:szCs w:val="26"/>
        </w:rPr>
        <w:t>modulating credit assurance. Together, these measures will ensure that large-load interconnection supports reliability, reduces costs, and rewards innovation.</w:t>
      </w:r>
    </w:p>
    <w:p w14:paraId="00000060" w14:textId="7C2B4B83"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Flexible, asset-backed loads provide measurable public benefits. When properly defined and integrated, they help stabilize the grid, defer costly infrastructure expansion, and unlock greater use of existing transmission capacity. Recognizing and rewarding these contributions allows the Commission to align large-load growth with the broader public interest: improving reliability, affordability, and efficiency for all consumers.</w:t>
      </w:r>
    </w:p>
    <w:p w14:paraId="00000061" w14:textId="77777777" w:rsidR="00F2163B" w:rsidRPr="002376C7" w:rsidRDefault="008E16A7">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Verrus appreciates the Commission’s leadership in addressing the challenges and opportunities of large-load integration and welcomes the chance to contribute its operational experience to this rulemaking. As the first company developing a fleet of purpose-built, asset-backed flexible data centers, Verrus is demonstrating that large loads can be designed from the outset to enhance grid reliability and efficiency</w:t>
      </w:r>
      <w:r w:rsidRPr="002376C7">
        <w:rPr>
          <w:rFonts w:ascii="Times New Roman" w:eastAsia="Times New Roman" w:hAnsi="Times New Roman" w:cs="Times New Roman"/>
          <w:sz w:val="26"/>
          <w:szCs w:val="26"/>
        </w:rPr>
        <w:t>.</w:t>
      </w:r>
      <w:sdt>
        <w:sdtPr>
          <w:tag w:val="goog_rdk_14"/>
          <w:id w:val="-790195213"/>
        </w:sdtPr>
        <w:sdtEndPr/>
        <w:sdtContent>
          <w:r w:rsidRPr="002376C7">
            <w:rPr>
              <w:rFonts w:ascii="Times New Roman" w:eastAsia="Times New Roman" w:hAnsi="Times New Roman" w:cs="Times New Roman"/>
              <w:color w:val="000000"/>
              <w:sz w:val="26"/>
              <w:szCs w:val="26"/>
            </w:rPr>
            <w:t xml:space="preserve"> </w:t>
          </w:r>
        </w:sdtContent>
      </w:sdt>
      <w:sdt>
        <w:sdtPr>
          <w:tag w:val="goog_rdk_15"/>
          <w:id w:val="-712090096"/>
        </w:sdtPr>
        <w:sdtEndPr/>
        <w:sdtContent>
          <w:r w:rsidRPr="002376C7">
            <w:rPr>
              <w:rFonts w:ascii="Times New Roman" w:eastAsia="Times New Roman" w:hAnsi="Times New Roman" w:cs="Times New Roman"/>
              <w:color w:val="000000"/>
              <w:sz w:val="26"/>
              <w:szCs w:val="26"/>
            </w:rPr>
            <w:t xml:space="preserve">This is </w:t>
          </w:r>
        </w:sdtContent>
      </w:sdt>
      <w:sdt>
        <w:sdtPr>
          <w:tag w:val="goog_rdk_16"/>
          <w:id w:val="1375122112"/>
        </w:sdtPr>
        <w:sdtEndPr/>
        <w:sdtContent>
          <w:r w:rsidRPr="002376C7">
            <w:rPr>
              <w:rFonts w:ascii="Times New Roman" w:eastAsia="Times New Roman" w:hAnsi="Times New Roman" w:cs="Times New Roman"/>
              <w:color w:val="000000"/>
              <w:sz w:val="26"/>
              <w:szCs w:val="26"/>
            </w:rPr>
            <w:t xml:space="preserve">an </w:t>
          </w:r>
          <w:r w:rsidRPr="002376C7">
            <w:rPr>
              <w:rFonts w:ascii="Times New Roman" w:eastAsia="Times New Roman" w:hAnsi="Times New Roman" w:cs="Times New Roman"/>
              <w:color w:val="000000"/>
              <w:sz w:val="26"/>
              <w:szCs w:val="26"/>
            </w:rPr>
            <w:lastRenderedPageBreak/>
            <w:t>int</w:t>
          </w:r>
          <w:sdt>
            <w:sdtPr>
              <w:tag w:val="goog_rdk_17"/>
              <w:id w:val="-1296667281"/>
            </w:sdtPr>
            <w:sdtEndPr/>
            <w:sdtContent>
              <w:r w:rsidRPr="002376C7">
                <w:rPr>
                  <w:rFonts w:ascii="Times New Roman" w:eastAsia="Times New Roman" w:hAnsi="Times New Roman" w:cs="Times New Roman"/>
                  <w:sz w:val="26"/>
                  <w:szCs w:val="26"/>
                </w:rPr>
                <w:t>egral</w:t>
              </w:r>
            </w:sdtContent>
          </w:sdt>
          <w:r w:rsidRPr="002376C7">
            <w:rPr>
              <w:rFonts w:ascii="Times New Roman" w:eastAsia="Times New Roman" w:hAnsi="Times New Roman" w:cs="Times New Roman"/>
              <w:color w:val="000000"/>
              <w:sz w:val="26"/>
              <w:szCs w:val="26"/>
            </w:rPr>
            <w:t xml:space="preserve"> step to ensuring more critical in</w:t>
          </w:r>
          <w:sdt>
            <w:sdtPr>
              <w:tag w:val="goog_rdk_18"/>
              <w:id w:val="-1098953456"/>
            </w:sdtPr>
            <w:sdtEndPr/>
            <w:sdtContent>
              <w:r w:rsidRPr="002376C7">
                <w:rPr>
                  <w:rFonts w:ascii="Times New Roman" w:eastAsia="Times New Roman" w:hAnsi="Times New Roman" w:cs="Times New Roman"/>
                  <w:sz w:val="26"/>
                  <w:szCs w:val="26"/>
                </w:rPr>
                <w:t>frastructure can be built in the U.S. to provide the foundation of continued economic, technological</w:t>
              </w:r>
            </w:sdtContent>
          </w:sdt>
        </w:sdtContent>
      </w:sdt>
      <w:sdt>
        <w:sdtPr>
          <w:tag w:val="goog_rdk_19"/>
          <w:id w:val="-1931094604"/>
        </w:sdtPr>
        <w:sdtEndPr/>
        <w:sdtContent>
          <w:sdt>
            <w:sdtPr>
              <w:tag w:val="goog_rdk_20"/>
              <w:id w:val="238311392"/>
            </w:sdtPr>
            <w:sdtEndPr/>
            <w:sdtContent>
              <w:r w:rsidRPr="002376C7">
                <w:rPr>
                  <w:rFonts w:ascii="Times New Roman" w:eastAsia="Times New Roman" w:hAnsi="Times New Roman" w:cs="Times New Roman"/>
                  <w:sz w:val="26"/>
                  <w:szCs w:val="26"/>
                </w:rPr>
                <w:t>,</w:t>
              </w:r>
            </w:sdtContent>
          </w:sdt>
        </w:sdtContent>
      </w:sdt>
      <w:sdt>
        <w:sdtPr>
          <w:tag w:val="goog_rdk_21"/>
          <w:id w:val="198526447"/>
        </w:sdtPr>
        <w:sdtEndPr/>
        <w:sdtContent>
          <w:sdt>
            <w:sdtPr>
              <w:tag w:val="goog_rdk_22"/>
              <w:id w:val="1913964253"/>
            </w:sdtPr>
            <w:sdtEndPr/>
            <w:sdtContent>
              <w:r w:rsidRPr="002376C7">
                <w:rPr>
                  <w:rFonts w:ascii="Times New Roman" w:eastAsia="Times New Roman" w:hAnsi="Times New Roman" w:cs="Times New Roman"/>
                  <w:sz w:val="26"/>
                  <w:szCs w:val="26"/>
                </w:rPr>
                <w:t xml:space="preserve"> and national progress</w:t>
              </w:r>
            </w:sdtContent>
          </w:sdt>
        </w:sdtContent>
      </w:sdt>
      <w:r w:rsidRPr="002376C7">
        <w:rPr>
          <w:rFonts w:ascii="Times New Roman" w:eastAsia="Times New Roman" w:hAnsi="Times New Roman" w:cs="Times New Roman"/>
          <w:color w:val="000000"/>
          <w:sz w:val="26"/>
          <w:szCs w:val="26"/>
        </w:rPr>
        <w:t>.</w:t>
      </w:r>
    </w:p>
    <w:p w14:paraId="00000062" w14:textId="77777777" w:rsidR="00F2163B" w:rsidRPr="002376C7" w:rsidRDefault="00F2163B">
      <w:pPr>
        <w:rPr>
          <w:rFonts w:ascii="Times New Roman" w:eastAsia="Times New Roman" w:hAnsi="Times New Roman" w:cs="Times New Roman"/>
          <w:sz w:val="26"/>
          <w:szCs w:val="26"/>
        </w:rPr>
      </w:pPr>
    </w:p>
    <w:p w14:paraId="00000063" w14:textId="77777777" w:rsidR="00F2163B" w:rsidRPr="002376C7" w:rsidRDefault="00F2163B">
      <w:pPr>
        <w:rPr>
          <w:rFonts w:ascii="Times New Roman" w:eastAsia="Times New Roman" w:hAnsi="Times New Roman" w:cs="Times New Roman"/>
          <w:sz w:val="26"/>
          <w:szCs w:val="26"/>
        </w:rPr>
      </w:pPr>
    </w:p>
    <w:p w14:paraId="00000064" w14:textId="77777777" w:rsidR="00F2163B" w:rsidRPr="002376C7" w:rsidRDefault="008E16A7">
      <w:pPr>
        <w:spacing w:line="480" w:lineRule="auto"/>
        <w:ind w:left="3600" w:firstLine="720"/>
        <w:rPr>
          <w:rFonts w:ascii="Times New Roman" w:eastAsia="Times New Roman" w:hAnsi="Times New Roman" w:cs="Times New Roman"/>
          <w:sz w:val="26"/>
          <w:szCs w:val="26"/>
        </w:rPr>
      </w:pPr>
      <w:r w:rsidRPr="002376C7">
        <w:rPr>
          <w:rFonts w:ascii="Times New Roman" w:eastAsia="Times New Roman" w:hAnsi="Times New Roman" w:cs="Times New Roman"/>
          <w:sz w:val="26"/>
          <w:szCs w:val="26"/>
        </w:rPr>
        <w:t>Respectfully submitted,</w:t>
      </w:r>
    </w:p>
    <w:p w14:paraId="00000065" w14:textId="77777777" w:rsidR="00F2163B" w:rsidRPr="002376C7" w:rsidRDefault="00F2163B">
      <w:pPr>
        <w:spacing w:line="480" w:lineRule="auto"/>
        <w:ind w:firstLine="720"/>
        <w:rPr>
          <w:rFonts w:ascii="Times New Roman" w:eastAsia="Times New Roman" w:hAnsi="Times New Roman" w:cs="Times New Roman"/>
          <w:sz w:val="26"/>
          <w:szCs w:val="26"/>
        </w:rPr>
      </w:pPr>
    </w:p>
    <w:p w14:paraId="00000066" w14:textId="77777777" w:rsidR="00F2163B" w:rsidRPr="002376C7" w:rsidRDefault="008E16A7">
      <w:pPr>
        <w:spacing w:after="0" w:line="240" w:lineRule="auto"/>
        <w:rPr>
          <w:rFonts w:ascii="Times New Roman" w:eastAsia="Times New Roman" w:hAnsi="Times New Roman" w:cs="Times New Roman"/>
          <w:i/>
          <w:iCs/>
          <w:color w:val="000000"/>
          <w:sz w:val="26"/>
          <w:szCs w:val="26"/>
        </w:rPr>
      </w:pPr>
      <w:r w:rsidRPr="002376C7">
        <w:rPr>
          <w:rFonts w:ascii="Times New Roman" w:eastAsia="Times New Roman" w:hAnsi="Times New Roman" w:cs="Times New Roman"/>
          <w:sz w:val="26"/>
          <w:szCs w:val="26"/>
        </w:rPr>
        <w:tab/>
      </w:r>
      <w:r w:rsidRPr="002376C7">
        <w:rPr>
          <w:rFonts w:ascii="Times New Roman" w:eastAsia="Times New Roman" w:hAnsi="Times New Roman" w:cs="Times New Roman"/>
          <w:sz w:val="26"/>
          <w:szCs w:val="26"/>
        </w:rPr>
        <w:tab/>
      </w:r>
      <w:r w:rsidRPr="002376C7">
        <w:rPr>
          <w:rFonts w:ascii="Times New Roman" w:eastAsia="Times New Roman" w:hAnsi="Times New Roman" w:cs="Times New Roman"/>
          <w:sz w:val="26"/>
          <w:szCs w:val="26"/>
        </w:rPr>
        <w:tab/>
      </w:r>
      <w:r w:rsidRPr="002376C7">
        <w:rPr>
          <w:rFonts w:ascii="Times New Roman" w:eastAsia="Times New Roman" w:hAnsi="Times New Roman" w:cs="Times New Roman"/>
          <w:sz w:val="26"/>
          <w:szCs w:val="26"/>
        </w:rPr>
        <w:tab/>
      </w:r>
      <w:r w:rsidRPr="002376C7">
        <w:rPr>
          <w:rFonts w:ascii="Times New Roman" w:eastAsia="Times New Roman" w:hAnsi="Times New Roman" w:cs="Times New Roman"/>
          <w:sz w:val="26"/>
          <w:szCs w:val="26"/>
        </w:rPr>
        <w:tab/>
      </w:r>
      <w:r w:rsidRPr="002376C7">
        <w:rPr>
          <w:rFonts w:ascii="Times New Roman" w:eastAsia="Times New Roman" w:hAnsi="Times New Roman" w:cs="Times New Roman"/>
          <w:sz w:val="26"/>
          <w:szCs w:val="26"/>
        </w:rPr>
        <w:tab/>
      </w:r>
      <w:r w:rsidRPr="002376C7">
        <w:rPr>
          <w:rFonts w:ascii="Times New Roman" w:eastAsia="Times New Roman" w:hAnsi="Times New Roman" w:cs="Times New Roman"/>
          <w:i/>
          <w:iCs/>
          <w:sz w:val="26"/>
          <w:szCs w:val="26"/>
        </w:rPr>
        <w:t xml:space="preserve">/s/ </w:t>
      </w:r>
    </w:p>
    <w:p w14:paraId="00000067" w14:textId="77777777" w:rsidR="00F2163B" w:rsidRPr="002376C7" w:rsidRDefault="008E16A7">
      <w:pPr>
        <w:spacing w:after="0" w:line="240" w:lineRule="auto"/>
        <w:rPr>
          <w:rFonts w:ascii="Times New Roman" w:eastAsia="Times New Roman" w:hAnsi="Times New Roman" w:cs="Times New Roman"/>
          <w:color w:val="000000"/>
          <w:sz w:val="26"/>
          <w:szCs w:val="26"/>
        </w:rPr>
      </w:pP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r>
    </w:p>
    <w:p w14:paraId="00000068" w14:textId="77777777" w:rsidR="00F2163B" w:rsidRDefault="008E16A7">
      <w:pPr>
        <w:spacing w:after="0" w:line="240" w:lineRule="auto"/>
        <w:rPr>
          <w:rFonts w:ascii="Times New Roman" w:eastAsia="Times New Roman" w:hAnsi="Times New Roman" w:cs="Times New Roman"/>
          <w:sz w:val="26"/>
          <w:szCs w:val="26"/>
        </w:rPr>
      </w:pP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r>
      <w:r w:rsidRPr="002376C7">
        <w:rPr>
          <w:rFonts w:ascii="Times New Roman" w:eastAsia="Times New Roman" w:hAnsi="Times New Roman" w:cs="Times New Roman"/>
          <w:color w:val="000000"/>
          <w:sz w:val="26"/>
          <w:szCs w:val="26"/>
        </w:rPr>
        <w:tab/>
        <w:t>Jeff Bladen</w:t>
      </w:r>
      <w:r w:rsidRPr="002376C7">
        <w:rPr>
          <w:rFonts w:ascii="Times New Roman" w:eastAsia="Times New Roman" w:hAnsi="Times New Roman" w:cs="Times New Roman"/>
          <w:sz w:val="26"/>
          <w:szCs w:val="26"/>
        </w:rPr>
        <w:t>, Head of Energy</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p>
    <w:p w14:paraId="00000069" w14:textId="77777777" w:rsidR="00F2163B" w:rsidRDefault="00F2163B">
      <w:pPr>
        <w:rPr>
          <w:rFonts w:ascii="Times New Roman" w:eastAsia="Times New Roman" w:hAnsi="Times New Roman" w:cs="Times New Roman"/>
          <w:sz w:val="26"/>
          <w:szCs w:val="26"/>
        </w:rPr>
      </w:pPr>
    </w:p>
    <w:sectPr w:rsidR="00F2163B">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C95E9" w14:textId="77777777" w:rsidR="007F0271" w:rsidRDefault="007F0271">
      <w:pPr>
        <w:spacing w:after="0" w:line="240" w:lineRule="auto"/>
      </w:pPr>
      <w:r>
        <w:separator/>
      </w:r>
    </w:p>
  </w:endnote>
  <w:endnote w:type="continuationSeparator" w:id="0">
    <w:p w14:paraId="44FE07BD" w14:textId="77777777" w:rsidR="007F0271" w:rsidRDefault="007F0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EACFAE9-1419-6446-BE1C-80E0A7522ACB}"/>
    <w:embedBold r:id="rId2" w:fontKey="{3143431E-9928-A84F-B20B-988F2B2A61BA}"/>
    <w:embedItalic r:id="rId3" w:fontKey="{7E0B27CE-1E81-3840-B6EB-BA8CD197E921}"/>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5" w:fontKey="{2BBC2306-ACBC-054A-85A2-8C47D5D94723}"/>
  </w:font>
  <w:font w:name="Aptos">
    <w:panose1 w:val="020B0004020202020204"/>
    <w:charset w:val="00"/>
    <w:family w:val="swiss"/>
    <w:pitch w:val="variable"/>
    <w:sig w:usb0="20000287" w:usb1="00000003" w:usb2="00000000" w:usb3="00000000" w:csb0="0000019F" w:csb1="00000000"/>
    <w:embedRegular r:id="rId6" w:fontKey="{D958B210-871C-DF48-8C45-B5EC9CDD87A5}"/>
    <w:embedBold r:id="rId7" w:fontKey="{C275C355-E7A9-4444-B2F4-9661884FCB20}"/>
    <w:embedItalic r:id="rId8" w:fontKey="{B11B9125-3CB6-0743-BD88-79DB9FF4E87A}"/>
  </w:font>
  <w:font w:name="Play">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embedRegular r:id="rId10" w:fontKey="{31E4CA4B-ABC0-0140-B6D4-60EB0F450746}"/>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embedRegular r:id="rId12" w:fontKey="{A1D55ADB-7383-DF4A-876D-77557689B4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C" w14:textId="77777777" w:rsidR="00F2163B" w:rsidRDefault="008E16A7">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6D" w14:textId="77777777" w:rsidR="00F2163B" w:rsidRDefault="00F2163B">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E" w14:textId="72340453" w:rsidR="00F2163B" w:rsidRDefault="008E16A7">
    <w:pPr>
      <w:pBdr>
        <w:top w:val="nil"/>
        <w:left w:val="nil"/>
        <w:bottom w:val="nil"/>
        <w:right w:val="nil"/>
        <w:between w:val="nil"/>
      </w:pBdr>
      <w:tabs>
        <w:tab w:val="center" w:pos="4680"/>
        <w:tab w:val="right" w:pos="9360"/>
      </w:tabs>
      <w:spacing w:after="0" w:line="240" w:lineRule="auto"/>
      <w:jc w:val="center"/>
      <w:rPr>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A14DB6">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0000006F" w14:textId="77777777" w:rsidR="00F2163B" w:rsidRDefault="00F2163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FE527" w14:textId="77777777" w:rsidR="007F0271" w:rsidRDefault="007F0271">
      <w:pPr>
        <w:spacing w:after="0" w:line="240" w:lineRule="auto"/>
      </w:pPr>
      <w:r>
        <w:separator/>
      </w:r>
    </w:p>
  </w:footnote>
  <w:footnote w:type="continuationSeparator" w:id="0">
    <w:p w14:paraId="0127AE88" w14:textId="77777777" w:rsidR="007F0271" w:rsidRDefault="007F0271">
      <w:pPr>
        <w:spacing w:after="0" w:line="240" w:lineRule="auto"/>
      </w:pPr>
      <w:r>
        <w:continuationSeparator/>
      </w:r>
    </w:p>
  </w:footnote>
  <w:footnote w:id="1">
    <w:p w14:paraId="0000006A" w14:textId="77777777" w:rsidR="00F2163B" w:rsidRPr="00A14DB6" w:rsidRDefault="008E16A7">
      <w:pPr>
        <w:pBdr>
          <w:top w:val="nil"/>
          <w:left w:val="nil"/>
          <w:bottom w:val="nil"/>
          <w:right w:val="nil"/>
          <w:between w:val="nil"/>
        </w:pBdr>
        <w:spacing w:after="0" w:line="240" w:lineRule="auto"/>
        <w:rPr>
          <w:rFonts w:ascii="Times New Roman" w:hAnsi="Times New Roman" w:cs="Times New Roman"/>
          <w:color w:val="000000"/>
          <w:sz w:val="22"/>
          <w:szCs w:val="22"/>
        </w:rPr>
      </w:pPr>
      <w:r w:rsidRPr="00A14DB6">
        <w:rPr>
          <w:rStyle w:val="FootnoteReference"/>
          <w:rFonts w:ascii="Times New Roman" w:hAnsi="Times New Roman" w:cs="Times New Roman"/>
          <w:sz w:val="22"/>
          <w:szCs w:val="22"/>
        </w:rPr>
        <w:footnoteRef/>
      </w:r>
      <w:r w:rsidRPr="00A14DB6">
        <w:rPr>
          <w:rFonts w:ascii="Times New Roman" w:hAnsi="Times New Roman" w:cs="Times New Roman"/>
          <w:color w:val="000000"/>
          <w:sz w:val="22"/>
          <w:szCs w:val="22"/>
        </w:rPr>
        <w:t xml:space="preserve"> </w:t>
      </w:r>
      <w:r w:rsidRPr="00A14DB6">
        <w:rPr>
          <w:rFonts w:ascii="Times New Roman" w:eastAsia="Times New Roman" w:hAnsi="Times New Roman" w:cs="Times New Roman"/>
          <w:color w:val="000000"/>
          <w:sz w:val="22"/>
          <w:szCs w:val="22"/>
        </w:rPr>
        <w:t>Verrus recognizes that other forms of load flexibility may be sufficient for enabling avoided capacity additions and takes no position on the appropriate pathways to recognize or encourage such flexibility, if any. These comments focus on the more stringent requirements that are necessary to appropriately recognize and incentivize flexibility that minimizes or defers network upgrades.</w:t>
      </w:r>
      <w:r w:rsidRPr="00A14DB6">
        <w:rPr>
          <w:rFonts w:ascii="Times New Roman" w:hAnsi="Times New Roman" w:cs="Times New Roman"/>
          <w:color w:val="000000"/>
          <w:sz w:val="22"/>
          <w:szCs w:val="22"/>
        </w:rPr>
        <w:t xml:space="preserve">  </w:t>
      </w:r>
    </w:p>
  </w:footnote>
  <w:footnote w:id="2">
    <w:p w14:paraId="0000006B" w14:textId="77777777" w:rsidR="00F2163B" w:rsidRPr="00A14DB6" w:rsidRDefault="008E16A7">
      <w:pPr>
        <w:pBdr>
          <w:top w:val="nil"/>
          <w:left w:val="nil"/>
          <w:bottom w:val="nil"/>
          <w:right w:val="nil"/>
          <w:between w:val="nil"/>
        </w:pBdr>
        <w:spacing w:after="0" w:line="240" w:lineRule="auto"/>
        <w:rPr>
          <w:rFonts w:ascii="Times New Roman" w:hAnsi="Times New Roman" w:cs="Times New Roman"/>
          <w:color w:val="000000"/>
          <w:sz w:val="22"/>
          <w:szCs w:val="22"/>
        </w:rPr>
      </w:pPr>
      <w:r w:rsidRPr="00A14DB6">
        <w:rPr>
          <w:rStyle w:val="FootnoteReference"/>
          <w:rFonts w:ascii="Times New Roman" w:hAnsi="Times New Roman" w:cs="Times New Roman"/>
          <w:sz w:val="22"/>
          <w:szCs w:val="22"/>
        </w:rPr>
        <w:footnoteRef/>
      </w:r>
      <w:r w:rsidRPr="00A14DB6">
        <w:rPr>
          <w:rFonts w:ascii="Times New Roman" w:hAnsi="Times New Roman" w:cs="Times New Roman"/>
          <w:color w:val="000000"/>
          <w:sz w:val="22"/>
          <w:szCs w:val="22"/>
        </w:rPr>
        <w:t xml:space="preserve"> </w:t>
      </w:r>
      <w:r w:rsidRPr="00A14DB6">
        <w:rPr>
          <w:rFonts w:ascii="Times New Roman" w:hAnsi="Times New Roman" w:cs="Times New Roman"/>
          <w:i/>
          <w:iCs/>
          <w:color w:val="000000"/>
          <w:sz w:val="22"/>
          <w:szCs w:val="22"/>
        </w:rPr>
        <w:t xml:space="preserve">See </w:t>
      </w:r>
      <w:r w:rsidRPr="00A14DB6">
        <w:rPr>
          <w:rFonts w:ascii="Times New Roman" w:hAnsi="Times New Roman" w:cs="Times New Roman"/>
          <w:color w:val="000000"/>
          <w:sz w:val="22"/>
          <w:szCs w:val="22"/>
        </w:rPr>
        <w:t xml:space="preserve">Monitoring Analytics LLC, State of the Market Report for PJM: January through September at 2-3 (2025), </w:t>
      </w:r>
      <w:hyperlink r:id="rId1">
        <w:r w:rsidR="00F2163B" w:rsidRPr="00A14DB6">
          <w:rPr>
            <w:rFonts w:ascii="Times New Roman" w:hAnsi="Times New Roman" w:cs="Times New Roman"/>
            <w:color w:val="467886"/>
            <w:sz w:val="22"/>
            <w:szCs w:val="22"/>
            <w:u w:val="single"/>
          </w:rPr>
          <w:t>https://www.monitoringanalytics.com/reports/PJM_State_of_the_Market/2025/2025q3-som-pjm.pdf</w:t>
        </w:r>
      </w:hyperlink>
      <w:r w:rsidRPr="00A14DB6">
        <w:rPr>
          <w:rFonts w:ascii="Times New Roman" w:hAnsi="Times New Roman" w:cs="Times New Roman"/>
          <w:color w:val="000000"/>
          <w:sz w:val="22"/>
          <w:szCs w:val="22"/>
        </w:rPr>
        <w:t xml:space="preserve"> (“The assertion that large new data center loads can be demand side resources and do not require new capacity is a regulatory fiction”).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E1AB0"/>
    <w:multiLevelType w:val="multilevel"/>
    <w:tmpl w:val="EEAE24A0"/>
    <w:lvl w:ilvl="0">
      <w:start w:val="1"/>
      <w:numFmt w:val="decimal"/>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5821C6E"/>
    <w:multiLevelType w:val="multilevel"/>
    <w:tmpl w:val="D9869A20"/>
    <w:lvl w:ilvl="0">
      <w:start w:val="1"/>
      <w:numFmt w:val="upperRoman"/>
      <w:lvlText w:val="%1."/>
      <w:lvlJc w:val="left"/>
      <w:pPr>
        <w:ind w:left="1080" w:hanging="720"/>
      </w:pPr>
      <w:rPr>
        <w:b/>
        <w:bCs/>
      </w:r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BA9323D"/>
    <w:multiLevelType w:val="multilevel"/>
    <w:tmpl w:val="FAECDC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C1A7A68"/>
    <w:multiLevelType w:val="multilevel"/>
    <w:tmpl w:val="9B082B72"/>
    <w:lvl w:ilvl="0">
      <w:start w:val="1"/>
      <w:numFmt w:val="decimal"/>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1A34517"/>
    <w:multiLevelType w:val="multilevel"/>
    <w:tmpl w:val="8DE4D1EE"/>
    <w:lvl w:ilvl="0">
      <w:start w:val="1"/>
      <w:numFmt w:val="decimal"/>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1797021">
    <w:abstractNumId w:val="1"/>
  </w:num>
  <w:num w:numId="2" w16cid:durableId="886066448">
    <w:abstractNumId w:val="0"/>
  </w:num>
  <w:num w:numId="3" w16cid:durableId="308941284">
    <w:abstractNumId w:val="4"/>
  </w:num>
  <w:num w:numId="4" w16cid:durableId="1070273533">
    <w:abstractNumId w:val="3"/>
  </w:num>
  <w:num w:numId="5" w16cid:durableId="54547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63B"/>
    <w:rsid w:val="0001387C"/>
    <w:rsid w:val="000856F6"/>
    <w:rsid w:val="000D67BB"/>
    <w:rsid w:val="002376C7"/>
    <w:rsid w:val="00503F9F"/>
    <w:rsid w:val="0065638C"/>
    <w:rsid w:val="00707AAA"/>
    <w:rsid w:val="00715695"/>
    <w:rsid w:val="00787C45"/>
    <w:rsid w:val="007F0271"/>
    <w:rsid w:val="00875D13"/>
    <w:rsid w:val="008E16A7"/>
    <w:rsid w:val="00A14DB6"/>
    <w:rsid w:val="00BA15DA"/>
    <w:rsid w:val="00D52473"/>
    <w:rsid w:val="00DA7AF7"/>
    <w:rsid w:val="00DE2FCA"/>
    <w:rsid w:val="00EC2DC3"/>
    <w:rsid w:val="00F2163B"/>
    <w:rsid w:val="00F818D5"/>
    <w:rsid w:val="00F94963"/>
    <w:rsid w:val="00F97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9177D8"/>
  <w15:docId w15:val="{BD6C60E9-C101-474D-8973-BA76FB48C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63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E63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836"/>
    <w:rPr>
      <w:rFonts w:eastAsiaTheme="majorEastAsia" w:cstheme="majorBidi"/>
      <w:color w:val="272727" w:themeColor="text1" w:themeTint="D8"/>
    </w:rPr>
  </w:style>
  <w:style w:type="character" w:customStyle="1" w:styleId="TitleChar">
    <w:name w:val="Title Char"/>
    <w:basedOn w:val="DefaultParagraphFont"/>
    <w:link w:val="Title"/>
    <w:uiPriority w:val="10"/>
    <w:rsid w:val="00E6383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63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836"/>
    <w:pPr>
      <w:spacing w:before="160"/>
      <w:jc w:val="center"/>
    </w:pPr>
    <w:rPr>
      <w:i/>
      <w:iCs/>
      <w:color w:val="404040" w:themeColor="text1" w:themeTint="BF"/>
    </w:rPr>
  </w:style>
  <w:style w:type="character" w:customStyle="1" w:styleId="QuoteChar">
    <w:name w:val="Quote Char"/>
    <w:basedOn w:val="DefaultParagraphFont"/>
    <w:link w:val="Quote"/>
    <w:uiPriority w:val="29"/>
    <w:rsid w:val="00E63836"/>
    <w:rPr>
      <w:i/>
      <w:iCs/>
      <w:color w:val="404040" w:themeColor="text1" w:themeTint="BF"/>
    </w:rPr>
  </w:style>
  <w:style w:type="paragraph" w:styleId="ListParagraph">
    <w:name w:val="List Paragraph"/>
    <w:basedOn w:val="Normal"/>
    <w:uiPriority w:val="34"/>
    <w:qFormat/>
    <w:rsid w:val="00E63836"/>
    <w:pPr>
      <w:ind w:left="720"/>
      <w:contextualSpacing/>
    </w:pPr>
  </w:style>
  <w:style w:type="character" w:styleId="IntenseEmphasis">
    <w:name w:val="Intense Emphasis"/>
    <w:basedOn w:val="DefaultParagraphFont"/>
    <w:uiPriority w:val="21"/>
    <w:qFormat/>
    <w:rsid w:val="00E63836"/>
    <w:rPr>
      <w:i/>
      <w:iCs/>
      <w:color w:val="0F4761" w:themeColor="accent1" w:themeShade="BF"/>
    </w:rPr>
  </w:style>
  <w:style w:type="paragraph" w:styleId="IntenseQuote">
    <w:name w:val="Intense Quote"/>
    <w:basedOn w:val="Normal"/>
    <w:next w:val="Normal"/>
    <w:link w:val="IntenseQuoteChar"/>
    <w:uiPriority w:val="30"/>
    <w:qFormat/>
    <w:rsid w:val="00E63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836"/>
    <w:rPr>
      <w:i/>
      <w:iCs/>
      <w:color w:val="0F4761" w:themeColor="accent1" w:themeShade="BF"/>
    </w:rPr>
  </w:style>
  <w:style w:type="character" w:styleId="IntenseReference">
    <w:name w:val="Intense Reference"/>
    <w:basedOn w:val="DefaultParagraphFont"/>
    <w:uiPriority w:val="32"/>
    <w:qFormat/>
    <w:rsid w:val="00E63836"/>
    <w:rPr>
      <w:b/>
      <w:bCs/>
      <w:smallCaps/>
      <w:color w:val="0F4761" w:themeColor="accent1" w:themeShade="BF"/>
      <w:spacing w:val="5"/>
    </w:rPr>
  </w:style>
  <w:style w:type="paragraph" w:customStyle="1" w:styleId="p1">
    <w:name w:val="p1"/>
    <w:basedOn w:val="Normal"/>
    <w:rsid w:val="00E63836"/>
    <w:pPr>
      <w:spacing w:after="0" w:line="240" w:lineRule="auto"/>
    </w:pPr>
    <w:rPr>
      <w:rFonts w:ascii="Helvetica" w:eastAsia="Times New Roman" w:hAnsi="Helvetica" w:cs="Times New Roman"/>
      <w:color w:val="000000"/>
      <w:sz w:val="17"/>
      <w:szCs w:val="17"/>
    </w:rPr>
  </w:style>
  <w:style w:type="paragraph" w:customStyle="1" w:styleId="p2">
    <w:name w:val="p2"/>
    <w:basedOn w:val="Normal"/>
    <w:rsid w:val="00E63836"/>
    <w:pPr>
      <w:spacing w:after="0" w:line="240" w:lineRule="auto"/>
    </w:pPr>
    <w:rPr>
      <w:rFonts w:ascii="Times New Roman" w:eastAsia="Times New Roman" w:hAnsi="Times New Roman" w:cs="Times New Roman"/>
      <w:color w:val="000000"/>
      <w:sz w:val="20"/>
      <w:szCs w:val="20"/>
    </w:rPr>
  </w:style>
  <w:style w:type="paragraph" w:customStyle="1" w:styleId="p3">
    <w:name w:val="p3"/>
    <w:basedOn w:val="Normal"/>
    <w:rsid w:val="00E63836"/>
    <w:pPr>
      <w:spacing w:after="0" w:line="240" w:lineRule="auto"/>
    </w:pPr>
    <w:rPr>
      <w:rFonts w:ascii="Times New Roman" w:eastAsia="Times New Roman" w:hAnsi="Times New Roman" w:cs="Times New Roman"/>
      <w:color w:val="000000"/>
      <w:sz w:val="18"/>
      <w:szCs w:val="18"/>
    </w:rPr>
  </w:style>
  <w:style w:type="character" w:styleId="FootnoteReference">
    <w:name w:val="footnote reference"/>
    <w:aliases w:val="o,fr,Style 13,Style 12,Style 15,Style 17,Style 9,o1,fr1,o2,fr2,o3,fr3,Style 18,(NECG) Footnote Reference,Style 20,Style 7,Style 8,Style 19,Style 28,Style 11,Style 16,Styl,Footnote Reference (EIS),fnr,Footnote reference (EA),Style 30,."/>
    <w:basedOn w:val="DefaultParagraphFont"/>
    <w:unhideWhenUsed/>
    <w:qFormat/>
    <w:rsid w:val="00E63836"/>
    <w:rPr>
      <w:vertAlign w:val="superscript"/>
    </w:rPr>
  </w:style>
  <w:style w:type="character" w:styleId="Hyperlink">
    <w:name w:val="Hyperlink"/>
    <w:basedOn w:val="DefaultParagraphFont"/>
    <w:uiPriority w:val="99"/>
    <w:unhideWhenUsed/>
    <w:rsid w:val="00E63836"/>
    <w:rPr>
      <w:color w:val="467886" w:themeColor="hyperlink"/>
      <w:u w:val="single"/>
    </w:rPr>
  </w:style>
  <w:style w:type="character" w:styleId="CommentReference">
    <w:name w:val="annotation reference"/>
    <w:basedOn w:val="DefaultParagraphFont"/>
    <w:uiPriority w:val="99"/>
    <w:semiHidden/>
    <w:unhideWhenUsed/>
    <w:rsid w:val="006A1713"/>
    <w:rPr>
      <w:sz w:val="16"/>
      <w:szCs w:val="16"/>
    </w:rPr>
  </w:style>
  <w:style w:type="paragraph" w:styleId="CommentText">
    <w:name w:val="annotation text"/>
    <w:basedOn w:val="Normal"/>
    <w:link w:val="CommentTextChar"/>
    <w:uiPriority w:val="99"/>
    <w:unhideWhenUsed/>
    <w:rsid w:val="006A1713"/>
    <w:pPr>
      <w:spacing w:line="240" w:lineRule="auto"/>
    </w:pPr>
    <w:rPr>
      <w:sz w:val="20"/>
      <w:szCs w:val="20"/>
    </w:rPr>
  </w:style>
  <w:style w:type="character" w:customStyle="1" w:styleId="CommentTextChar">
    <w:name w:val="Comment Text Char"/>
    <w:basedOn w:val="DefaultParagraphFont"/>
    <w:link w:val="CommentText"/>
    <w:uiPriority w:val="99"/>
    <w:rsid w:val="006A1713"/>
    <w:rPr>
      <w:sz w:val="20"/>
      <w:szCs w:val="20"/>
    </w:rPr>
  </w:style>
  <w:style w:type="paragraph" w:styleId="CommentSubject">
    <w:name w:val="annotation subject"/>
    <w:basedOn w:val="CommentText"/>
    <w:next w:val="CommentText"/>
    <w:link w:val="CommentSubjectChar"/>
    <w:uiPriority w:val="99"/>
    <w:semiHidden/>
    <w:unhideWhenUsed/>
    <w:rsid w:val="006A1713"/>
    <w:rPr>
      <w:b/>
      <w:bCs/>
    </w:rPr>
  </w:style>
  <w:style w:type="character" w:customStyle="1" w:styleId="CommentSubjectChar">
    <w:name w:val="Comment Subject Char"/>
    <w:basedOn w:val="CommentTextChar"/>
    <w:link w:val="CommentSubject"/>
    <w:uiPriority w:val="99"/>
    <w:semiHidden/>
    <w:rsid w:val="006A1713"/>
    <w:rPr>
      <w:b/>
      <w:bCs/>
      <w:sz w:val="20"/>
      <w:szCs w:val="20"/>
    </w:rPr>
  </w:style>
  <w:style w:type="paragraph" w:styleId="Revision">
    <w:name w:val="Revision"/>
    <w:hidden/>
    <w:uiPriority w:val="99"/>
    <w:semiHidden/>
    <w:rsid w:val="00E75A4E"/>
    <w:pPr>
      <w:spacing w:after="0" w:line="240" w:lineRule="auto"/>
    </w:pPr>
  </w:style>
  <w:style w:type="paragraph" w:styleId="Footer">
    <w:name w:val="footer"/>
    <w:basedOn w:val="Normal"/>
    <w:link w:val="FooterChar"/>
    <w:uiPriority w:val="99"/>
    <w:unhideWhenUsed/>
    <w:rsid w:val="00E726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6F2"/>
  </w:style>
  <w:style w:type="character" w:styleId="PageNumber">
    <w:name w:val="page number"/>
    <w:basedOn w:val="DefaultParagraphFont"/>
    <w:uiPriority w:val="99"/>
    <w:semiHidden/>
    <w:unhideWhenUsed/>
    <w:rsid w:val="00E726F2"/>
  </w:style>
  <w:style w:type="paragraph" w:styleId="Header">
    <w:name w:val="header"/>
    <w:basedOn w:val="Normal"/>
    <w:link w:val="HeaderChar"/>
    <w:uiPriority w:val="99"/>
    <w:unhideWhenUsed/>
    <w:rsid w:val="00E726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6F2"/>
  </w:style>
  <w:style w:type="character" w:styleId="Mention">
    <w:name w:val="Mention"/>
    <w:basedOn w:val="DefaultParagraphFont"/>
    <w:uiPriority w:val="99"/>
    <w:unhideWhenUsed/>
    <w:rsid w:val="00D52CE4"/>
    <w:rPr>
      <w:color w:val="2B579A"/>
      <w:shd w:val="clear" w:color="auto" w:fill="E1DFDD"/>
    </w:rPr>
  </w:style>
  <w:style w:type="paragraph" w:styleId="FootnoteText">
    <w:name w:val="footnote text"/>
    <w:basedOn w:val="Normal"/>
    <w:link w:val="FootnoteTextChar"/>
    <w:uiPriority w:val="99"/>
    <w:semiHidden/>
    <w:unhideWhenUsed/>
    <w:rsid w:val="00296B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6BA4"/>
    <w:rPr>
      <w:sz w:val="20"/>
      <w:szCs w:val="20"/>
    </w:rPr>
  </w:style>
  <w:style w:type="character" w:styleId="UnresolvedMention">
    <w:name w:val="Unresolved Mention"/>
    <w:basedOn w:val="DefaultParagraphFont"/>
    <w:uiPriority w:val="99"/>
    <w:semiHidden/>
    <w:unhideWhenUsed/>
    <w:rsid w:val="0019688D"/>
    <w:rPr>
      <w:color w:val="605E5C"/>
      <w:shd w:val="clear" w:color="auto" w:fill="E1DFDD"/>
    </w:rPr>
  </w:style>
  <w:style w:type="character" w:styleId="FollowedHyperlink">
    <w:name w:val="FollowedHyperlink"/>
    <w:basedOn w:val="DefaultParagraphFont"/>
    <w:uiPriority w:val="99"/>
    <w:semiHidden/>
    <w:unhideWhenUsed/>
    <w:rsid w:val="00521057"/>
    <w:rPr>
      <w:color w:val="96607D" w:themeColor="followedHyperlink"/>
      <w:u w:val="single"/>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1" Type="http://schemas.openxmlformats.org/officeDocument/2006/relationships/hyperlink" Target="https://www.monitoringanalytics.com/reports/PJM_State_of_the_Market/2025/2025q3-som-pj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s1Lc/tySTYWFyC8mAeH98Ywh6Q==">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3251</Words>
  <Characters>20748</Characters>
  <Application>Microsoft Office Word</Application>
  <DocSecurity>0</DocSecurity>
  <Lines>364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Lobel</dc:creator>
  <cp:lastModifiedBy>Nathan Lobel</cp:lastModifiedBy>
  <cp:revision>10</cp:revision>
  <dcterms:created xsi:type="dcterms:W3CDTF">2025-11-20T18:42:00Z</dcterms:created>
  <dcterms:modified xsi:type="dcterms:W3CDTF">2025-11-20T19:32:00Z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0x0101002948B0F9D9C8DF498D915A7350D47F14</vt:lpwstr>
  </property>
  <property fmtid="{D5CDD505-2E9C-101B-9397-08002B2CF9AE}" pid="3" name="MediaServiceImageTags">
    <vt:lpwstr/>
  </property>
  <property fmtid="{D5CDD505-2E9C-101B-9397-08002B2CF9AE}" pid="4" name="docLang">
    <vt:lpwstr>en</vt:lpwstr>
  </property>
</Properties>
</file>