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25C3" w:rsidRDefault="00000000">
      <w:pPr>
        <w:ind w:firstLine="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UNITED STATES OF AMERICA </w:t>
      </w:r>
    </w:p>
    <w:p w14:paraId="00000002" w14:textId="77777777" w:rsidR="000125C3" w:rsidRDefault="00000000">
      <w:pPr>
        <w:ind w:firstLine="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BEFORE THE </w:t>
      </w:r>
    </w:p>
    <w:p w14:paraId="00000003" w14:textId="77777777" w:rsidR="000125C3" w:rsidRDefault="00000000">
      <w:pPr>
        <w:ind w:firstLine="36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6"/>
          <w:szCs w:val="26"/>
        </w:rPr>
        <w:t>FEDERAL ENERGY REGULATORY COMMISSION</w:t>
      </w:r>
      <w:r>
        <w:rPr>
          <w:rFonts w:ascii="Times New Roman" w:eastAsia="Times New Roman" w:hAnsi="Times New Roman" w:cs="Times New Roman"/>
          <w:b/>
          <w:bCs/>
          <w:sz w:val="36"/>
          <w:szCs w:val="36"/>
        </w:rPr>
        <w:t xml:space="preserve"> </w:t>
      </w:r>
    </w:p>
    <w:p w14:paraId="00000004" w14:textId="77777777" w:rsidR="000125C3" w:rsidRDefault="000125C3">
      <w:pPr>
        <w:rPr>
          <w:rFonts w:ascii="Times New Roman" w:eastAsia="Times New Roman" w:hAnsi="Times New Roman" w:cs="Times New Roman"/>
          <w:b/>
          <w:bCs/>
          <w:sz w:val="36"/>
          <w:szCs w:val="36"/>
        </w:rPr>
      </w:pPr>
    </w:p>
    <w:p w14:paraId="00000005" w14:textId="77777777" w:rsidR="000125C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Interconnection of Large Loads to the      </w:t>
      </w:r>
      <w:proofErr w:type="gramStart"/>
      <w:r>
        <w:rPr>
          <w:rFonts w:ascii="Times New Roman" w:eastAsia="Times New Roman" w:hAnsi="Times New Roman" w:cs="Times New Roman"/>
          <w:b/>
          <w:bCs/>
          <w:sz w:val="26"/>
          <w:szCs w:val="26"/>
        </w:rPr>
        <w:t xml:space="preserve">  )</w:t>
      </w:r>
      <w:proofErr w:type="gramEnd"/>
      <w:r>
        <w:rPr>
          <w:rFonts w:ascii="Times New Roman" w:eastAsia="Times New Roman" w:hAnsi="Times New Roman" w:cs="Times New Roman"/>
          <w:b/>
          <w:bCs/>
          <w:sz w:val="26"/>
          <w:szCs w:val="26"/>
        </w:rPr>
        <w:t xml:space="preserve">                            Docket No. RM26-4-000</w:t>
      </w:r>
    </w:p>
    <w:p w14:paraId="00000006" w14:textId="77777777" w:rsidR="000125C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Interstate Transmission System                 </w:t>
      </w:r>
      <w:proofErr w:type="gramStart"/>
      <w:r>
        <w:rPr>
          <w:rFonts w:ascii="Times New Roman" w:eastAsia="Times New Roman" w:hAnsi="Times New Roman" w:cs="Times New Roman"/>
          <w:b/>
          <w:bCs/>
          <w:sz w:val="26"/>
          <w:szCs w:val="26"/>
        </w:rPr>
        <w:t xml:space="preserve">  )</w:t>
      </w:r>
      <w:proofErr w:type="gramEnd"/>
      <w:r>
        <w:rPr>
          <w:rFonts w:ascii="Times New Roman" w:eastAsia="Times New Roman" w:hAnsi="Times New Roman" w:cs="Times New Roman"/>
          <w:b/>
          <w:bCs/>
          <w:sz w:val="26"/>
          <w:szCs w:val="26"/>
        </w:rPr>
        <w:t xml:space="preserve"> </w:t>
      </w:r>
    </w:p>
    <w:p w14:paraId="00000007" w14:textId="77777777" w:rsidR="000125C3" w:rsidRDefault="000125C3">
      <w:pPr>
        <w:ind w:firstLine="360"/>
        <w:rPr>
          <w:rFonts w:ascii="Times New Roman" w:eastAsia="Times New Roman" w:hAnsi="Times New Roman" w:cs="Times New Roman"/>
          <w:b/>
          <w:bCs/>
          <w:sz w:val="30"/>
          <w:szCs w:val="30"/>
        </w:rPr>
      </w:pPr>
    </w:p>
    <w:p w14:paraId="00000008" w14:textId="77777777" w:rsidR="000125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21st, 2025</w:t>
      </w:r>
    </w:p>
    <w:p w14:paraId="00000009" w14:textId="77777777" w:rsidR="000125C3" w:rsidRDefault="000125C3">
      <w:pPr>
        <w:rPr>
          <w:rFonts w:ascii="Times New Roman" w:eastAsia="Times New Roman" w:hAnsi="Times New Roman" w:cs="Times New Roman"/>
          <w:sz w:val="24"/>
          <w:szCs w:val="24"/>
        </w:rPr>
      </w:pPr>
    </w:p>
    <w:p w14:paraId="0000000A" w14:textId="77777777" w:rsidR="000125C3" w:rsidRDefault="00000000">
      <w:pPr>
        <w:ind w:firstLine="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rPr>
        <w:t xml:space="preserve">COMMENTS OF ETX UPSTREAM, LLC </w:t>
      </w:r>
    </w:p>
    <w:p w14:paraId="0000000B" w14:textId="77777777" w:rsidR="000125C3" w:rsidRDefault="000125C3">
      <w:pPr>
        <w:spacing w:line="480" w:lineRule="auto"/>
        <w:rPr>
          <w:rFonts w:ascii="Times New Roman" w:eastAsia="Times New Roman" w:hAnsi="Times New Roman" w:cs="Times New Roman"/>
          <w:b/>
          <w:bCs/>
          <w:sz w:val="24"/>
          <w:szCs w:val="24"/>
          <w:u w:val="single"/>
        </w:rPr>
      </w:pPr>
    </w:p>
    <w:p w14:paraId="0000000C" w14:textId="77777777" w:rsidR="000125C3"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 ABOUT ETX</w:t>
      </w:r>
    </w:p>
    <w:p w14:paraId="0000000D"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ETX Upstream, LLC (“ETX”) is powering the United States’ energy dominance with its proven Upstream Playbook and </w:t>
      </w:r>
      <w:proofErr w:type="spellStart"/>
      <w:r>
        <w:rPr>
          <w:rFonts w:ascii="Times New Roman" w:eastAsia="Times New Roman" w:hAnsi="Times New Roman" w:cs="Times New Roman"/>
          <w:sz w:val="24"/>
          <w:szCs w:val="24"/>
        </w:rPr>
        <w:t>LandCommand</w:t>
      </w:r>
      <w:proofErr w:type="spellEnd"/>
      <w:r>
        <w:rPr>
          <w:rFonts w:ascii="Times New Roman" w:eastAsia="Times New Roman" w:hAnsi="Times New Roman" w:cs="Times New Roman"/>
          <w:sz w:val="24"/>
          <w:szCs w:val="24"/>
        </w:rPr>
        <w:t xml:space="preserve">® Platform. ETX </w:t>
      </w:r>
      <w:proofErr w:type="gramStart"/>
      <w:r>
        <w:rPr>
          <w:rFonts w:ascii="Times New Roman" w:eastAsia="Times New Roman" w:hAnsi="Times New Roman" w:cs="Times New Roman"/>
          <w:sz w:val="24"/>
          <w:szCs w:val="24"/>
        </w:rPr>
        <w:t>sources,</w:t>
      </w:r>
      <w:proofErr w:type="gramEnd"/>
      <w:r>
        <w:rPr>
          <w:rFonts w:ascii="Times New Roman" w:eastAsia="Times New Roman" w:hAnsi="Times New Roman" w:cs="Times New Roman"/>
          <w:sz w:val="24"/>
          <w:szCs w:val="24"/>
        </w:rPr>
        <w:t xml:space="preserve"> invests in and manages differentiated real estate and infrastructure projects that convert natural resources into essential products and services.</w:t>
      </w:r>
    </w:p>
    <w:p w14:paraId="0000000E"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ETX appreciates the opportunity to comment on this proposed </w:t>
      </w:r>
      <w:proofErr w:type="spellStart"/>
      <w:r>
        <w:rPr>
          <w:rFonts w:ascii="Times New Roman" w:eastAsia="Times New Roman" w:hAnsi="Times New Roman" w:cs="Times New Roman"/>
          <w:sz w:val="24"/>
          <w:szCs w:val="24"/>
        </w:rPr>
        <w:t>rule making</w:t>
      </w:r>
      <w:proofErr w:type="spellEnd"/>
      <w:r>
        <w:rPr>
          <w:rFonts w:ascii="Times New Roman" w:eastAsia="Times New Roman" w:hAnsi="Times New Roman" w:cs="Times New Roman"/>
          <w:sz w:val="24"/>
          <w:szCs w:val="24"/>
        </w:rPr>
        <w:t xml:space="preserve"> (the “Docket”). ETX respectfully submits these comments for the consideration of the Commission. </w:t>
      </w:r>
    </w:p>
    <w:p w14:paraId="0000000F" w14:textId="77777777" w:rsidR="000125C3"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II. BACKGROUND</w:t>
      </w:r>
    </w:p>
    <w:p w14:paraId="00000010"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questions posed in Secretary Wright’s letter to the Commission come at a critical point in our nation's energy history. The United States’ “Resource Advantage,” when bottlenecked and backlogged (as it is today), is an over-valued and underutilized asset for our nation’s balance sheet. The Department of Energy and Commission are right to evaluate the Docket, its purpose and principles for maintaining and accelerating U.S. energy dominance.</w:t>
      </w:r>
    </w:p>
    <w:p w14:paraId="00000011"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Fully realizing the United States’ Resource Advantage requires purposeful navigation of regulatory structures and their effects on market forces. Regulatory and procedural certainty are necessary to enable durable investment in new projects and ensure the security of the grid. These </w:t>
      </w:r>
      <w:r>
        <w:rPr>
          <w:rFonts w:ascii="Times New Roman" w:eastAsia="Times New Roman" w:hAnsi="Times New Roman" w:cs="Times New Roman"/>
          <w:sz w:val="24"/>
          <w:szCs w:val="24"/>
        </w:rPr>
        <w:lastRenderedPageBreak/>
        <w:t>regulations must also ensure structures used to ensure grid security do not come at the expense of competition in development or operational markets. A process that achieves the secure interconnection of large loads but fails to enable a competitive marketplace will not achieve the Secretary’s goals.</w:t>
      </w:r>
    </w:p>
    <w:p w14:paraId="00000012" w14:textId="77777777" w:rsidR="000125C3"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III. ETX COMMENTS ON THE DOCKET</w:t>
      </w:r>
    </w:p>
    <w:p w14:paraId="00000013" w14:textId="77777777" w:rsidR="000125C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20 MW threshold is necessary and practical. For Hybrid projects, the Commission should consider both absolute size of the load (greater or equal to the threshold) and the relative size of the load component to the generation component. A threshold lower than 20 MW could be manipulated to gain favorable treatment of oversized (effectively stand-alone) generation resources included in a Hybrid application. As FERC’s jurisdiction is transmission-level facilities, interconnection for loads less than 20 MW at &gt;69 kV above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not applicable to the Docket (nor, likely, cost-effective). A higher threshold (or kV threshold) may be acceptable to better facilitate the Docket’s intent. </w:t>
      </w:r>
    </w:p>
    <w:p w14:paraId="00000014" w14:textId="77777777" w:rsidR="000125C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FERC’s Form LGIP for generation resources is a reasonable pro-forma for graduated/escalating study deposits and readiness requirements for a new load study procedure (“Load Interconnection Study Procedures”), including formulaic mechanisms for refundability of deposits in the early stages of the process. However, the ability to source highly consequential amounts of capital for interconnection is not the barrier to entry it once was, as demonstrated by the congestion we now see in generation interconnection queues across the country. Key considerations for the Load Interconnection Study Procedures include: </w:t>
      </w:r>
    </w:p>
    <w:p w14:paraId="00000015" w14:textId="77777777" w:rsidR="000125C3"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additional and most potent commercial readiness criteria ETX recommends for consideration by the Commission is a Permitting and/or Public Acceptance </w:t>
      </w:r>
      <w:r>
        <w:rPr>
          <w:rFonts w:ascii="Times New Roman" w:eastAsia="Times New Roman" w:hAnsi="Times New Roman" w:cs="Times New Roman"/>
          <w:sz w:val="24"/>
          <w:szCs w:val="24"/>
        </w:rPr>
        <w:lastRenderedPageBreak/>
        <w:t xml:space="preserve">qualification. The right locations for large load and Hybrid projects, with proper community acceptance and buy-in, are much </w:t>
      </w:r>
      <w:proofErr w:type="gramStart"/>
      <w:r>
        <w:rPr>
          <w:rFonts w:ascii="Times New Roman" w:eastAsia="Times New Roman" w:hAnsi="Times New Roman" w:cs="Times New Roman"/>
          <w:sz w:val="24"/>
          <w:szCs w:val="24"/>
        </w:rPr>
        <w:t>more scarce</w:t>
      </w:r>
      <w:proofErr w:type="gramEnd"/>
      <w:r>
        <w:rPr>
          <w:rFonts w:ascii="Times New Roman" w:eastAsia="Times New Roman" w:hAnsi="Times New Roman" w:cs="Times New Roman"/>
          <w:sz w:val="24"/>
          <w:szCs w:val="24"/>
        </w:rPr>
        <w:t xml:space="preserve"> than the capital willing to invest speculatively in them.</w:t>
      </w:r>
    </w:p>
    <w:p w14:paraId="00000016" w14:textId="77777777" w:rsidR="000125C3"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Commission should reject any Load Interconnection Study Procedures that inherently </w:t>
      </w:r>
      <w:proofErr w:type="gramStart"/>
      <w:r>
        <w:rPr>
          <w:rFonts w:ascii="Times New Roman" w:eastAsia="Times New Roman" w:hAnsi="Times New Roman" w:cs="Times New Roman"/>
          <w:sz w:val="24"/>
          <w:szCs w:val="24"/>
        </w:rPr>
        <w:t>rewards</w:t>
      </w:r>
      <w:proofErr w:type="gramEnd"/>
      <w:r>
        <w:rPr>
          <w:rFonts w:ascii="Times New Roman" w:eastAsia="Times New Roman" w:hAnsi="Times New Roman" w:cs="Times New Roman"/>
          <w:sz w:val="24"/>
          <w:szCs w:val="24"/>
        </w:rPr>
        <w:t xml:space="preserve"> certain load/market participants to the detriment of others. Open access to the transmission system must be protected in both statute and practice.</w:t>
      </w:r>
    </w:p>
    <w:p w14:paraId="00000017" w14:textId="77777777" w:rsidR="000125C3"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Load Interconnection Study Procedures should establish expedited pathways for more mature projects that pass greater readiness thresholds and for projects with flexible requirements or capabilities that can limit transmission system impacts. </w:t>
      </w:r>
    </w:p>
    <w:p w14:paraId="00000018" w14:textId="77777777" w:rsidR="000125C3"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Load Interconnection Study Procedures should allow for flexible project sizing amendments based on study results that encourage efficient use of transmission resources, especially for Hybrid and/or co-located projects where parallel load and generation studies will create modeling circularities. Allowing the early phase of study to serve as a “discovery” process for optimal project sizing, within reasonable bounds, will enable the </w:t>
      </w:r>
      <w:proofErr w:type="gramStart"/>
      <w:r>
        <w:rPr>
          <w:rFonts w:ascii="Times New Roman" w:eastAsia="Times New Roman" w:hAnsi="Times New Roman" w:cs="Times New Roman"/>
          <w:sz w:val="24"/>
          <w:szCs w:val="24"/>
        </w:rPr>
        <w:t>right-sizing</w:t>
      </w:r>
      <w:proofErr w:type="gramEnd"/>
      <w:r>
        <w:rPr>
          <w:rFonts w:ascii="Times New Roman" w:eastAsia="Times New Roman" w:hAnsi="Times New Roman" w:cs="Times New Roman"/>
          <w:sz w:val="24"/>
          <w:szCs w:val="24"/>
        </w:rPr>
        <w:t xml:space="preserve"> of candidate projects for time-to-power, grid reliability and cost-effectiveness. </w:t>
      </w:r>
    </w:p>
    <w:p w14:paraId="00000019" w14:textId="77777777" w:rsidR="000125C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Co-located facilities should not be studied based on the “net” amount of injection/withdrawal rights requested – to do so implies the Docket is applicable only to “behind the meter” (“BTM”) co-located </w:t>
      </w:r>
      <w:proofErr w:type="gramStart"/>
      <w:r>
        <w:rPr>
          <w:rFonts w:ascii="Times New Roman" w:eastAsia="Times New Roman" w:hAnsi="Times New Roman" w:cs="Times New Roman"/>
          <w:sz w:val="24"/>
          <w:szCs w:val="24"/>
        </w:rPr>
        <w:t>facilities, and</w:t>
      </w:r>
      <w:proofErr w:type="gramEnd"/>
      <w:r>
        <w:rPr>
          <w:rFonts w:ascii="Times New Roman" w:eastAsia="Times New Roman" w:hAnsi="Times New Roman" w:cs="Times New Roman"/>
          <w:sz w:val="24"/>
          <w:szCs w:val="24"/>
        </w:rPr>
        <w:t xml:space="preserve"> misrepresents the broader potential benefits of co-location. A load with a “front of the meter” (“FTM”), market-facing interconnection co-located with generation with a FTM interconnection, even if </w:t>
      </w:r>
      <w:r>
        <w:rPr>
          <w:rFonts w:ascii="Times New Roman" w:eastAsia="Times New Roman" w:hAnsi="Times New Roman" w:cs="Times New Roman"/>
          <w:sz w:val="24"/>
          <w:szCs w:val="24"/>
        </w:rPr>
        <w:lastRenderedPageBreak/>
        <w:t>commercially distinct and not electrically “netting” injection/withdrawal, may have equal or greater benefits to grid reliability (total network upgrades, resource adequacy, transmission constraints, etc.) than co-located BTM facilities.</w:t>
      </w:r>
    </w:p>
    <w:p w14:paraId="0000001A" w14:textId="77777777" w:rsidR="000125C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 Hybrid and/or co-located load and generation facilities should be responsible for 100% of their network upgrade costs. Especially in the case of Hybrid and/or co-location projects, the justification of co-location is improvement of the technical capacity and opportunity of shared infrastructure. If a project cannot achieve that through lower network upgrade costs, it should not be incentivized to do so with an off-set crediting mechanism.</w:t>
      </w:r>
    </w:p>
    <w:p w14:paraId="0000001B" w14:textId="77777777" w:rsidR="000125C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w:t>
      </w:r>
      <w:proofErr w:type="gramStart"/>
      <w:r>
        <w:rPr>
          <w:rFonts w:ascii="Times New Roman" w:eastAsia="Times New Roman" w:hAnsi="Times New Roman" w:cs="Times New Roman"/>
          <w:sz w:val="24"/>
          <w:szCs w:val="24"/>
        </w:rPr>
        <w:t>build</w:t>
      </w:r>
      <w:proofErr w:type="gramEnd"/>
      <w:r>
        <w:rPr>
          <w:rFonts w:ascii="Times New Roman" w:eastAsia="Times New Roman" w:hAnsi="Times New Roman" w:cs="Times New Roman"/>
          <w:sz w:val="24"/>
          <w:szCs w:val="24"/>
        </w:rPr>
        <w:t xml:space="preserve"> of the interconnection facilities should continue to be an option for projects managed through the Load Interconnection Study Process as it allows the market to optimize for speed and cost, eliminating potential deliverability or cost-inflation bottlenecks. </w:t>
      </w:r>
    </w:p>
    <w:p w14:paraId="0000001C" w14:textId="77777777" w:rsidR="000125C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support resource (“SSR”) and reliability must run (“RMR”) studies should absolutely be considerations for existing generating facilities seeking to enter suspension to accommodate or co-locate load. The cost of studies and any resulting capacity/resource adequacy shortfalls should be borne by the candidate generating facility.</w:t>
      </w:r>
    </w:p>
    <w:p w14:paraId="0000001D" w14:textId="77777777" w:rsidR="000125C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Commission should ensure that, as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final rulemaking, large load projects that have matured through existing state, utility, and/or transmission provider interconnection processes are granted the option to retain their existing service requests. Forced transition of active requests may inadvertently harm the current class of the most actionable large load projects. </w:t>
      </w:r>
    </w:p>
    <w:p w14:paraId="0000001E" w14:textId="77777777" w:rsidR="000125C3" w:rsidRDefault="000125C3">
      <w:pPr>
        <w:spacing w:line="480" w:lineRule="auto"/>
        <w:ind w:firstLine="360"/>
        <w:rPr>
          <w:rFonts w:ascii="Times New Roman" w:eastAsia="Times New Roman" w:hAnsi="Times New Roman" w:cs="Times New Roman"/>
          <w:sz w:val="24"/>
          <w:szCs w:val="24"/>
        </w:rPr>
      </w:pPr>
    </w:p>
    <w:p w14:paraId="0000001F"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ETX thanks the Secretary and Commission for consideration of this important Docket.</w:t>
      </w:r>
    </w:p>
    <w:p w14:paraId="00000020" w14:textId="77777777" w:rsidR="000125C3" w:rsidRDefault="000125C3">
      <w:pPr>
        <w:spacing w:line="480" w:lineRule="auto"/>
        <w:ind w:firstLine="360"/>
        <w:rPr>
          <w:rFonts w:ascii="Times New Roman" w:eastAsia="Times New Roman" w:hAnsi="Times New Roman" w:cs="Times New Roman"/>
          <w:sz w:val="24"/>
          <w:szCs w:val="24"/>
        </w:rPr>
      </w:pPr>
    </w:p>
    <w:p w14:paraId="00000021"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 submitted,</w:t>
      </w:r>
    </w:p>
    <w:p w14:paraId="00000022"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Matt Marino</w:t>
      </w:r>
    </w:p>
    <w:p w14:paraId="00000023"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ETX Upstream LLC</w:t>
      </w:r>
    </w:p>
    <w:p w14:paraId="00000024"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100 Summer St, Suite 1600</w:t>
      </w:r>
    </w:p>
    <w:p w14:paraId="00000025" w14:textId="77777777" w:rsidR="000125C3"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Boston, MA, 02110</w:t>
      </w:r>
    </w:p>
    <w:sectPr w:rsidR="000125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C0972C-4646-4784-B2BD-17089AEF9ED1}"/>
  </w:font>
  <w:font w:name="Cambria">
    <w:panose1 w:val="02040503050406030204"/>
    <w:charset w:val="00"/>
    <w:family w:val="roman"/>
    <w:pitch w:val="variable"/>
    <w:sig w:usb0="E00006FF" w:usb1="420024FF" w:usb2="02000000" w:usb3="00000000" w:csb0="0000019F" w:csb1="00000000"/>
    <w:embedRegular r:id="rId2" w:fontKey="{FD131649-118C-4C3C-8BBE-295FCEE908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21DE0"/>
    <w:multiLevelType w:val="multilevel"/>
    <w:tmpl w:val="DD6C15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891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5C3"/>
    <w:rsid w:val="000125C3"/>
    <w:rsid w:val="001A09C6"/>
    <w:rsid w:val="0058433D"/>
    <w:rsid w:val="00F16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065138-CDF5-4590-B3F7-FBE40C65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Isaac Greenberg</cp:lastModifiedBy>
  <cp:revision>2</cp:revision>
  <dcterms:created xsi:type="dcterms:W3CDTF">2025-11-21T21:38:00Z</dcterms:created>
  <dcterms:modified xsi:type="dcterms:W3CDTF">2025-11-21T21:38:00Z</dcterms:modified>
</cp:coreProperties>
</file>