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8" w:space="6"/>
        </w:pBdr>
        <w:spacing w:after="0"/>
      </w:pPr>
      <w:r>
        <w:rPr>
          <w:b/>
          <w:bCs/>
          <w:color w:val="14283F"/>
          <w:sz w:val="44"/>
          <w:szCs w:val="44"/>
        </w:rPr>
        <w:t xml:space="preserve">BENIGN GYN SURGERY JOURNAL CLUB</w:t>
      </w:r>
    </w:p>
    <w:p>
      <w:pPr>
        <w:pBdr>
          <w:bottom w:val="single" w:color="4E7CA8" w:sz="12" w:space="4"/>
        </w:pBdr>
        <w:spacing w:after="20" w:before="80"/>
      </w:pPr>
      <w:r>
        <w:rPr>
          <w:b/>
          <w:bCs/>
          <w:color w:val="1A1A1A"/>
          <w:sz w:val="24"/>
          <w:szCs w:val="24"/>
        </w:rPr>
        <w:t xml:space="preserve">An independent monthly journal club for gynecologists</w:t>
      </w:r>
    </w:p>
    <w:p>
      <w:pPr>
        <w:spacing w:after="40"/>
      </w:pPr>
      <w:r>
        <w:rPr>
          <w:color w:val="5A5A5A"/>
          <w:sz w:val="18"/>
          <w:szCs w:val="18"/>
        </w:rPr>
        <w:t xml:space="preserve">Issue · Friday, June 27, 2026   |   Sources as of 2026-06-27   |   For gynecologists</w:t>
      </w:r>
    </w:p>
    <w:p>
      <w:pPr>
        <w:spacing w:after="160"/>
      </w:pPr>
      <w:r>
        <w:rPr>
          <w:b/>
          <w:bCs/>
          <w:color w:val="14283F"/>
          <w:sz w:val="19"/>
          <w:szCs w:val="19"/>
        </w:rPr>
        <w:t xml:space="preserve">Compiled &amp; distributed by Pooja Uppalapati, MD, 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EEF2F8" w:val="clear"/>
            <w:tcMar>
              <w:top w:type="dxa" w:w="100"/>
              <w:left w:type="dxa" w:w="160"/>
              <w:bottom w:type="dxa" w:w="100"/>
              <w:right w:type="dxa" w:w="160"/>
            </w:tcMar>
          </w:tcPr>
          <w:p>
            <w:r>
              <w:rPr>
                <w:color w:val="1A1A1A"/>
                <w:sz w:val="20"/>
                <w:szCs w:val="20"/>
              </w:rPr>
              <w:t xml:space="preserve">A clinical digest on benign gynecologic surgery for gynecologists. Each issue distills practice-relevant minimally invasive and reconstructive GYN surgery — and the medical management that competes with it — across hysterectomy, endometriosis, fibroids, prolapse and urogynecology, drawing on US and European sources, with space after every article for your own notes and group discussion.</w:t>
            </w:r>
          </w:p>
        </w:tc>
      </w:tr>
    </w:tbl>
    <w:p>
      <w:pPr>
        <w:spacing w:after="60"/>
      </w:pPr>
    </w:p>
    <w:p>
      <w:pPr>
        <w:spacing w:after="60"/>
      </w:pPr>
      <w:r>
        <w:rPr>
          <w:b/>
          <w:bCs/>
          <w:color w:val="14283F"/>
          <w:sz w:val="19"/>
          <w:szCs w:val="19"/>
        </w:rPr>
        <w:t xml:space="preserve">Journal access &amp; resources:  </w:t>
      </w:r>
      <w:hyperlink w:history="1" r:id="rIdmxsy08zjwdq_hz0hnir16">
        <w:r>
          <w:rPr>
            <w:rStyle w:val="Hyperlink"/>
            <w:sz w:val="19"/>
            <w:szCs w:val="19"/>
          </w:rPr>
          <w:t xml:space="preserve">JMIG</w:t>
        </w:r>
      </w:hyperlink>
      <w:r>
        <w:rPr>
          <w:color w:val="5A5A5A"/>
          <w:sz w:val="19"/>
          <w:szCs w:val="19"/>
        </w:rPr>
        <w:t xml:space="preserve">   ·   </w:t>
      </w:r>
      <w:hyperlink w:history="1" r:id="rId6i-1uua6xmmrnplwviif6">
        <w:r>
          <w:rPr>
            <w:rStyle w:val="Hyperlink"/>
            <w:sz w:val="19"/>
            <w:szCs w:val="19"/>
          </w:rPr>
          <w:t xml:space="preserve">AAGL</w:t>
        </w:r>
      </w:hyperlink>
      <w:r>
        <w:rPr>
          <w:color w:val="5A5A5A"/>
          <w:sz w:val="19"/>
          <w:szCs w:val="19"/>
        </w:rPr>
        <w:t xml:space="preserve">   ·   </w:t>
      </w:r>
      <w:hyperlink w:history="1" r:id="rIdekgabszeppucuoufbmxwi">
        <w:r>
          <w:rPr>
            <w:rStyle w:val="Hyperlink"/>
            <w:sz w:val="19"/>
            <w:szCs w:val="19"/>
          </w:rPr>
          <w:t xml:space="preserve">BSGE (UK)</w:t>
        </w:r>
      </w:hyperlink>
      <w:r>
        <w:rPr>
          <w:color w:val="5A5A5A"/>
          <w:sz w:val="19"/>
          <w:szCs w:val="19"/>
        </w:rPr>
        <w:t xml:space="preserve">   ·   </w:t>
      </w:r>
      <w:hyperlink w:history="1" r:id="rIdbp2zvrvqvpf_hynmo_prn">
        <w:r>
          <w:rPr>
            <w:rStyle w:val="Hyperlink"/>
            <w:sz w:val="19"/>
            <w:szCs w:val="19"/>
          </w:rPr>
          <w:t xml:space="preserve">Obstetrics &amp; Gynecology (Green)</w:t>
        </w:r>
      </w:hyperlink>
      <w:r>
        <w:rPr>
          <w:color w:val="5A5A5A"/>
          <w:sz w:val="19"/>
          <w:szCs w:val="19"/>
        </w:rPr>
        <w:t xml:space="preserve">   ·   </w:t>
      </w:r>
      <w:hyperlink w:history="1" r:id="rIdmpwvx-yhrcqj7jvobpg6j">
        <w:r>
          <w:rPr>
            <w:rStyle w:val="Hyperlink"/>
            <w:sz w:val="19"/>
            <w:szCs w:val="19"/>
          </w:rPr>
          <w:t xml:space="preserve">AJOG (Gray)</w:t>
        </w:r>
      </w:hyperlink>
      <w:r>
        <w:rPr>
          <w:color w:val="5A5A5A"/>
          <w:sz w:val="19"/>
          <w:szCs w:val="19"/>
        </w:rPr>
        <w:t xml:space="preserve">   ·   </w:t>
      </w:r>
      <w:hyperlink w:history="1" r:id="rIdfrktlww8qtmvoybxspxa9">
        <w:r>
          <w:rPr>
            <w:rStyle w:val="Hyperlink"/>
            <w:sz w:val="19"/>
            <w:szCs w:val="19"/>
          </w:rPr>
          <w:t xml:space="preserve">BJOG</w:t>
        </w:r>
      </w:hyperlink>
      <w:r>
        <w:rPr>
          <w:color w:val="5A5A5A"/>
          <w:sz w:val="19"/>
          <w:szCs w:val="19"/>
        </w:rPr>
        <w:t xml:space="preserve">   ·   </w:t>
      </w:r>
      <w:hyperlink w:history="1" r:id="rIdp-mqdsnait6ex0ccc33ng">
        <w:r>
          <w:rPr>
            <w:rStyle w:val="Hyperlink"/>
            <w:sz w:val="19"/>
            <w:szCs w:val="19"/>
          </w:rPr>
          <w:t xml:space="preserve">Int Urogynecology Journal</w:t>
        </w:r>
      </w:hyperlink>
      <w:r>
        <w:rPr>
          <w:color w:val="5A5A5A"/>
          <w:sz w:val="19"/>
          <w:szCs w:val="19"/>
        </w:rPr>
        <w:t xml:space="preserve">   ·   </w:t>
      </w:r>
      <w:hyperlink w:history="1" r:id="rIdtyj1nv5saoajhifuy6gik">
        <w:r>
          <w:rPr>
            <w:rStyle w:val="Hyperlink"/>
            <w:sz w:val="19"/>
            <w:szCs w:val="19"/>
          </w:rPr>
          <w:t xml:space="preserve">Eur J Obstet Gynecol (EJOG)</w:t>
        </w:r>
      </w:hyperlink>
      <w:r>
        <w:rPr>
          <w:color w:val="5A5A5A"/>
          <w:sz w:val="19"/>
          <w:szCs w:val="19"/>
        </w:rPr>
        <w:t xml:space="preserve">   ·   </w:t>
      </w:r>
      <w:hyperlink w:history="1" r:id="rIddyw0dsve7b4rg3o3r7n0u">
        <w:r>
          <w:rPr>
            <w:rStyle w:val="Hyperlink"/>
            <w:sz w:val="19"/>
            <w:szCs w:val="19"/>
          </w:rPr>
          <w:t xml:space="preserve">JAMA Surgery</w:t>
        </w:r>
      </w:hyperlink>
      <w:r>
        <w:rPr>
          <w:color w:val="5A5A5A"/>
          <w:sz w:val="19"/>
          <w:szCs w:val="19"/>
        </w:rPr>
        <w:t xml:space="preserve">   ·   </w:t>
      </w:r>
      <w:hyperlink w:history="1" r:id="rIdmkz8ya68zd5cjj1-b8qft">
        <w:r>
          <w:rPr>
            <w:rStyle w:val="Hyperlink"/>
            <w:sz w:val="19"/>
            <w:szCs w:val="19"/>
          </w:rPr>
          <w:t xml:space="preserve">AAFP / Am Fam Physician</w:t>
        </w:r>
      </w:hyperlink>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60"/>
              <w:left w:type="dxa" w:w="160"/>
              <w:bottom w:type="dxa" w:w="60"/>
              <w:right w:type="dxa" w:w="160"/>
            </w:tcMar>
          </w:tcPr>
          <w:p>
            <w:r>
              <w:rPr>
                <w:b/>
                <w:bCs/>
                <w:caps/>
                <w:color w:val="FFFFFF"/>
                <w:sz w:val="22"/>
                <w:szCs w:val="22"/>
              </w:rPr>
              <w:t xml:space="preserve">The Lead Story · Big-Picture Trend</w:t>
            </w:r>
          </w:p>
        </w:tc>
      </w:tr>
    </w:tbl>
    <w:p>
      <w:pPr>
        <w:spacing w:after="60"/>
      </w:pPr>
    </w:p>
    <w:p>
      <w:pPr>
        <w:spacing w:after="80"/>
      </w:pPr>
      <w:r>
        <w:rPr>
          <w:b/>
          <w:bCs/>
          <w:color w:val="14283F"/>
          <w:sz w:val="28"/>
          <w:szCs w:val="28"/>
        </w:rPr>
        <w:t xml:space="preserve">Outpatient by default: ERAS plus minimally invasive routes make same-day discharge the benchmark for benign hysterectomy</w:t>
      </w:r>
    </w:p>
    <w:p>
      <w:pPr>
        <w:spacing w:after="80"/>
      </w:pPr>
      <w:r>
        <w:rPr>
          <w:color w:val="1A1A1A"/>
          <w:sz w:val="21"/>
          <w:szCs w:val="21"/>
        </w:rPr>
        <w:t xml:space="preserve">Benign hysterectomy is one of the most common operations in women’s health, and its standard of care has shifted decisively to ambulatory, minimally invasive surgery on an enhanced-recovery (ERAS) pathway. The 2026 ERAS Society update and a growing body of same-day-discharge evidence converge on a target of roughly 90% same-day discharge for benign minimally invasive cases — without higher complication or readmission rates — by omitting bowel prep and routine voiding trials, using multimodal opioid-sparing analgesia, and selecting patients deliberately. New route options (vNOTES) and technique refinements (intracorporeal cuff closure) widen who qualifies.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EEF2F8" w:val="clear"/>
            <w:tcMar>
              <w:top w:type="dxa" w:w="100"/>
              <w:left w:type="dxa" w:w="160"/>
              <w:bottom w:type="dxa" w:w="100"/>
              <w:right w:type="dxa" w:w="160"/>
            </w:tcMar>
          </w:tcPr>
          <w:p>
            <w:r>
              <w:rPr>
                <w:b/>
                <w:bCs/>
                <w:color w:val="14283F"/>
                <w:sz w:val="21"/>
                <w:szCs w:val="21"/>
              </w:rPr>
              <w:t xml:space="preserve">Why it matters at the bedside:  </w:t>
            </w:r>
            <w:r>
              <w:rPr>
                <w:color w:val="1A1A1A"/>
                <w:sz w:val="21"/>
                <w:szCs w:val="21"/>
              </w:rPr>
              <w:t xml:space="preserve">the rate-limiting steps are now operational, not surgical: an ERAS order set, a PACU discharge protocol, patient education, and a next-day phone-call safety net. Build those and same-day discharge becomes routine rather than exceptional — shorter stays, lower cost, equal safety. Watch the levers that still gate it: late OR start, longer operative time, and specific comorbidities (which the data flag as the real predictors of failed same-day discharge).</w:t>
            </w:r>
          </w:p>
        </w:tc>
      </w:tr>
    </w:tbl>
    <w:p>
      <w:pPr>
        <w:spacing w:after="0" w:before="40"/>
      </w:pPr>
      <w:r>
        <w:rPr>
          <w:b/>
          <w:bCs/>
          <w:color w:val="5A5A5A"/>
          <w:sz w:val="17"/>
          <w:szCs w:val="17"/>
        </w:rPr>
        <w:t xml:space="preserve">Source: </w:t>
      </w:r>
      <w:hyperlink w:history="1" r:id="rIdjevwhbozkfzdyksmgpnie">
        <w:r>
          <w:rPr>
            <w:rStyle w:val="Hyperlink"/>
            <w:sz w:val="17"/>
            <w:szCs w:val="17"/>
          </w:rPr>
          <w:t xml:space="preserve">ERAS Society guidelines, 2026 update (ScienceDirect)</w:t>
        </w:r>
      </w:hyperlink>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60"/>
              <w:left w:type="dxa" w:w="160"/>
              <w:bottom w:type="dxa" w:w="60"/>
              <w:right w:type="dxa" w:w="160"/>
            </w:tcMar>
          </w:tcPr>
          <w:p>
            <w:r>
              <w:rPr>
                <w:b/>
                <w:bCs/>
                <w:caps/>
                <w:color w:val="FFFFFF"/>
                <w:sz w:val="22"/>
                <w:szCs w:val="22"/>
              </w:rPr>
              <w:t xml:space="preserve">The Breakdown · Article Summaries</w:t>
            </w:r>
          </w:p>
        </w:tc>
      </w:tr>
    </w:tbl>
    <w:p>
      <w:pPr>
        <w:spacing w:after="30" w:before="200"/>
      </w:pPr>
      <w:r>
        <w:rPr>
          <w:b/>
          <w:bCs/>
          <w:color w:val="14283F"/>
          <w:sz w:val="24"/>
          <w:szCs w:val="24"/>
        </w:rPr>
        <w:t xml:space="preserve">1. </w:t>
      </w:r>
      <w:r>
        <w:rPr>
          <w:b/>
          <w:bCs/>
          <w:color w:val="1A1A1A"/>
          <w:sz w:val="24"/>
          <w:szCs w:val="24"/>
        </w:rPr>
        <w:t xml:space="preserve">Same-day discharge after minimally invasive hysterectomy</w:t>
      </w:r>
    </w:p>
    <w:p>
      <w:pPr>
        <w:spacing w:after="100"/>
      </w:pPr>
      <w:r>
        <w:rPr>
          <w:b/>
          <w:bCs/>
          <w:caps/>
          <w:color w:val="1F3A5F"/>
          <w:sz w:val="17"/>
          <w:szCs w:val="17"/>
        </w:rPr>
        <w:t xml:space="preserve">JMIG · J. Minimally Invasive Gynecology</w:t>
      </w:r>
      <w:r>
        <w:rPr>
          <w:i/>
          <w:iCs/>
          <w:color w:val="5A5A5A"/>
          <w:sz w:val="17"/>
          <w:szCs w:val="17"/>
        </w:rPr>
        <w:t xml:space="preserve">   Systematic review &amp; meta-analysis · abstract only</w:t>
      </w:r>
    </w:p>
    <w:p>
      <w:pPr>
        <w:spacing w:after="80"/>
      </w:pPr>
      <w:r>
        <w:rPr>
          <w:b/>
          <w:bCs/>
          <w:caps/>
          <w:color w:val="14283F"/>
          <w:sz w:val="18"/>
          <w:szCs w:val="18"/>
        </w:rPr>
        <w:t xml:space="preserve">Core finding  </w:t>
      </w:r>
      <w:r>
        <w:rPr>
          <w:color w:val="1A1A1A"/>
          <w:sz w:val="21"/>
          <w:szCs w:val="21"/>
        </w:rPr>
        <w:t xml:space="preserve">Same-day discharge after laparoscopic or robotic hysterectomy is feasible and safe versus next-day discharge, with no significant increase in complications or readmissions; the predictors of a failed same-day discharge are modifiable or identifiable (late OR start, longer operative time, higher age/BMI, specific comorbidities).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Default to same-day discharge for benign MIS hysterectomy in appropriately selected patients. Build an ERAS order set (no bowel prep, no routine voiding trial), a PACU discharge checklist, and a next-day call — and use the known predictors to triage who stays overnight.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pooled readmission and reoperation rates, how “appropriately selected” was defined, the absolute same-day discharge rate achieved, and whether robotic vs laparoscopic differed.</w:t>
            </w:r>
          </w:p>
        </w:tc>
      </w:tr>
    </w:tbl>
    <w:p>
      <w:pPr>
        <w:spacing w:after="0" w:before="40"/>
      </w:pPr>
      <w:r>
        <w:rPr>
          <w:b/>
          <w:bCs/>
          <w:color w:val="5A5A5A"/>
          <w:sz w:val="17"/>
          <w:szCs w:val="17"/>
        </w:rPr>
        <w:t xml:space="preserve">Source: </w:t>
      </w:r>
      <w:hyperlink w:history="1" r:id="rIdvtcdwqbqm6xrsyzmb1zwd">
        <w:r>
          <w:rPr>
            <w:rStyle w:val="Hyperlink"/>
            <w:sz w:val="17"/>
            <w:szCs w:val="17"/>
          </w:rPr>
          <w:t xml:space="preserve">Same-day discharge meta-analysis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2. </w:t>
      </w:r>
      <w:r>
        <w:rPr>
          <w:b/>
          <w:bCs/>
          <w:color w:val="1A1A1A"/>
          <w:sz w:val="24"/>
          <w:szCs w:val="24"/>
        </w:rPr>
        <w:t xml:space="preserve">vNOTES versus conventional vaginal hysterectomy for benign indications</w:t>
      </w:r>
    </w:p>
    <w:p>
      <w:pPr>
        <w:spacing w:after="100"/>
      </w:pPr>
      <w:r>
        <w:rPr>
          <w:b/>
          <w:bCs/>
          <w:caps/>
          <w:color w:val="1F3A5F"/>
          <w:sz w:val="17"/>
          <w:szCs w:val="17"/>
        </w:rPr>
        <w:t xml:space="preserve">JMIG · J. Minimally Invasive Gynecology</w:t>
      </w:r>
      <w:r>
        <w:rPr>
          <w:i/>
          <w:iCs/>
          <w:color w:val="5A5A5A"/>
          <w:sz w:val="17"/>
          <w:szCs w:val="17"/>
        </w:rPr>
        <w:t xml:space="preserve">   Prospective randomized controlled trial · abstract only</w:t>
      </w:r>
    </w:p>
    <w:p>
      <w:pPr>
        <w:spacing w:after="80"/>
      </w:pPr>
      <w:r>
        <w:rPr>
          <w:b/>
          <w:bCs/>
          <w:caps/>
          <w:color w:val="14283F"/>
          <w:sz w:val="18"/>
          <w:szCs w:val="18"/>
        </w:rPr>
        <w:t xml:space="preserve">Core finding  </w:t>
      </w:r>
      <w:r>
        <w:rPr>
          <w:color w:val="1A1A1A"/>
          <w:sz w:val="21"/>
          <w:szCs w:val="21"/>
        </w:rPr>
        <w:t xml:space="preserve">Vaginal natural orifice transluminal endoscopic surgery (vNOTES) was compared head-to-head with conventional vaginal hysterectomy for benign disease, evaluating operative time, complications, adnexal access,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Adds structured evidence to the route decision. vNOTES extends adnexal access and visualization beyond the conventional vaginal approach — useful for case selection (e.g., when concurrent salpingectomy or adnexal work is planned) and for credentialing discussions as adoption spreads.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operative time, complication and conversion rates, pain/recovery outcomes, and whether the trial was single-center with a limited sample (learning-curve and generalizability effects).</w:t>
            </w:r>
          </w:p>
        </w:tc>
      </w:tr>
    </w:tbl>
    <w:p>
      <w:pPr>
        <w:spacing w:after="0" w:before="40"/>
      </w:pPr>
      <w:r>
        <w:rPr>
          <w:b/>
          <w:bCs/>
          <w:color w:val="5A5A5A"/>
          <w:sz w:val="17"/>
          <w:szCs w:val="17"/>
        </w:rPr>
        <w:t xml:space="preserve">Source: </w:t>
      </w:r>
      <w:hyperlink w:history="1" r:id="rIdgukzcyxfdx2ovwi-g4pmh">
        <w:r>
          <w:rPr>
            <w:rStyle w:val="Hyperlink"/>
            <w:sz w:val="17"/>
            <w:szCs w:val="17"/>
          </w:rPr>
          <w:t xml:space="preserve">vNOTES vs vaginal hysterectomy RCT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3. </w:t>
      </w:r>
      <w:r>
        <w:rPr>
          <w:b/>
          <w:bCs/>
          <w:color w:val="1A1A1A"/>
          <w:sz w:val="24"/>
          <w:szCs w:val="24"/>
        </w:rPr>
        <w:t xml:space="preserve">Long-term safety of the mid-urethral sling for stress urinary incontinence (French national data)</w:t>
      </w:r>
    </w:p>
    <w:p>
      <w:pPr>
        <w:spacing w:after="100"/>
      </w:pPr>
      <w:r>
        <w:rPr>
          <w:b/>
          <w:bCs/>
          <w:caps/>
          <w:color w:val="1F3A5F"/>
          <w:sz w:val="17"/>
          <w:szCs w:val="17"/>
        </w:rPr>
        <w:t xml:space="preserve">eClinicalMedicine · Lancet (France)</w:t>
      </w:r>
      <w:r>
        <w:rPr>
          <w:i/>
          <w:iCs/>
          <w:color w:val="5A5A5A"/>
          <w:sz w:val="17"/>
          <w:szCs w:val="17"/>
        </w:rPr>
        <w:t xml:space="preserve">   Target-trial emulation · French national health data system · 2025</w:t>
      </w:r>
    </w:p>
    <w:p>
      <w:pPr>
        <w:spacing w:after="80"/>
      </w:pPr>
      <w:r>
        <w:rPr>
          <w:b/>
          <w:bCs/>
          <w:caps/>
          <w:color w:val="14283F"/>
          <w:sz w:val="18"/>
          <w:szCs w:val="18"/>
        </w:rPr>
        <w:t xml:space="preserve">Core finding  </w:t>
      </w:r>
      <w:r>
        <w:rPr>
          <w:color w:val="1A1A1A"/>
          <w:sz w:val="21"/>
          <w:szCs w:val="21"/>
        </w:rPr>
        <w:t xml:space="preserve">Across the French national health data system, mid-urethral sling placement carried low long-term mesh removal/revision rates, with the transobturator (TOT) route modestly lower than retropubic (TVT) at 5 years (≈3.3% vs 4.1% cumulative removal/section).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Robust real-world safety data for SUI counseling and consent: serious mesh complications are uncommon and route choice modestly shifts revision risk. A current, large-scale counterweight to mesh anxiety carried over from the transvaginal-mesh controversy — distinct from POP mesh.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Emulated (non-randomized) design — residual confounding by indication and surgeon experience remains. Verify how complications were captured in claims data and the absolute event rates before quoting figures.</w:t>
            </w:r>
          </w:p>
        </w:tc>
      </w:tr>
    </w:tbl>
    <w:p>
      <w:pPr>
        <w:spacing w:after="0" w:before="40"/>
      </w:pPr>
      <w:r>
        <w:rPr>
          <w:b/>
          <w:bCs/>
          <w:color w:val="5A5A5A"/>
          <w:sz w:val="17"/>
          <w:szCs w:val="17"/>
        </w:rPr>
        <w:t xml:space="preserve">Source: </w:t>
      </w:r>
      <w:hyperlink w:history="1" r:id="rIde13xbzwu6sqhtwlj4qocm">
        <w:r>
          <w:rPr>
            <w:rStyle w:val="Hyperlink"/>
            <w:sz w:val="17"/>
            <w:szCs w:val="17"/>
          </w:rPr>
          <w:t xml:space="preserve">Mid-urethral sling safety, French national data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4. </w:t>
      </w:r>
      <w:r>
        <w:rPr>
          <w:b/>
          <w:bCs/>
          <w:color w:val="1A1A1A"/>
          <w:sz w:val="24"/>
          <w:szCs w:val="24"/>
        </w:rPr>
        <w:t xml:space="preserve">Medical management versus surgery for deep infiltrating endometriosis (DIAMOND)</w:t>
      </w:r>
    </w:p>
    <w:p>
      <w:pPr>
        <w:spacing w:after="100"/>
      </w:pPr>
      <w:r>
        <w:rPr>
          <w:b/>
          <w:bCs/>
          <w:caps/>
          <w:color w:val="1F3A5F"/>
          <w:sz w:val="17"/>
          <w:szCs w:val="17"/>
        </w:rPr>
        <w:t xml:space="preserve">DIAMOND · HTA randomized trial</w:t>
      </w:r>
      <w:r>
        <w:rPr>
          <w:i/>
          <w:iCs/>
          <w:color w:val="5A5A5A"/>
          <w:sz w:val="17"/>
          <w:szCs w:val="17"/>
        </w:rPr>
        <w:t xml:space="preserve">   Health Technology Assessment RCT · January 2026 · abstract only</w:t>
      </w:r>
    </w:p>
    <w:p>
      <w:pPr>
        <w:spacing w:after="80"/>
      </w:pPr>
      <w:r>
        <w:rPr>
          <w:b/>
          <w:bCs/>
          <w:caps/>
          <w:color w:val="14283F"/>
          <w:sz w:val="18"/>
          <w:szCs w:val="18"/>
        </w:rPr>
        <w:t xml:space="preserve">Core finding  </w:t>
      </w:r>
      <w:r>
        <w:rPr>
          <w:color w:val="1A1A1A"/>
          <w:sz w:val="21"/>
          <w:szCs w:val="21"/>
        </w:rPr>
        <w:t xml:space="preserve">DIAMOND randomized patients with deep infiltrating endometriosis to early planned laparoscopic excision versus optimized medical management, assessing clinical and cost-effectiveness — but only 18 patients were randomized, so it is severely underpowered.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Useful for shared decision-making conversations — it frames surgery and optimized medical therapy as legitimate competing first steps for DIE rather than assuming surgery is always superior. Do not let it drive a definitive change; use it to support individualized counseling while larger trials mature.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n = 18 is the headline limitation: no reliable effect estimate or non-inferiority claim is possible. Verify the primary endpoint, crossover rate, and whether a larger trial is planned before citing it to patients.</w:t>
            </w:r>
          </w:p>
        </w:tc>
      </w:tr>
    </w:tbl>
    <w:p>
      <w:pPr>
        <w:spacing w:after="0" w:before="40"/>
      </w:pPr>
      <w:r>
        <w:rPr>
          <w:b/>
          <w:bCs/>
          <w:color w:val="5A5A5A"/>
          <w:sz w:val="17"/>
          <w:szCs w:val="17"/>
        </w:rPr>
        <w:t xml:space="preserve">Source: </w:t>
      </w:r>
      <w:hyperlink w:history="1" r:id="rId-1wfrho9ksrhpvdjhlduq">
        <w:r>
          <w:rPr>
            <w:rStyle w:val="Hyperlink"/>
            <w:sz w:val="17"/>
            <w:szCs w:val="17"/>
          </w:rPr>
          <w:t xml:space="preserve">DIAMOND RCT synopsis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5. </w:t>
      </w:r>
      <w:r>
        <w:rPr>
          <w:b/>
          <w:bCs/>
          <w:color w:val="1A1A1A"/>
          <w:sz w:val="24"/>
          <w:szCs w:val="24"/>
        </w:rPr>
        <w:t xml:space="preserve">Sacrocolpopexy versus native-tissue repair for apical prolapse</w:t>
      </w:r>
    </w:p>
    <w:p>
      <w:pPr>
        <w:spacing w:after="100"/>
      </w:pPr>
      <w:r>
        <w:rPr>
          <w:b/>
          <w:bCs/>
          <w:caps/>
          <w:color w:val="1F3A5F"/>
          <w:sz w:val="17"/>
          <w:szCs w:val="17"/>
        </w:rPr>
        <w:t xml:space="preserve">Urogynecology · apical prolapse repair</w:t>
      </w:r>
      <w:r>
        <w:rPr>
          <w:i/>
          <w:iCs/>
          <w:color w:val="5A5A5A"/>
          <w:sz w:val="17"/>
          <w:szCs w:val="17"/>
        </w:rPr>
        <w:t xml:space="preserve">   Comparative outcomes study · abstract only</w:t>
      </w:r>
    </w:p>
    <w:p>
      <w:pPr>
        <w:spacing w:after="80"/>
      </w:pPr>
      <w:r>
        <w:rPr>
          <w:b/>
          <w:bCs/>
          <w:caps/>
          <w:color w:val="14283F"/>
          <w:sz w:val="18"/>
          <w:szCs w:val="18"/>
        </w:rPr>
        <w:t xml:space="preserve">Core finding  </w:t>
      </w:r>
      <w:r>
        <w:rPr>
          <w:color w:val="1A1A1A"/>
          <w:sz w:val="21"/>
          <w:szCs w:val="21"/>
        </w:rPr>
        <w:t xml:space="preserve">Apical suspension by sacrocolpopexy showed a substantially lower surgical failure rate than native-tissue repair (reported around 6% vs 21%), with fewer symptomatic and anatomic recurrences over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Counsel on the durability trade-off: sacrocolpopexy (mesh) offers better anatomic durability, native-tissue repair avoids mesh-related risk. Match the procedure to the patient’s priorities, activity, and risk tolerance, and document the shared decision — especially given the FDA history on transvaginal mesh.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Much of this evidence is retrospective/observational; verify follow-up duration, mesh-exposure rates (often not captured in failure counts), and whether populations were comparable before generalizing.</w:t>
            </w:r>
          </w:p>
        </w:tc>
      </w:tr>
    </w:tbl>
    <w:p>
      <w:pPr>
        <w:spacing w:after="0" w:before="40"/>
      </w:pPr>
      <w:r>
        <w:rPr>
          <w:b/>
          <w:bCs/>
          <w:color w:val="5A5A5A"/>
          <w:sz w:val="17"/>
          <w:szCs w:val="17"/>
        </w:rPr>
        <w:t xml:space="preserve">Source: </w:t>
      </w:r>
      <w:hyperlink w:history="1" r:id="rId6tbzd_nxnfwdr6ykd6kay">
        <w:r>
          <w:rPr>
            <w:rStyle w:val="Hyperlink"/>
            <w:sz w:val="17"/>
            <w:szCs w:val="17"/>
          </w:rPr>
          <w:t xml:space="preserve">Native tissue vs sacrocolpopexy outcomes (Scientific Reports)</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6. </w:t>
      </w:r>
      <w:r>
        <w:rPr>
          <w:b/>
          <w:bCs/>
          <w:color w:val="1A1A1A"/>
          <w:sz w:val="24"/>
          <w:szCs w:val="24"/>
        </w:rPr>
        <w:t xml:space="preserve">Opportunistic salpingectomy at sterilisation and benign hysterectomy (SALSTER; HOPPSA)</w:t>
      </w:r>
    </w:p>
    <w:p>
      <w:pPr>
        <w:spacing w:after="100"/>
      </w:pPr>
      <w:r>
        <w:rPr>
          <w:b/>
          <w:bCs/>
          <w:caps/>
          <w:color w:val="1F3A5F"/>
          <w:sz w:val="17"/>
          <w:szCs w:val="17"/>
        </w:rPr>
        <w:t xml:space="preserve">JMIG · J. Minimally Invasive Gynecology</w:t>
      </w:r>
      <w:r>
        <w:rPr>
          <w:i/>
          <w:iCs/>
          <w:color w:val="5A5A5A"/>
          <w:sz w:val="17"/>
          <w:szCs w:val="17"/>
        </w:rPr>
        <w:t xml:space="preserve">   Register-based randomized trials · abstract only</w:t>
      </w:r>
    </w:p>
    <w:p>
      <w:pPr>
        <w:spacing w:after="80"/>
      </w:pPr>
      <w:r>
        <w:rPr>
          <w:b/>
          <w:bCs/>
          <w:caps/>
          <w:color w:val="14283F"/>
          <w:sz w:val="18"/>
          <w:szCs w:val="18"/>
        </w:rPr>
        <w:t xml:space="preserve">Core finding  </w:t>
      </w:r>
      <w:r>
        <w:rPr>
          <w:color w:val="1A1A1A"/>
          <w:sz w:val="21"/>
          <w:szCs w:val="21"/>
        </w:rPr>
        <w:t xml:space="preserve">In SALSTER, opportunistic salpingectomy at laparoscopic sterilisation did not raise peri- or postoperative complications beyond the pre-defined non-inferiority margin through 8 weeks; HOPPSA evaluates the same approach added to benign hysterectomy for ovarian-cancer risk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Routinely offer opportunistic salpingectomy at sterilisation and benign pelvic surgery in patients who have completed childbearing. Add it to surgical consent and counseling as a safe ovarian-cancer-risk-reduction step.</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exact complication rates and the margin, added operative time/blood loss, and note the long-term ovarian-cancer-incidence endpoint is still maturing — risk reduction is inferred, not yet proven by these trials.</w:t>
            </w:r>
          </w:p>
        </w:tc>
      </w:tr>
    </w:tbl>
    <w:p>
      <w:pPr>
        <w:spacing w:after="0" w:before="40"/>
      </w:pPr>
      <w:r>
        <w:rPr>
          <w:b/>
          <w:bCs/>
          <w:color w:val="5A5A5A"/>
          <w:sz w:val="17"/>
          <w:szCs w:val="17"/>
        </w:rPr>
        <w:t xml:space="preserve">Source: </w:t>
      </w:r>
      <w:hyperlink w:history="1" r:id="rId2gizysis3gzhl9rb2k9re">
        <w:r>
          <w:rPr>
            <w:rStyle w:val="Hyperlink"/>
            <w:sz w:val="17"/>
            <w:szCs w:val="17"/>
          </w:rPr>
          <w:t xml:space="preserve">SALSTER trial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60"/>
              <w:left w:type="dxa" w:w="160"/>
              <w:bottom w:type="dxa" w:w="60"/>
              <w:right w:type="dxa" w:w="160"/>
            </w:tcMar>
          </w:tcPr>
          <w:p>
            <w:r>
              <w:rPr>
                <w:b/>
                <w:bCs/>
                <w:caps/>
                <w:color w:val="FFFFFF"/>
                <w:sz w:val="22"/>
                <w:szCs w:val="22"/>
              </w:rPr>
              <w:t xml:space="preserve">Quick Hits · Emerging Data on the Radar</w:t>
            </w:r>
          </w:p>
        </w:tc>
      </w:tr>
    </w:tbl>
    <w:p>
      <w:pPr>
        <w:spacing w:after="60"/>
      </w:pPr>
    </w:p>
    <w:p>
      <w:pPr>
        <w:pStyle w:val="ListParagraph"/>
        <w:numPr>
          <w:ilvl w:val="0"/>
          <w:numId w:val="2"/>
        </w:numPr>
        <w:spacing w:after="30"/>
      </w:pPr>
      <w:r>
        <w:rPr>
          <w:b/>
          <w:bCs/>
          <w:color w:val="1F3A5F"/>
          <w:sz w:val="20"/>
          <w:szCs w:val="20"/>
        </w:rPr>
        <w:t xml:space="preserve">[NEJM · Medical (fibroids)]  </w:t>
      </w:r>
      <w:r>
        <w:rPr>
          <w:color w:val="1A1A1A"/>
          <w:sz w:val="20"/>
          <w:szCs w:val="20"/>
        </w:rPr>
        <w:t xml:space="preserve">Relugolix combination therapy (LIBERTY) — oral GnRH-antagonist combo cut fibroid-associated heavy bleeding vs placebo, with add-back protecting bone; the medical alternative to weigh before myomectomy.</w:t>
      </w:r>
    </w:p>
    <w:p>
      <w:pPr>
        <w:spacing w:after="70"/>
        <w:ind w:left="460"/>
      </w:pPr>
      <w:hyperlink w:history="1" r:id="rId3wcvuflnducmkxvsthvxu">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[Urogynecology · OAB]  </w:t>
      </w:r>
      <w:r>
        <w:rPr>
          <w:color w:val="1A1A1A"/>
          <w:sz w:val="20"/>
          <w:szCs w:val="20"/>
        </w:rPr>
        <w:t xml:space="preserve">Overactive bladder 5 years after the Mid-Urethral Sling Tensioning (MUST) trial — long-term follow-up on how sling tension relates to persistent/de novo OAB; informs pre-op counseling on storage symptoms.</w:t>
      </w:r>
    </w:p>
    <w:p>
      <w:pPr>
        <w:spacing w:after="70"/>
        <w:ind w:left="460"/>
      </w:pPr>
      <w:hyperlink w:history="1" r:id="rIdgrt0pshsczrfvztf2gioy">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[AAGL · ERAS]  </w:t>
      </w:r>
      <w:r>
        <w:rPr>
          <w:color w:val="1A1A1A"/>
          <w:sz w:val="20"/>
          <w:szCs w:val="20"/>
        </w:rPr>
        <w:t xml:space="preserve">Enhanced Recovery &amp; Surgical Optimization for minimally invasive gyn surgery (AAGL White Paper) — the benign-MIGS playbook (no bowel prep, multimodal analgesia, early feeding) behind same-day discharge.</w:t>
      </w:r>
    </w:p>
    <w:p>
      <w:pPr>
        <w:spacing w:after="70"/>
        <w:ind w:left="460"/>
      </w:pPr>
      <w:hyperlink w:history="1" r:id="rIdrvnp3mvsgn1kfseeuvtik">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[RCT · Fibroids]  </w:t>
      </w:r>
      <w:r>
        <w:rPr>
          <w:color w:val="1A1A1A"/>
          <w:sz w:val="20"/>
          <w:szCs w:val="20"/>
        </w:rPr>
        <w:t xml:space="preserve">Transcervical fibroid ablation vs minimally invasive myomectomy (RCT) — head-to-head recovery after each uterine-preserving surgical option for symptomatic fibroids; informs the device-vs-surgery conversation.</w:t>
      </w:r>
    </w:p>
    <w:p>
      <w:pPr>
        <w:spacing w:after="70"/>
        <w:ind w:left="460"/>
      </w:pPr>
      <w:hyperlink w:history="1" r:id="rIdtdlgzpfxesxiidqocvw1z">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[JMIG · Endometriosis]  </w:t>
      </w:r>
      <w:r>
        <w:rPr>
          <w:color w:val="1A1A1A"/>
          <w:sz w:val="20"/>
          <w:szCs w:val="20"/>
        </w:rPr>
        <w:t xml:space="preserve">Robotic multidisciplinary surgery with multivisceral resection for deep endometriosis — short-term feasibility and safety when a team manages bowel/bladder/ureteral disease in one setting.</w:t>
      </w:r>
    </w:p>
    <w:p>
      <w:pPr>
        <w:spacing w:after="70"/>
        <w:ind w:left="460"/>
      </w:pPr>
      <w:hyperlink w:history="1" r:id="rId2wha7agofmeu-l_4pigoq">
        <w:r>
          <w:rPr>
            <w:rStyle w:val="Hyperlink"/>
            <w:sz w:val="17"/>
            <w:szCs w:val="17"/>
          </w:rPr>
          <w:t xml:space="preserve">View source</w:t>
        </w:r>
      </w:hyperlink>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Journal Club Discussion Notes</w:t>
            </w:r>
          </w:p>
          <w:p>
            <w:r>
              <w:rPr>
                <w:i/>
                <w:iCs/>
                <w:color w:val="5A5A5A"/>
                <w:sz w:val="19"/>
                <w:szCs w:val="19"/>
              </w:rPr>
              <w:t xml:space="preserve">Action items, group consensus, follow-ups…</w:t>
            </w:r>
          </w:p>
          <w:p>
            <w:r>
              <w:rPr>
                <w:sz w:val="19"/>
                <w:szCs w:val="19"/>
              </w:rPr>
              <w:t xml:space="preserve"> </w:t>
            </w:r>
          </w:p>
          <w:p>
            <w:r>
              <w:rPr>
                <w:sz w:val="19"/>
                <w:szCs w:val="19"/>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olor w:val="8A5A00"/>
                <w:sz w:val="17"/>
                <w:szCs w:val="17"/>
              </w:rPr>
              <w:t xml:space="preserve">Editorial note &amp; limitations.  </w:t>
            </w:r>
            <w:r>
              <w:rPr>
                <w:color w:val="1A1A1A"/>
                <w:sz w:val="17"/>
                <w:szCs w:val="17"/>
              </w:rPr>
              <w:t xml:space="preserve">These summaries are an editorial synthesis drawn from abstracts, conference coverage, and society materials — several full texts were paywalled (flagged per item). They are not clinical guidance. Verify every finding against the primary source and the applicable society guideline before changing practice. An independent educational digest for gynecologists; not affiliated with or endorsed by the named journals or societies.</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Compiled &amp; distributed by Pooja Uppalapati, MD, MBA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xsy08zjwdq_hz0hnir16" Type="http://schemas.openxmlformats.org/officeDocument/2006/relationships/hyperlink" Target="https://www.jmig.org" TargetMode="External"/><Relationship Id="rId6i-1uua6xmmrnplwviif6" Type="http://schemas.openxmlformats.org/officeDocument/2006/relationships/hyperlink" Target="https://www.aagl.org" TargetMode="External"/><Relationship Id="rIdekgabszeppucuoufbmxwi" Type="http://schemas.openxmlformats.org/officeDocument/2006/relationships/hyperlink" Target="https://www.bsge.org.uk" TargetMode="External"/><Relationship Id="rIdbp2zvrvqvpf_hynmo_prn" Type="http://schemas.openxmlformats.org/officeDocument/2006/relationships/hyperlink" Target="https://journals.lww.com/greenjournal" TargetMode="External"/><Relationship Id="rIdmpwvx-yhrcqj7jvobpg6j" Type="http://schemas.openxmlformats.org/officeDocument/2006/relationships/hyperlink" Target="https://www.ajog.org" TargetMode="External"/><Relationship Id="rIdfrktlww8qtmvoybxspxa9" Type="http://schemas.openxmlformats.org/officeDocument/2006/relationships/hyperlink" Target="https://obgyn.onlinelibrary.wiley.com/journal/14710528" TargetMode="External"/><Relationship Id="rIdp-mqdsnait6ex0ccc33ng" Type="http://schemas.openxmlformats.org/officeDocument/2006/relationships/hyperlink" Target="https://link.springer.com/journal/192" TargetMode="External"/><Relationship Id="rIdtyj1nv5saoajhifuy6gik" Type="http://schemas.openxmlformats.org/officeDocument/2006/relationships/hyperlink" Target="https://www.ejog.org" TargetMode="External"/><Relationship Id="rIddyw0dsve7b4rg3o3r7n0u" Type="http://schemas.openxmlformats.org/officeDocument/2006/relationships/hyperlink" Target="https://jamanetwork.com/journals/jamasurgery" TargetMode="External"/><Relationship Id="rIdmkz8ya68zd5cjj1-b8qft" Type="http://schemas.openxmlformats.org/officeDocument/2006/relationships/hyperlink" Target="https://www.aafp.org/pubs/afp.html" TargetMode="External"/><Relationship Id="rIdjevwhbozkfzdyksmgpnie" Type="http://schemas.openxmlformats.org/officeDocument/2006/relationships/hyperlink" Target="https://www.sciencedirect.com/science/article/pii/S0090825826019992" TargetMode="External"/><Relationship Id="rIdvtcdwqbqm6xrsyzmb1zwd" Type="http://schemas.openxmlformats.org/officeDocument/2006/relationships/hyperlink" Target="https://www.ncbi.nlm.nih.gov/pmc/articles/PMC10803482/" TargetMode="External"/><Relationship Id="rIdgukzcyxfdx2ovwi-g4pmh" Type="http://schemas.openxmlformats.org/officeDocument/2006/relationships/hyperlink" Target="https://www.ncbi.nlm.nih.gov/pmc/articles/PMC12680420/" TargetMode="External"/><Relationship Id="rIde13xbzwu6sqhtwlj4qocm" Type="http://schemas.openxmlformats.org/officeDocument/2006/relationships/hyperlink" Target="https://www.ncbi.nlm.nih.gov/pmc/articles/PMC12496164/" TargetMode="External"/><Relationship Id="rId-1wfrho9ksrhpvdjhlduq" Type="http://schemas.openxmlformats.org/officeDocument/2006/relationships/hyperlink" Target="https://pmc.ncbi.nlm.nih.gov/articles/PMC12884356/" TargetMode="External"/><Relationship Id="rId6tbzd_nxnfwdr6ykd6kay" Type="http://schemas.openxmlformats.org/officeDocument/2006/relationships/hyperlink" Target="https://www.nature.com/articles/s41598-021-82732-0" TargetMode="External"/><Relationship Id="rId2gizysis3gzhl9rb2k9re" Type="http://schemas.openxmlformats.org/officeDocument/2006/relationships/hyperlink" Target="https://www.ncbi.nlm.nih.gov/pmc/articles/PMC11838100/" TargetMode="External"/><Relationship Id="rId3wcvuflnducmkxvsthvxu" Type="http://schemas.openxmlformats.org/officeDocument/2006/relationships/hyperlink" Target="https://www.nejm.org/doi/full/10.1056/NEJMoa2008283" TargetMode="External"/><Relationship Id="rIdgrt0pshsczrfvztf2gioy" Type="http://schemas.openxmlformats.org/officeDocument/2006/relationships/hyperlink" Target="https://pubmed.ncbi.nlm.nih.gov/42149649/" TargetMode="External"/><Relationship Id="rIdrvnp3mvsgn1kfseeuvtik" Type="http://schemas.openxmlformats.org/officeDocument/2006/relationships/hyperlink" Target="https://www.jmig.org/article/S1553-4650(20)30385-X/abstract" TargetMode="External"/><Relationship Id="rIdtdlgzpfxesxiidqocvw1z" Type="http://schemas.openxmlformats.org/officeDocument/2006/relationships/hyperlink" Target="https://www.ncbi.nlm.nih.gov/pmc/articles/PMC12884227/" TargetMode="External"/><Relationship Id="rId2wha7agofmeu-l_4pigoq" Type="http://schemas.openxmlformats.org/officeDocument/2006/relationships/hyperlink" Target="https://www.ncbi.nlm.nih.gov/pmc/articles/PMC12227863/"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Benign GYN Surgery Journal Club — Friday, June 27, 2026</dc:title>
  <dc:creator>An independent monthly journal club for gynecologists</dc:creator>
  <cp:lastModifiedBy>Un-named</cp:lastModifiedBy>
  <cp:revision>1</cp:revision>
  <dcterms:created xsi:type="dcterms:W3CDTF">2026-06-28T14:52:12.335Z</dcterms:created>
  <dcterms:modified xsi:type="dcterms:W3CDTF">2026-06-28T14:52:12.341Z</dcterms:modified>
</cp:coreProperties>
</file>

<file path=docProps/custom.xml><?xml version="1.0" encoding="utf-8"?>
<Properties xmlns="http://schemas.openxmlformats.org/officeDocument/2006/custom-properties" xmlns:vt="http://schemas.openxmlformats.org/officeDocument/2006/docPropsVTypes"/>
</file>