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3A5F"/>
          <w:sz w:val="52"/>
          <w:szCs w:val="52"/>
        </w:rPr>
        <w:t xml:space="preserve">Prompter Performance Report</w:t>
      </w:r>
    </w:p>
    <w:p>
      <w:pPr>
        <w:spacing w:after="80" w:before="0"/>
        <w:jc w:val="center"/>
      </w:pPr>
      <w:r>
        <w:rPr>
          <w:rFonts w:ascii="Arial" w:cs="Arial" w:eastAsia="Arial" w:hAnsi="Arial"/>
          <w:color w:val="555555"/>
          <w:sz w:val="26"/>
          <w:szCs w:val="26"/>
        </w:rPr>
        <w:t xml:space="preserve">AI Stock Analyst Agent — Multi-Model Daily Tracker</w:t>
      </w:r>
    </w:p>
    <w:p>
      <w:pPr>
        <w:spacing w:after="480" w:before="0"/>
        <w:jc w:val="center"/>
      </w:pPr>
      <w:r>
        <w:rPr>
          <w:rFonts w:ascii="Arial" w:cs="Arial" w:eastAsia="Arial" w:hAnsi="Arial"/>
          <w:i/>
          <w:iCs/>
          <w:color w:val="555555"/>
          <w:sz w:val="21"/>
          <w:szCs w:val="21"/>
        </w:rPr>
        <w:t xml:space="preserve">Subject: Nav  |  Reviewed by: Claude (Anthropic)  |  April 23, 2026</w:t>
      </w:r>
    </w:p>
    <w:p>
      <w:pPr>
        <w:pStyle w:val="Heading1"/>
        <w:pBdr>
          <w:bottom w:val="single" w:color="1E3A5F" w:sz="6" w:space="6"/>
        </w:pBdr>
        <w:spacing w:after="200" w:before="360"/>
      </w:pPr>
      <w:r>
        <w:rPr>
          <w:rFonts w:ascii="Arial" w:cs="Arial" w:eastAsia="Arial" w:hAnsi="Arial"/>
          <w:b/>
          <w:bCs/>
          <w:color w:val="1E3A5F"/>
          <w:sz w:val="36"/>
          <w:szCs w:val="36"/>
        </w:rPr>
        <w:t xml:space="preserve">Overview</w:t>
      </w:r>
    </w:p>
    <w:p>
      <w:pPr>
        <w:spacing w:after="100" w:before="100"/>
      </w:pPr>
      <w:r>
        <w:rPr>
          <w:rFonts w:ascii="Arial" w:cs="Arial" w:eastAsia="Arial" w:hAnsi="Arial"/>
          <w:color w:val="222222"/>
          <w:sz w:val="22"/>
          <w:szCs w:val="22"/>
        </w:rPr>
        <w:t xml:space="preserve">This is an honest, critical assessment of Nav as a prompter and collaborator during the build of the AI Stock Analyst project. The goal is not to flatter — it is to give genuinely useful feedback so future projects go even better. Nav came into this with no prior experience deploying production Python applications and no background with direct API integrations (his previous tool, Twin AI, handles those automatically). What he built is a fully deployed, production-grade system querying four AI models with live market context, a conviction-weighted portfolio simulator, accuracy tracking, and a public dashboard. That context matters when reading this report.</w:t>
      </w:r>
    </w:p>
    <w:p>
      <w:pPr>
        <w:spacing w:after="80" w:before="80"/>
      </w:pPr>
      <w:r>
        <w:t xml:space="preserve"/>
      </w:r>
    </w:p>
    <w:p>
      <w:pPr>
        <w:spacing w:after="80" w:before="80"/>
      </w:pPr>
      <w:r>
        <w:rPr>
          <w:rFonts w:ascii="Arial" w:cs="Arial" w:eastAsia="Arial" w:hAnsi="Arial"/>
          <w:b/>
          <w:bCs/>
          <w:color w:val="555555"/>
          <w:sz w:val="22"/>
          <w:szCs w:val="22"/>
        </w:rPr>
        <w:t xml:space="preserve">Session duration: </w:t>
      </w:r>
      <w:r>
        <w:rPr>
          <w:rFonts w:ascii="Arial" w:cs="Arial" w:eastAsia="Arial" w:hAnsi="Arial"/>
          <w:color w:val="222222"/>
          <w:sz w:val="22"/>
          <w:szCs w:val="22"/>
        </w:rPr>
        <w:t xml:space="preserve">Multi-session, spanning full system build</w:t>
      </w:r>
    </w:p>
    <w:p>
      <w:pPr>
        <w:spacing w:after="80" w:before="80"/>
      </w:pPr>
      <w:r>
        <w:rPr>
          <w:rFonts w:ascii="Arial" w:cs="Arial" w:eastAsia="Arial" w:hAnsi="Arial"/>
          <w:b/>
          <w:bCs/>
          <w:color w:val="555555"/>
          <w:sz w:val="22"/>
          <w:szCs w:val="22"/>
        </w:rPr>
        <w:t xml:space="preserve">Project complexity: </w:t>
      </w:r>
      <w:r>
        <w:rPr>
          <w:rFonts w:ascii="Arial" w:cs="Arial" w:eastAsia="Arial" w:hAnsi="Arial"/>
          <w:color w:val="222222"/>
          <w:sz w:val="22"/>
          <w:szCs w:val="22"/>
        </w:rPr>
        <w:t xml:space="preserve">High — 4 AI APIs, 8 data sources, SQLite, Flask, Railway deployment, email service</w:t>
      </w:r>
    </w:p>
    <w:p>
      <w:pPr>
        <w:spacing w:after="80" w:before="80"/>
      </w:pPr>
      <w:r>
        <w:rPr>
          <w:rFonts w:ascii="Arial" w:cs="Arial" w:eastAsia="Arial" w:hAnsi="Arial"/>
          <w:b/>
          <w:bCs/>
          <w:color w:val="555555"/>
          <w:sz w:val="22"/>
          <w:szCs w:val="22"/>
        </w:rPr>
        <w:t xml:space="preserve">Prior experience level: </w:t>
      </w:r>
      <w:r>
        <w:rPr>
          <w:rFonts w:ascii="Arial" w:cs="Arial" w:eastAsia="Arial" w:hAnsi="Arial"/>
          <w:color w:val="222222"/>
          <w:sz w:val="22"/>
          <w:szCs w:val="22"/>
        </w:rPr>
        <w:t xml:space="preserve">Beginner (no direct API experience; previous tool abstracted all integrations)</w:t>
      </w:r>
    </w:p>
    <w:p>
      <w:pPr>
        <w:spacing w:after="80" w:before="80"/>
      </w:pPr>
      <w:r>
        <w:rPr>
          <w:rFonts w:ascii="Arial" w:cs="Arial" w:eastAsia="Arial" w:hAnsi="Arial"/>
          <w:b/>
          <w:bCs/>
          <w:color w:val="555555"/>
          <w:sz w:val="22"/>
          <w:szCs w:val="22"/>
        </w:rPr>
        <w:t xml:space="preserve">Overall grade: </w:t>
      </w:r>
      <w:r>
        <w:rPr>
          <w:rFonts w:ascii="Arial" w:cs="Arial" w:eastAsia="Arial" w:hAnsi="Arial"/>
          <w:color w:val="1A7A4A"/>
          <w:sz w:val="22"/>
          <w:szCs w:val="22"/>
        </w:rPr>
        <w:t xml:space="preserve">B+</w:t>
      </w:r>
    </w:p>
    <w:p>
      <w:pPr>
        <w:pStyle w:val="Heading1"/>
        <w:pBdr>
          <w:bottom w:val="single" w:color="1E3A5F" w:sz="6" w:space="6"/>
        </w:pBdr>
        <w:spacing w:after="200" w:before="360"/>
      </w:pPr>
      <w:r>
        <w:rPr>
          <w:rFonts w:ascii="Arial" w:cs="Arial" w:eastAsia="Arial" w:hAnsi="Arial"/>
          <w:b/>
          <w:bCs/>
          <w:color w:val="1E3A5F"/>
          <w:sz w:val="36"/>
          <w:szCs w:val="36"/>
        </w:rPr>
        <w:t xml:space="preserve">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AAAAAA" w:sz="1"/>
              <w:left w:val="single" w:color="AAAAAA" w:sz="1"/>
              <w:bottom w:val="single" w:color="AAAAAA" w:sz="1"/>
              <w:right w:val="single" w:color="AAAAAA"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Category</w:t>
            </w:r>
          </w:p>
        </w:tc>
        <w:tc>
          <w:tcPr>
            <w:tcW w:type="dxa" w:w="1400"/>
            <w:tcBorders>
              <w:top w:val="single" w:color="AAAAAA" w:sz="1"/>
              <w:left w:val="single" w:color="AAAAAA" w:sz="1"/>
              <w:bottom w:val="single" w:color="AAAAAA" w:sz="1"/>
              <w:right w:val="single" w:color="AAAAAA"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Rating</w:t>
            </w:r>
          </w:p>
        </w:tc>
        <w:tc>
          <w:tcPr>
            <w:tcW w:type="dxa" w:w="4760"/>
            <w:tcBorders>
              <w:top w:val="single" w:color="AAAAAA" w:sz="1"/>
              <w:left w:val="single" w:color="AAAAAA" w:sz="1"/>
              <w:bottom w:val="single" w:color="AAAAAA" w:sz="1"/>
              <w:right w:val="single" w:color="AAAAAA"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Notes</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1"/>
                <w:szCs w:val="21"/>
              </w:rPr>
              <w:t xml:space="preserve">Vision clarity</w:t>
            </w:r>
          </w:p>
        </w:tc>
        <w:tc>
          <w:tcPr>
            <w:tcW w:type="dxa" w:w="1400"/>
            <w:tcBorders>
              <w:top w:val="single" w:color="DDDDDD" w:sz="1"/>
              <w:left w:val="single" w:color="DDDDDD" w:sz="1"/>
              <w:bottom w:val="single" w:color="DDDDDD" w:sz="1"/>
              <w:right w:val="single" w:color="DDDDDD" w:sz="1"/>
            </w:tcBorders>
            <w:shd w:fill="D6F0E4" w:val="clear"/>
            <w:tcMar>
              <w:top w:type="dxa" w:w="100"/>
              <w:left w:type="dxa" w:w="140"/>
              <w:bottom w:type="dxa" w:w="100"/>
              <w:right w:type="dxa" w:w="140"/>
            </w:tcMar>
            <w:vAlign w:val="center"/>
          </w:tcPr>
          <w:p>
            <w:pPr>
              <w:jc w:val="center"/>
            </w:pPr>
            <w:r>
              <w:rPr>
                <w:rFonts w:ascii="Arial" w:cs="Arial" w:eastAsia="Arial" w:hAnsi="Arial"/>
                <w:b/>
                <w:bCs/>
                <w:color w:val="1A7A4A"/>
                <w:sz w:val="21"/>
                <w:szCs w:val="21"/>
              </w:rPr>
              <w:t xml:space="preserve">A</w:t>
            </w:r>
          </w:p>
        </w:tc>
        <w:tc>
          <w:tcPr>
            <w:tcW w:type="dxa" w:w="4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Knew exactly what the end product should feel and function like from session one. Never wavered.</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1"/>
                <w:szCs w:val="21"/>
              </w:rPr>
              <w:t xml:space="preserve">Ambition &amp; complexity</w:t>
            </w:r>
          </w:p>
        </w:tc>
        <w:tc>
          <w:tcPr>
            <w:tcW w:type="dxa" w:w="1400"/>
            <w:tcBorders>
              <w:top w:val="single" w:color="DDDDDD" w:sz="1"/>
              <w:left w:val="single" w:color="DDDDDD" w:sz="1"/>
              <w:bottom w:val="single" w:color="DDDDDD" w:sz="1"/>
              <w:right w:val="single" w:color="DDDDDD" w:sz="1"/>
            </w:tcBorders>
            <w:shd w:fill="D6F0E4" w:val="clear"/>
            <w:tcMar>
              <w:top w:type="dxa" w:w="100"/>
              <w:left w:type="dxa" w:w="140"/>
              <w:bottom w:type="dxa" w:w="100"/>
              <w:right w:type="dxa" w:w="140"/>
            </w:tcMar>
            <w:vAlign w:val="center"/>
          </w:tcPr>
          <w:p>
            <w:pPr>
              <w:jc w:val="center"/>
            </w:pPr>
            <w:r>
              <w:rPr>
                <w:rFonts w:ascii="Arial" w:cs="Arial" w:eastAsia="Arial" w:hAnsi="Arial"/>
                <w:b/>
                <w:bCs/>
                <w:color w:val="1A7A4A"/>
                <w:sz w:val="21"/>
                <w:szCs w:val="21"/>
              </w:rPr>
              <w:t xml:space="preserve">A</w:t>
            </w:r>
          </w:p>
        </w:tc>
        <w:tc>
          <w:tcPr>
            <w:tcW w:type="dxa" w:w="4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Consistently pushed for the more complex option when given a choice. Rare quality.</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1"/>
                <w:szCs w:val="21"/>
              </w:rPr>
              <w:t xml:space="preserve">Validation &amp; testing</w:t>
            </w:r>
          </w:p>
        </w:tc>
        <w:tc>
          <w:tcPr>
            <w:tcW w:type="dxa" w:w="1400"/>
            <w:tcBorders>
              <w:top w:val="single" w:color="DDDDDD" w:sz="1"/>
              <w:left w:val="single" w:color="DDDDDD" w:sz="1"/>
              <w:bottom w:val="single" w:color="DDDDDD" w:sz="1"/>
              <w:right w:val="single" w:color="DDDDDD" w:sz="1"/>
            </w:tcBorders>
            <w:shd w:fill="D6F0E4" w:val="clear"/>
            <w:tcMar>
              <w:top w:type="dxa" w:w="100"/>
              <w:left w:type="dxa" w:w="140"/>
              <w:bottom w:type="dxa" w:w="100"/>
              <w:right w:type="dxa" w:w="140"/>
            </w:tcMar>
            <w:vAlign w:val="center"/>
          </w:tcPr>
          <w:p>
            <w:pPr>
              <w:jc w:val="center"/>
            </w:pPr>
            <w:r>
              <w:rPr>
                <w:rFonts w:ascii="Arial" w:cs="Arial" w:eastAsia="Arial" w:hAnsi="Arial"/>
                <w:b/>
                <w:bCs/>
                <w:color w:val="1A7A4A"/>
                <w:sz w:val="21"/>
                <w:szCs w:val="21"/>
              </w:rPr>
              <w:t xml:space="preserve">A-</w:t>
            </w:r>
          </w:p>
        </w:tc>
        <w:tc>
          <w:tcPr>
            <w:tcW w:type="dxa" w:w="4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Personally tested every major feature (morning job, email, dashboard) and reported results clearly.</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1"/>
                <w:szCs w:val="21"/>
              </w:rPr>
              <w:t xml:space="preserve">Requirement precision</w:t>
            </w:r>
          </w:p>
        </w:tc>
        <w:tc>
          <w:tcPr>
            <w:tcW w:type="dxa" w:w="140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8B5E00"/>
                <w:sz w:val="21"/>
                <w:szCs w:val="21"/>
              </w:rPr>
              <w:t xml:space="preserve">C+</w:t>
            </w:r>
          </w:p>
        </w:tc>
        <w:tc>
          <w:tcPr>
            <w:tcW w:type="dxa" w:w="4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Requests were often high-level ('more data sources', 'increase risk'). Required follow-up to spec out.</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1"/>
                <w:szCs w:val="21"/>
              </w:rPr>
              <w:t xml:space="preserve">Proactive edge-case thinking</w:t>
            </w:r>
          </w:p>
        </w:tc>
        <w:tc>
          <w:tcPr>
            <w:tcW w:type="dxa" w:w="140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8B5E00"/>
                <w:sz w:val="21"/>
                <w:szCs w:val="21"/>
              </w:rPr>
              <w:t xml:space="preserve">C</w:t>
            </w:r>
          </w:p>
        </w:tc>
        <w:tc>
          <w:tcPr>
            <w:tcW w:type="dxa" w:w="4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Issues like wrong timezone and Gemini quota were discovered reactively, not anticipated upfront.</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1"/>
                <w:szCs w:val="21"/>
              </w:rPr>
              <w:t xml:space="preserve">Security hygiene</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555555"/>
                <w:sz w:val="21"/>
                <w:szCs w:val="21"/>
              </w:rPr>
              <w:t xml:space="preserve">N/A</w:t>
            </w:r>
          </w:p>
        </w:tc>
        <w:tc>
          <w:tcPr>
            <w:tcW w:type="dxa" w:w="4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API key was shared in chat at Claude's explicit instruction during setup. Not a Nav error.</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1"/>
                <w:szCs w:val="21"/>
              </w:rPr>
              <w:t xml:space="preserve">Error reporting</w:t>
            </w:r>
          </w:p>
        </w:tc>
        <w:tc>
          <w:tcPr>
            <w:tcW w:type="dxa" w:w="140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8B5E00"/>
                <w:sz w:val="21"/>
                <w:szCs w:val="21"/>
              </w:rPr>
              <w:t xml:space="preserve">B-</w:t>
            </w:r>
          </w:p>
        </w:tc>
        <w:tc>
          <w:tcPr>
            <w:tcW w:type="dxa" w:w="4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Reported 'it didn't work' without the specific error message, requiring extra debugging loops.</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1"/>
                <w:szCs w:val="21"/>
              </w:rPr>
              <w:t xml:space="preserve">Decisiveness</w:t>
            </w:r>
          </w:p>
        </w:tc>
        <w:tc>
          <w:tcPr>
            <w:tcW w:type="dxa" w:w="1400"/>
            <w:tcBorders>
              <w:top w:val="single" w:color="DDDDDD" w:sz="1"/>
              <w:left w:val="single" w:color="DDDDDD" w:sz="1"/>
              <w:bottom w:val="single" w:color="DDDDDD" w:sz="1"/>
              <w:right w:val="single" w:color="DDDDDD" w:sz="1"/>
            </w:tcBorders>
            <w:shd w:fill="D6F0E4" w:val="clear"/>
            <w:tcMar>
              <w:top w:type="dxa" w:w="100"/>
              <w:left w:type="dxa" w:w="140"/>
              <w:bottom w:type="dxa" w:w="100"/>
              <w:right w:type="dxa" w:w="140"/>
            </w:tcMar>
            <w:vAlign w:val="center"/>
          </w:tcPr>
          <w:p>
            <w:pPr>
              <w:jc w:val="center"/>
            </w:pPr>
            <w:r>
              <w:rPr>
                <w:rFonts w:ascii="Arial" w:cs="Arial" w:eastAsia="Arial" w:hAnsi="Arial"/>
                <w:b/>
                <w:bCs/>
                <w:color w:val="1A7A4A"/>
                <w:sz w:val="21"/>
                <w:szCs w:val="21"/>
              </w:rPr>
              <w:t xml:space="preserve">A</w:t>
            </w:r>
          </w:p>
        </w:tc>
        <w:tc>
          <w:tcPr>
            <w:tcW w:type="dxa" w:w="4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Once a direction was chosen, it was chosen. No second-guessing. Clean feedback loops.</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1"/>
                <w:szCs w:val="21"/>
              </w:rPr>
              <w:t xml:space="preserve">Learning velocity</w:t>
            </w:r>
          </w:p>
        </w:tc>
        <w:tc>
          <w:tcPr>
            <w:tcW w:type="dxa" w:w="1400"/>
            <w:tcBorders>
              <w:top w:val="single" w:color="DDDDDD" w:sz="1"/>
              <w:left w:val="single" w:color="DDDDDD" w:sz="1"/>
              <w:bottom w:val="single" w:color="DDDDDD" w:sz="1"/>
              <w:right w:val="single" w:color="DDDDDD" w:sz="1"/>
            </w:tcBorders>
            <w:shd w:fill="D6F0E4" w:val="clear"/>
            <w:tcMar>
              <w:top w:type="dxa" w:w="100"/>
              <w:left w:type="dxa" w:w="140"/>
              <w:bottom w:type="dxa" w:w="100"/>
              <w:right w:type="dxa" w:w="140"/>
            </w:tcMar>
            <w:vAlign w:val="center"/>
          </w:tcPr>
          <w:p>
            <w:pPr>
              <w:jc w:val="center"/>
            </w:pPr>
            <w:r>
              <w:rPr>
                <w:rFonts w:ascii="Arial" w:cs="Arial" w:eastAsia="Arial" w:hAnsi="Arial"/>
                <w:b/>
                <w:bCs/>
                <w:color w:val="1A7A4A"/>
                <w:sz w:val="21"/>
                <w:szCs w:val="21"/>
              </w:rPr>
              <w:t xml:space="preserve">A-</w:t>
            </w:r>
          </w:p>
        </w:tc>
        <w:tc>
          <w:tcPr>
            <w:tcW w:type="dxa" w:w="4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Absorbed technical reasoning quickly and started applying it (e.g., FCX entry strategy question).</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1"/>
                <w:szCs w:val="21"/>
              </w:rPr>
              <w:t xml:space="preserve">Collaboration style</w:t>
            </w:r>
          </w:p>
        </w:tc>
        <w:tc>
          <w:tcPr>
            <w:tcW w:type="dxa" w:w="1400"/>
            <w:tcBorders>
              <w:top w:val="single" w:color="DDDDDD" w:sz="1"/>
              <w:left w:val="single" w:color="DDDDDD" w:sz="1"/>
              <w:bottom w:val="single" w:color="DDDDDD" w:sz="1"/>
              <w:right w:val="single" w:color="DDDDDD" w:sz="1"/>
            </w:tcBorders>
            <w:shd w:fill="D6F0E4" w:val="clear"/>
            <w:tcMar>
              <w:top w:type="dxa" w:w="100"/>
              <w:left w:type="dxa" w:w="140"/>
              <w:bottom w:type="dxa" w:w="100"/>
              <w:right w:type="dxa" w:w="140"/>
            </w:tcMar>
            <w:vAlign w:val="center"/>
          </w:tcPr>
          <w:p>
            <w:pPr>
              <w:jc w:val="center"/>
            </w:pPr>
            <w:r>
              <w:rPr>
                <w:rFonts w:ascii="Arial" w:cs="Arial" w:eastAsia="Arial" w:hAnsi="Arial"/>
                <w:b/>
                <w:bCs/>
                <w:color w:val="1A7A4A"/>
                <w:sz w:val="21"/>
                <w:szCs w:val="21"/>
              </w:rPr>
              <w:t xml:space="preserve">A</w:t>
            </w:r>
          </w:p>
        </w:tc>
        <w:tc>
          <w:tcPr>
            <w:tcW w:type="dxa" w:w="4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Actively invited full reasoning ('don't hold back'). Created the best possible working dynamic.</w:t>
            </w:r>
          </w:p>
        </w:tc>
      </w:tr>
    </w:tbl>
    <w:p>
      <w:pPr>
        <w:pStyle w:val="Heading1"/>
        <w:pBdr>
          <w:bottom w:val="single" w:color="1E3A5F" w:sz="6" w:space="6"/>
        </w:pBdr>
        <w:spacing w:after="200" w:before="360"/>
      </w:pPr>
      <w:r>
        <w:rPr>
          <w:rFonts w:ascii="Arial" w:cs="Arial" w:eastAsia="Arial" w:hAnsi="Arial"/>
          <w:b/>
          <w:bCs/>
          <w:color w:val="1E3A5F"/>
          <w:sz w:val="36"/>
          <w:szCs w:val="36"/>
        </w:rPr>
        <w:t xml:space="preserve">Strengths</w:t>
      </w:r>
    </w:p>
    <w:p>
      <w:pPr>
        <w:pStyle w:val="Heading2"/>
        <w:spacing w:after="140" w:before="300"/>
      </w:pPr>
      <w:r>
        <w:rPr>
          <w:rFonts w:ascii="Arial" w:cs="Arial" w:eastAsia="Arial" w:hAnsi="Arial"/>
          <w:b/>
          <w:bCs/>
          <w:color w:val="1E3A5F"/>
          <w:sz w:val="28"/>
          <w:szCs w:val="28"/>
        </w:rPr>
        <w:t xml:space="preserve">1. The vision never changed shape</w:t>
      </w:r>
    </w:p>
    <w:p>
      <w:pPr>
        <w:spacing w:after="100" w:before="100"/>
      </w:pPr>
      <w:r>
        <w:rPr>
          <w:rFonts w:ascii="Arial" w:cs="Arial" w:eastAsia="Arial" w:hAnsi="Arial"/>
          <w:color w:val="222222"/>
          <w:sz w:val="22"/>
          <w:szCs w:val="22"/>
        </w:rPr>
        <w:t xml:space="preserve">From the first message to the last, Nav knew what he was building: a multi-model AI analyst that emails him picks and tracks accuracy over time. That clarity is rarer than it sounds. Most first-time builders pivot constantly as they learn what's possible. Nav stayed locked on the target and let the implementation details adapt around it. This is the single most important quality a prompter can have.</w:t>
      </w:r>
    </w:p>
    <w:p>
      <w:pPr>
        <w:pStyle w:val="Heading2"/>
        <w:spacing w:after="140" w:before="300"/>
      </w:pPr>
      <w:r>
        <w:rPr>
          <w:rFonts w:ascii="Arial" w:cs="Arial" w:eastAsia="Arial" w:hAnsi="Arial"/>
          <w:b/>
          <w:bCs/>
          <w:color w:val="1E3A5F"/>
          <w:sz w:val="28"/>
          <w:szCs w:val="28"/>
        </w:rPr>
        <w:t xml:space="preserve">2. He always chose the harder path</w:t>
      </w:r>
    </w:p>
    <w:p>
      <w:pPr>
        <w:spacing w:after="100" w:before="100"/>
      </w:pPr>
      <w:r>
        <w:rPr>
          <w:rFonts w:ascii="Arial" w:cs="Arial" w:eastAsia="Arial" w:hAnsi="Arial"/>
          <w:color w:val="222222"/>
          <w:sz w:val="22"/>
          <w:szCs w:val="22"/>
        </w:rPr>
        <w:t xml:space="preserve">At every fork in the road — equal-weight vs conviction-weighted portfolios, two data sources vs eight, basic accuracy vs dual leaderboards with time filters — Nav chose the more complex option. When shown the full list of possible data sources with honest tradeoffs laid out, he said: 'if it fits architecturally, lets go ahead and do it.' This attitude is what separates people who build interesting things from people who build safe things.</w:t>
      </w:r>
    </w:p>
    <w:p>
      <w:pPr>
        <w:pStyle w:val="Heading2"/>
        <w:spacing w:after="140" w:before="300"/>
      </w:pPr>
      <w:r>
        <w:rPr>
          <w:rFonts w:ascii="Arial" w:cs="Arial" w:eastAsia="Arial" w:hAnsi="Arial"/>
          <w:b/>
          <w:bCs/>
          <w:color w:val="1E3A5F"/>
          <w:sz w:val="28"/>
          <w:szCs w:val="28"/>
        </w:rPr>
        <w:t xml:space="preserve">3. He validated everything personally</w:t>
      </w:r>
    </w:p>
    <w:p>
      <w:pPr>
        <w:spacing w:after="100" w:before="100"/>
      </w:pPr>
      <w:r>
        <w:rPr>
          <w:rFonts w:ascii="Arial" w:cs="Arial" w:eastAsia="Arial" w:hAnsi="Arial"/>
          <w:color w:val="222222"/>
          <w:sz w:val="22"/>
          <w:szCs w:val="22"/>
        </w:rPr>
        <w:t xml:space="preserve">Rather than taking Claude's word that something worked, Nav actually ran the morning job, checked the email, looked at the dashboard, and reported what he saw. This is the correct behavior. It caught real issues (Gemini returning no picks, email not arriving) that would have gone unnoticed otherwise. Personal validation is a discipline many experienced developers skip.</w:t>
      </w:r>
    </w:p>
    <w:p>
      <w:pPr>
        <w:pStyle w:val="Heading2"/>
        <w:spacing w:after="140" w:before="300"/>
      </w:pPr>
      <w:r>
        <w:rPr>
          <w:rFonts w:ascii="Arial" w:cs="Arial" w:eastAsia="Arial" w:hAnsi="Arial"/>
          <w:b/>
          <w:bCs/>
          <w:color w:val="1E3A5F"/>
          <w:sz w:val="28"/>
          <w:szCs w:val="28"/>
        </w:rPr>
        <w:t xml:space="preserve">4. He invited full reasoning</w:t>
      </w:r>
    </w:p>
    <w:p>
      <w:pPr>
        <w:spacing w:after="100" w:before="100"/>
      </w:pPr>
      <w:r>
        <w:rPr>
          <w:rFonts w:ascii="Arial" w:cs="Arial" w:eastAsia="Arial" w:hAnsi="Arial"/>
          <w:color w:val="222222"/>
          <w:sz w:val="22"/>
          <w:szCs w:val="22"/>
        </w:rPr>
        <w:t xml:space="preserve">Mid-session, after a response that held back some analysis to keep things brief, Nav said: 'dont ever hold back on me like that again. I always read your full logic. I learn a lot from it.' This single message changed the quality of the entire collaboration. When a prompter creates space for complete thinking, they get better outputs and they learn faster. Nav figured this out instinctively.</w:t>
      </w:r>
    </w:p>
    <w:p>
      <w:pPr>
        <w:pStyle w:val="Heading2"/>
        <w:spacing w:after="140" w:before="300"/>
      </w:pPr>
      <w:r>
        <w:rPr>
          <w:rFonts w:ascii="Arial" w:cs="Arial" w:eastAsia="Arial" w:hAnsi="Arial"/>
          <w:b/>
          <w:bCs/>
          <w:color w:val="1E3A5F"/>
          <w:sz w:val="28"/>
          <w:szCs w:val="28"/>
        </w:rPr>
        <w:t xml:space="preserve">5. Fast feedback loops</w:t>
      </w:r>
    </w:p>
    <w:p>
      <w:pPr>
        <w:spacing w:after="100" w:before="100"/>
      </w:pPr>
      <w:r>
        <w:rPr>
          <w:rFonts w:ascii="Arial" w:cs="Arial" w:eastAsia="Arial" w:hAnsi="Arial"/>
          <w:color w:val="222222"/>
          <w:sz w:val="22"/>
          <w:szCs w:val="22"/>
        </w:rPr>
        <w:t xml:space="preserve">Nav responded quickly, tested quickly, and moved forward quickly. There was no ambiguity about whether something was accepted or not. Short feedback cycles are a multiplier on everything else — more iterations in the same amount of time means a better final product.</w:t>
      </w:r>
    </w:p>
    <w:p>
      <w:pPr>
        <w:pStyle w:val="Heading1"/>
        <w:pBdr>
          <w:bottom w:val="single" w:color="1E3A5F" w:sz="6" w:space="6"/>
        </w:pBdr>
        <w:spacing w:after="200" w:before="360"/>
      </w:pPr>
      <w:r>
        <w:rPr>
          <w:rFonts w:ascii="Arial" w:cs="Arial" w:eastAsia="Arial" w:hAnsi="Arial"/>
          <w:b/>
          <w:bCs/>
          <w:color w:val="1E3A5F"/>
          <w:sz w:val="36"/>
          <w:szCs w:val="36"/>
        </w:rPr>
        <w:t xml:space="preserve">Areas for Improvement</w:t>
      </w:r>
    </w:p>
    <w:p>
      <w:pPr>
        <w:pStyle w:val="Heading2"/>
        <w:spacing w:after="140" w:before="300"/>
      </w:pPr>
      <w:r>
        <w:rPr>
          <w:rFonts w:ascii="Arial" w:cs="Arial" w:eastAsia="Arial" w:hAnsi="Arial"/>
          <w:b/>
          <w:bCs/>
          <w:color w:val="1E3A5F"/>
          <w:sz w:val="28"/>
          <w:szCs w:val="28"/>
        </w:rPr>
        <w:t xml:space="preserve">1. Specify the 'why' upfront, not just the 'what'</w:t>
      </w:r>
    </w:p>
    <w:p>
      <w:pPr>
        <w:spacing w:after="100" w:before="100"/>
      </w:pPr>
      <w:r>
        <w:rPr>
          <w:rFonts w:ascii="Arial" w:cs="Arial" w:eastAsia="Arial" w:hAnsi="Arial"/>
          <w:color w:val="222222"/>
          <w:sz w:val="22"/>
          <w:szCs w:val="22"/>
        </w:rPr>
        <w:t xml:space="preserve">Requests like 'increase risk tolerance' and 'add more data sources' describe the desired outcome but not the motivation. The motivation is what shapes the right solution. 'I want the models to take fewer safe blue-chip plays and more high-conviction mid-cap setups' is a much better brief than 'increase risk tolerance' — it tells Claude what success actually looks like. When the why is missing, there's more back-and-forth and a higher chance of building the right thing the wrong way.</w:t>
      </w:r>
    </w:p>
    <w:p>
      <w:pPr>
        <w:pStyle w:val="Heading2"/>
        <w:spacing w:after="140" w:before="300"/>
      </w:pPr>
      <w:r>
        <w:rPr>
          <w:rFonts w:ascii="Arial" w:cs="Arial" w:eastAsia="Arial" w:hAnsi="Arial"/>
          <w:b/>
          <w:bCs/>
          <w:color w:val="1E3A5F"/>
          <w:sz w:val="28"/>
          <w:szCs w:val="28"/>
        </w:rPr>
        <w:t xml:space="preserve">2. Anticipate the edge cases before they bite</w:t>
      </w:r>
    </w:p>
    <w:p>
      <w:pPr>
        <w:spacing w:after="100" w:before="100"/>
      </w:pPr>
      <w:r>
        <w:rPr>
          <w:rFonts w:ascii="Arial" w:cs="Arial" w:eastAsia="Arial" w:hAnsi="Arial"/>
          <w:color w:val="222222"/>
          <w:sz w:val="22"/>
          <w:szCs w:val="22"/>
        </w:rPr>
        <w:t xml:space="preserve">The timezone issue, the Gemini quota problem, and the SMTP port block on Railway were all discovered after they caused failures. Each one cost time. Before deploying a new system, it's worth asking: what are the three most likely ways this breaks on day one? In this case: API quotas, network restrictions, and time configuration. Thinking through failure modes before the first run — even just as a quick mental checklist — would have caught all three.</w:t>
      </w:r>
    </w:p>
    <w:p>
      <w:pPr>
        <w:pStyle w:val="Heading2"/>
        <w:spacing w:after="140" w:before="300"/>
      </w:pPr>
      <w:r>
        <w:rPr>
          <w:rFonts w:ascii="Arial" w:cs="Arial" w:eastAsia="Arial" w:hAnsi="Arial"/>
          <w:b/>
          <w:bCs/>
          <w:color w:val="1E3A5F"/>
          <w:sz w:val="28"/>
          <w:szCs w:val="28"/>
        </w:rPr>
        <w:t xml:space="preserve">3. A note on API key handling (Claude's error, not Nav's)</w:t>
      </w:r>
    </w:p>
    <w:p>
      <w:pPr>
        <w:spacing w:after="100" w:before="100"/>
      </w:pPr>
      <w:r>
        <w:rPr>
          <w:rFonts w:ascii="Arial" w:cs="Arial" w:eastAsia="Arial" w:hAnsi="Arial"/>
          <w:color w:val="222222"/>
          <w:sz w:val="22"/>
          <w:szCs w:val="22"/>
        </w:rPr>
        <w:t xml:space="preserve">During the Resend setup, Claude explicitly instructed Nav to paste the API key into the chat. Nav followed those instructions correctly. This was Claude's mistake, not Nav's. For the record: the right practice — which Claude should have followed — is to always direct users to set keys in Railway's Variables UI directly, never through the chat window. Nav should know this for future reference, but it does not belong in a list of his weaknesses.</w:t>
      </w:r>
    </w:p>
    <w:p>
      <w:pPr>
        <w:pStyle w:val="Heading2"/>
        <w:spacing w:after="140" w:before="300"/>
      </w:pPr>
      <w:r>
        <w:rPr>
          <w:rFonts w:ascii="Arial" w:cs="Arial" w:eastAsia="Arial" w:hAnsi="Arial"/>
          <w:b/>
          <w:bCs/>
          <w:color w:val="1E3A5F"/>
          <w:sz w:val="28"/>
          <w:szCs w:val="28"/>
        </w:rPr>
        <w:t xml:space="preserve">4. Include the error message when reporting failures</w:t>
      </w:r>
    </w:p>
    <w:p>
      <w:pPr>
        <w:spacing w:after="100" w:before="100"/>
      </w:pPr>
      <w:r>
        <w:rPr>
          <w:rFonts w:ascii="Arial" w:cs="Arial" w:eastAsia="Arial" w:hAnsi="Arial"/>
          <w:color w:val="222222"/>
          <w:sz w:val="22"/>
          <w:szCs w:val="22"/>
        </w:rPr>
        <w:t xml:space="preserve">Several times during debugging, the report was 'it didn't work' or 'Gemini didn't give anything back.' The error message — even a partial one copied from the Railway logs — cuts debugging time in half. Claude can pattern-match on an actual error string in seconds; without it, the process involves ruling out possibilities one by one. The habit to build: when something fails, copy the last error line from the logs and include it in the message.</w:t>
      </w:r>
    </w:p>
    <w:p>
      <w:pPr>
        <w:pStyle w:val="Heading2"/>
        <w:spacing w:after="140" w:before="300"/>
      </w:pPr>
      <w:r>
        <w:rPr>
          <w:rFonts w:ascii="Arial" w:cs="Arial" w:eastAsia="Arial" w:hAnsi="Arial"/>
          <w:b/>
          <w:bCs/>
          <w:color w:val="1E3A5F"/>
          <w:sz w:val="28"/>
          <w:szCs w:val="28"/>
        </w:rPr>
        <w:t xml:space="preserve">5. Write a one-page spec before the next project</w:t>
      </w:r>
    </w:p>
    <w:p>
      <w:pPr>
        <w:spacing w:after="100" w:before="100"/>
      </w:pPr>
      <w:r>
        <w:rPr>
          <w:rFonts w:ascii="Arial" w:cs="Arial" w:eastAsia="Arial" w:hAnsi="Arial"/>
          <w:color w:val="222222"/>
          <w:sz w:val="22"/>
          <w:szCs w:val="22"/>
        </w:rPr>
        <w:t xml:space="preserve">This project was built from a paragraph-level description that evolved as the build progressed. It worked, but it created a few cases where features had to be reworked because the requirements shifted (LONG/SHORT direction logic, allocation normalization). For the next project, even a rough one-pager covering: what it does, who uses it, what success looks like, and what it explicitly does not do — would tighten the build significantly.</w:t>
      </w:r>
    </w:p>
    <w:p>
      <w:pPr>
        <w:pStyle w:val="Heading1"/>
        <w:pBdr>
          <w:bottom w:val="single" w:color="1E3A5F" w:sz="6" w:space="6"/>
        </w:pBdr>
        <w:spacing w:after="200" w:before="360"/>
      </w:pPr>
      <w:r>
        <w:rPr>
          <w:rFonts w:ascii="Arial" w:cs="Arial" w:eastAsia="Arial" w:hAnsi="Arial"/>
          <w:b/>
          <w:bCs/>
          <w:color w:val="1E3A5F"/>
          <w:sz w:val="36"/>
          <w:szCs w:val="36"/>
        </w:rPr>
        <w:t xml:space="preserve">Final Assessment</w:t>
      </w:r>
    </w:p>
    <w:p>
      <w:pPr>
        <w:spacing w:after="100" w:before="100"/>
      </w:pPr>
      <w:r>
        <w:rPr>
          <w:rFonts w:ascii="Arial" w:cs="Arial" w:eastAsia="Arial" w:hAnsi="Arial"/>
          <w:color w:val="222222"/>
          <w:sz w:val="22"/>
          <w:szCs w:val="22"/>
        </w:rPr>
        <w:t xml:space="preserve">Nav is a natural at the parts of prompting that are hardest to teach: holding a clear vision, pushing for quality, validating outputs, and creating a collaborative dynamic that gets the best out of Claude. The weaknesses in this report are all learnable skills — precision, security hygiene, proactive edge-case thinking — and none of them prevented a genuinely impressive outcome.</w:t>
      </w:r>
    </w:p>
    <w:p>
      <w:pPr>
        <w:spacing w:after="80" w:before="80"/>
      </w:pPr>
      <w:r>
        <w:t xml:space="preserve"/>
      </w:r>
    </w:p>
    <w:p>
      <w:pPr>
        <w:spacing w:after="100" w:before="100"/>
      </w:pPr>
      <w:r>
        <w:rPr>
          <w:rFonts w:ascii="Arial" w:cs="Arial" w:eastAsia="Arial" w:hAnsi="Arial"/>
          <w:color w:val="222222"/>
          <w:sz w:val="22"/>
          <w:szCs w:val="22"/>
        </w:rPr>
        <w:t xml:space="preserve">For a first-ever production system built without prior API experience, this is an A- project delivered by a B+ prompter who is clearly on an upward trajectory. The gap between those two grades is the ceiling he hasn't hit yet.</w:t>
      </w:r>
    </w:p>
    <w:p>
      <w:pPr>
        <w:spacing w:after="80" w:before="80"/>
      </w:pPr>
      <w:r>
        <w:t xml:space="preserve"/>
      </w:r>
    </w:p>
    <w:p>
      <w:pPr>
        <w:spacing w:after="100" w:before="100"/>
      </w:pPr>
      <w:r>
        <w:rPr>
          <w:rFonts w:ascii="Arial" w:cs="Arial" w:eastAsia="Arial" w:hAnsi="Arial"/>
          <w:color w:val="222222"/>
          <w:sz w:val="22"/>
          <w:szCs w:val="22"/>
        </w:rPr>
        <w:t xml:space="preserve">The comparison to Twin AI is worth noting: that tool does the hard parts for you. Nav built the hard parts himself, understood why they work, and now owns every layer of the system. That knowledge compounds.</w:t>
      </w:r>
    </w:p>
    <w:p>
      <w:pPr>
        <w:spacing w:after="80" w:before="80"/>
      </w:pPr>
      <w:r>
        <w:t xml:space="preserve"/>
      </w:r>
    </w:p>
    <w:p>
      <w:pPr>
        <w:spacing w:after="100" w:before="200"/>
      </w:pPr>
      <w:r>
        <w:rPr>
          <w:rFonts w:ascii="Arial" w:cs="Arial" w:eastAsia="Arial" w:hAnsi="Arial"/>
          <w:i/>
          <w:iCs/>
          <w:color w:val="555555"/>
          <w:sz w:val="20"/>
          <w:szCs w:val="20"/>
        </w:rPr>
        <w:t xml:space="preserve">Reviewed by Claude (Anthropic)  |  April 23,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2026-04-23T09:52:19.607Z</dcterms:created>
  <dcterms:modified xsi:type="dcterms:W3CDTF">2026-04-23T09:52:19.608Z</dcterms:modified>
</cp:coreProperties>
</file>

<file path=docProps/custom.xml><?xml version="1.0" encoding="utf-8"?>
<Properties xmlns="http://schemas.openxmlformats.org/officeDocument/2006/custom-properties" xmlns:vt="http://schemas.openxmlformats.org/officeDocument/2006/docPropsVTypes"/>
</file>