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7E73" w14:textId="23024E18" w:rsidR="00566BB0" w:rsidRDefault="00566BB0" w:rsidP="00ED0763">
      <w:pPr>
        <w:pStyle w:val="Heading1"/>
        <w:jc w:val="both"/>
      </w:pPr>
      <w:r>
        <w:t>TERM PROJECT – MET CS677</w:t>
      </w:r>
    </w:p>
    <w:p w14:paraId="1F45D6AC" w14:textId="77777777" w:rsidR="00566BB0" w:rsidRDefault="00566BB0" w:rsidP="00ED0763">
      <w:pPr>
        <w:pStyle w:val="Heading2"/>
        <w:jc w:val="both"/>
      </w:pPr>
      <w:r>
        <w:t>BY PRANAV BHATNAGAR</w:t>
      </w:r>
    </w:p>
    <w:p w14:paraId="5549569B" w14:textId="2283FCCF" w:rsidR="00566BB0" w:rsidRDefault="00566BB0" w:rsidP="00ED0763">
      <w:pPr>
        <w:pStyle w:val="Heading2"/>
        <w:jc w:val="both"/>
      </w:pPr>
      <w:r>
        <w:t xml:space="preserve">INSTRUCTOR: </w:t>
      </w:r>
      <w:r w:rsidRPr="00566BB0">
        <w:t>E</w:t>
      </w:r>
      <w:r>
        <w:t>UGENE PINKSY</w:t>
      </w:r>
    </w:p>
    <w:p w14:paraId="798C5524" w14:textId="04B3817C" w:rsidR="00566BB0" w:rsidRDefault="00566BB0" w:rsidP="00ED0763">
      <w:pPr>
        <w:pStyle w:val="Heading2"/>
        <w:jc w:val="both"/>
      </w:pPr>
      <w:r>
        <w:t>FACILITATOR: MARYAN RIZINSKI</w:t>
      </w:r>
    </w:p>
    <w:p w14:paraId="17AB484E" w14:textId="6F9F157C" w:rsidR="00566BB0" w:rsidRDefault="00566BB0" w:rsidP="00ED0763">
      <w:pPr>
        <w:pStyle w:val="Heading2"/>
        <w:jc w:val="both"/>
      </w:pPr>
      <w:r>
        <w:t>Objective</w:t>
      </w:r>
    </w:p>
    <w:p w14:paraId="45081967" w14:textId="6C3FB29B" w:rsidR="00566BB0" w:rsidRPr="00566BB0" w:rsidRDefault="00566BB0" w:rsidP="00ED0763">
      <w:pPr>
        <w:jc w:val="both"/>
      </w:pPr>
      <w:r>
        <w:t xml:space="preserve">The goal of this project assignment is to build and test classifier models on the data based on water potability, and predict if the water is safe to drink based on different features. Initially, the data set is preprocessed and simple analysis is performed. </w:t>
      </w:r>
      <w:r w:rsidR="00D776A7">
        <w:t>The data set is readily available on Kaggle, and found in the reference section of the project.</w:t>
      </w:r>
    </w:p>
    <w:p w14:paraId="7CA0A799" w14:textId="7C939067" w:rsidR="00566BB0" w:rsidRDefault="009072BC" w:rsidP="00ED0763">
      <w:pPr>
        <w:pStyle w:val="Heading2"/>
        <w:jc w:val="both"/>
      </w:pPr>
      <w:r>
        <w:t>Preprocessing</w:t>
      </w:r>
      <w:r w:rsidR="00C85D9B">
        <w:t>/Investigation</w:t>
      </w:r>
    </w:p>
    <w:p w14:paraId="5E2AE1F4" w14:textId="29E35917" w:rsidR="009072BC" w:rsidRDefault="009072BC" w:rsidP="00ED0763">
      <w:pPr>
        <w:jc w:val="both"/>
      </w:pPr>
      <w:r>
        <w:t xml:space="preserve">There are </w:t>
      </w:r>
      <w:r w:rsidR="009263EE">
        <w:t>nine</w:t>
      </w:r>
      <w:r>
        <w:t xml:space="preserve"> continuous features in the data set</w:t>
      </w:r>
      <w:r w:rsidR="005D0391">
        <w:t xml:space="preserve"> in addition to the class label</w:t>
      </w:r>
      <w:r>
        <w:t xml:space="preserve">. This </w:t>
      </w:r>
      <w:r w:rsidR="005D0391">
        <w:t xml:space="preserve">preprocessing and investigation </w:t>
      </w:r>
      <w:r>
        <w:t xml:space="preserve">step is broken into </w:t>
      </w:r>
      <w:r w:rsidR="00543FAF">
        <w:t>three</w:t>
      </w:r>
      <w:r>
        <w:t xml:space="preserve"> steps:</w:t>
      </w:r>
    </w:p>
    <w:p w14:paraId="62F08057" w14:textId="1E6F0F4D" w:rsidR="009072BC" w:rsidRDefault="006024FE" w:rsidP="00ED0763">
      <w:pPr>
        <w:pStyle w:val="ListParagraph"/>
        <w:numPr>
          <w:ilvl w:val="0"/>
          <w:numId w:val="3"/>
        </w:numPr>
        <w:jc w:val="both"/>
      </w:pPr>
      <w:r>
        <w:t xml:space="preserve">There is </w:t>
      </w:r>
      <w:r w:rsidRPr="00F83899">
        <w:rPr>
          <w:b/>
          <w:bCs/>
        </w:rPr>
        <w:t>no correlation</w:t>
      </w:r>
      <w:r>
        <w:t xml:space="preserve"> between the </w:t>
      </w:r>
      <w:r w:rsidR="00F83899">
        <w:t xml:space="preserve">features. All correlation coefficients between the features are significantly low, and no features shall be removed from the model. </w:t>
      </w:r>
    </w:p>
    <w:p w14:paraId="414A2F15" w14:textId="4D39D13A" w:rsidR="00F83899" w:rsidRDefault="00F92E00" w:rsidP="00ED0763">
      <w:pPr>
        <w:pStyle w:val="ListParagraph"/>
        <w:jc w:val="both"/>
      </w:pPr>
      <w:r>
        <w:rPr>
          <w:noProof/>
        </w:rPr>
        <w:drawing>
          <wp:inline distT="0" distB="0" distL="0" distR="0" wp14:anchorId="3E1C7477" wp14:editId="0290DC83">
            <wp:extent cx="6213558" cy="30775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2848" cy="3082172"/>
                    </a:xfrm>
                    <a:prstGeom prst="rect">
                      <a:avLst/>
                    </a:prstGeom>
                  </pic:spPr>
                </pic:pic>
              </a:graphicData>
            </a:graphic>
          </wp:inline>
        </w:drawing>
      </w:r>
    </w:p>
    <w:p w14:paraId="2A929DBD" w14:textId="49FA69A3" w:rsidR="00DF16EA" w:rsidRDefault="00DF16EA" w:rsidP="00DF16EA">
      <w:pPr>
        <w:pStyle w:val="ListParagraph"/>
        <w:jc w:val="center"/>
      </w:pPr>
      <w:r>
        <w:t xml:space="preserve">Figure1: Correlation Matrix of all features </w:t>
      </w:r>
    </w:p>
    <w:p w14:paraId="2AACFCE5" w14:textId="69B80EAD" w:rsidR="00FE768E" w:rsidRDefault="00FE768E" w:rsidP="00FE768E">
      <w:pPr>
        <w:pStyle w:val="ListParagraph"/>
        <w:numPr>
          <w:ilvl w:val="0"/>
          <w:numId w:val="3"/>
        </w:numPr>
        <w:jc w:val="both"/>
      </w:pPr>
      <w:r>
        <w:t xml:space="preserve">On </w:t>
      </w:r>
      <w:r w:rsidR="00A319A5">
        <w:t>visualizing the</w:t>
      </w:r>
      <w:r>
        <w:t xml:space="preserve"> histogram</w:t>
      </w:r>
      <w:r w:rsidR="00A319A5">
        <w:t>s</w:t>
      </w:r>
      <w:r w:rsidR="001A4907">
        <w:t xml:space="preserve"> (as </w:t>
      </w:r>
      <w:r w:rsidR="00937BC3">
        <w:t>show in the appendix</w:t>
      </w:r>
      <w:r w:rsidR="001A4907">
        <w:t>)</w:t>
      </w:r>
      <w:r>
        <w:t xml:space="preserve">, it is indicated that all </w:t>
      </w:r>
      <w:r w:rsidR="00A319A5">
        <w:t>features</w:t>
      </w:r>
      <w:r>
        <w:t xml:space="preserve"> (except class) have a similar to normal distribution.</w:t>
      </w:r>
    </w:p>
    <w:p w14:paraId="7D411DA7" w14:textId="33B138C0" w:rsidR="00FE768E" w:rsidRDefault="00655819" w:rsidP="00FE768E">
      <w:pPr>
        <w:pStyle w:val="ListParagraph"/>
        <w:numPr>
          <w:ilvl w:val="0"/>
          <w:numId w:val="3"/>
        </w:numPr>
        <w:jc w:val="both"/>
      </w:pPr>
      <w:r>
        <w:t>There were three columns with missing data namely ‘</w:t>
      </w:r>
      <w:proofErr w:type="spellStart"/>
      <w:r>
        <w:t>ph</w:t>
      </w:r>
      <w:proofErr w:type="spellEnd"/>
      <w:r>
        <w:t>’, ‘</w:t>
      </w:r>
      <w:r w:rsidRPr="00655819">
        <w:t>Sulfate</w:t>
      </w:r>
      <w:r>
        <w:t>’ and ‘</w:t>
      </w:r>
      <w:r w:rsidRPr="00655819">
        <w:t>Trihalomethanes</w:t>
      </w:r>
      <w:r>
        <w:t xml:space="preserve">’. The missing values were filled </w:t>
      </w:r>
      <w:r w:rsidR="00E45CD2">
        <w:t>by the</w:t>
      </w:r>
      <w:r w:rsidR="00C30C54">
        <w:t xml:space="preserve"> attribute</w:t>
      </w:r>
      <w:r w:rsidR="00E45CD2">
        <w:t xml:space="preserve"> mean </w:t>
      </w:r>
      <w:r w:rsidR="00C30C54">
        <w:t xml:space="preserve">for all samples belonging to the same class. </w:t>
      </w:r>
    </w:p>
    <w:p w14:paraId="29A5014A" w14:textId="21ACA9B7" w:rsidR="00E86C12" w:rsidRDefault="00BF1E24" w:rsidP="00ED0763">
      <w:pPr>
        <w:jc w:val="both"/>
      </w:pPr>
      <w:r>
        <w:t>Additional to the above steps, there is</w:t>
      </w:r>
      <w:r w:rsidR="00DD37B7">
        <w:t xml:space="preserve"> </w:t>
      </w:r>
      <w:r>
        <w:t>class imbalance</w:t>
      </w:r>
      <w:r w:rsidR="00B9120B">
        <w:t xml:space="preserve"> (</w:t>
      </w:r>
      <w:r w:rsidR="00A00DC6">
        <w:t xml:space="preserve">slightly </w:t>
      </w:r>
      <w:r w:rsidR="00B9120B">
        <w:t>skewed distribution</w:t>
      </w:r>
      <w:r w:rsidR="00774181">
        <w:t xml:space="preserve"> </w:t>
      </w:r>
      <w:r w:rsidR="00A00DC6">
        <w:t xml:space="preserve">where </w:t>
      </w:r>
      <w:r w:rsidR="00980363">
        <w:t xml:space="preserve">1998 are </w:t>
      </w:r>
      <w:r w:rsidR="00774181">
        <w:t xml:space="preserve">0 </w:t>
      </w:r>
      <w:r w:rsidR="00980363">
        <w:t>and</w:t>
      </w:r>
      <w:r w:rsidR="00774181">
        <w:t xml:space="preserve"> 1</w:t>
      </w:r>
      <w:r w:rsidR="00980363">
        <w:t>278</w:t>
      </w:r>
      <w:r w:rsidR="00774181">
        <w:t xml:space="preserve"> are </w:t>
      </w:r>
      <w:r w:rsidR="00980363">
        <w:t>1</w:t>
      </w:r>
      <w:r w:rsidR="00B9120B">
        <w:t>)</w:t>
      </w:r>
      <w:r>
        <w:t xml:space="preserve"> observed in the class label (potability). The best measure to study for this data set </w:t>
      </w:r>
      <w:r w:rsidR="00327C19">
        <w:t>is</w:t>
      </w:r>
      <w:r>
        <w:t xml:space="preserve"> precision</w:t>
      </w:r>
      <w:r w:rsidR="007641D1">
        <w:t>.</w:t>
      </w:r>
      <w:r w:rsidR="00327C19">
        <w:t xml:space="preserve"> </w:t>
      </w:r>
      <w:r w:rsidR="0061739C">
        <w:t xml:space="preserve">Water unsafe for drinking should not be </w:t>
      </w:r>
      <w:r w:rsidR="00F5626F">
        <w:t>classified as</w:t>
      </w:r>
      <w:r w:rsidR="0061739C">
        <w:t xml:space="preserve"> safe (false positive), and it is very important to reduce </w:t>
      </w:r>
      <w:r w:rsidR="0061739C">
        <w:lastRenderedPageBreak/>
        <w:t xml:space="preserve">such cases. </w:t>
      </w:r>
      <w:r w:rsidR="00F5626F">
        <w:t xml:space="preserve">F-Score and Recall will also be calculated in this project. </w:t>
      </w:r>
      <w:r w:rsidR="00092EA4">
        <w:t xml:space="preserve">The important formulas </w:t>
      </w:r>
      <w:r w:rsidR="00D5333F">
        <w:t>are</w:t>
      </w:r>
      <w:r w:rsidR="00092EA4">
        <w:t xml:space="preserve"> displayed below. </w:t>
      </w:r>
    </w:p>
    <w:p w14:paraId="4DA50210" w14:textId="77777777" w:rsidR="00092EA4" w:rsidRPr="00092EA4" w:rsidRDefault="00E86C12" w:rsidP="00ED0763">
      <w:pPr>
        <w:jc w:val="both"/>
        <w:rPr>
          <w:rFonts w:eastAsiaTheme="minorEastAsia"/>
        </w:rPr>
      </w:pPr>
      <m:oMath>
        <m:r>
          <w:rPr>
            <w:rFonts w:ascii="Cambria Math" w:hAnsi="Cambria Math"/>
          </w:rPr>
          <m:t>Precision</m:t>
        </m:r>
      </m:oMath>
      <w:r w:rsidR="00BF1E24">
        <w:t xml:space="preserve"> = </w:t>
      </w:r>
      <m:oMath>
        <m:f>
          <m:fPr>
            <m:ctrlPr>
              <w:rPr>
                <w:rFonts w:ascii="Cambria Math" w:hAnsi="Cambria Math"/>
                <w:i/>
              </w:rPr>
            </m:ctrlPr>
          </m:fPr>
          <m:num>
            <m:r>
              <w:rPr>
                <w:rFonts w:ascii="Cambria Math" w:hAnsi="Cambria Math"/>
              </w:rPr>
              <m:t xml:space="preserve">True Positives </m:t>
            </m:r>
          </m:num>
          <m:den>
            <m:r>
              <w:rPr>
                <w:rFonts w:ascii="Cambria Math" w:hAnsi="Cambria Math"/>
              </w:rPr>
              <m:t xml:space="preserve">True Positives + False Positives </m:t>
            </m:r>
          </m:den>
        </m:f>
      </m:oMath>
      <w:r w:rsidR="00327C19">
        <w:rPr>
          <w:rFonts w:eastAsiaTheme="minorEastAsia"/>
        </w:rPr>
        <w:t xml:space="preserve">  </w:t>
      </w:r>
      <m:oMath>
        <m:r>
          <w:rPr>
            <w:rFonts w:ascii="Cambria Math" w:hAnsi="Cambria Math"/>
          </w:rPr>
          <m:t>Recall</m:t>
        </m:r>
      </m:oMath>
      <w:r w:rsidR="00092EA4">
        <w:t xml:space="preserve"> = </w:t>
      </w:r>
      <m:oMath>
        <m:f>
          <m:fPr>
            <m:ctrlPr>
              <w:rPr>
                <w:rFonts w:ascii="Cambria Math" w:hAnsi="Cambria Math"/>
                <w:i/>
              </w:rPr>
            </m:ctrlPr>
          </m:fPr>
          <m:num>
            <m:r>
              <w:rPr>
                <w:rFonts w:ascii="Cambria Math" w:hAnsi="Cambria Math"/>
              </w:rPr>
              <m:t xml:space="preserve">True Positive  </m:t>
            </m:r>
          </m:num>
          <m:den>
            <m:r>
              <w:rPr>
                <w:rFonts w:ascii="Cambria Math" w:hAnsi="Cambria Math"/>
              </w:rPr>
              <m:t xml:space="preserve">True Positive+False Negative </m:t>
            </m:r>
          </m:den>
        </m:f>
      </m:oMath>
      <w:r w:rsidR="00092EA4">
        <w:rPr>
          <w:rFonts w:eastAsiaTheme="minorEastAsia"/>
        </w:rPr>
        <w:t xml:space="preserve">  </w:t>
      </w:r>
      <w:r w:rsidR="00327C19">
        <w:rPr>
          <w:rFonts w:eastAsiaTheme="minorEastAsia"/>
        </w:rPr>
        <w:t xml:space="preserve"> </w:t>
      </w:r>
    </w:p>
    <w:p w14:paraId="4E9AF295" w14:textId="0E9298F3" w:rsidR="006024FE" w:rsidRDefault="00327C19" w:rsidP="00ED0763">
      <w:pPr>
        <w:jc w:val="both"/>
      </w:pPr>
      <m:oMath>
        <m:r>
          <w:rPr>
            <w:rFonts w:ascii="Cambria Math" w:hAnsi="Cambria Math"/>
          </w:rPr>
          <m:t>F-Score</m:t>
        </m:r>
      </m:oMath>
      <w:r>
        <w:t xml:space="preserve"> = </w:t>
      </w:r>
      <m:oMath>
        <m:r>
          <w:rPr>
            <w:rFonts w:ascii="Cambria Math" w:hAnsi="Cambria Math"/>
          </w:rPr>
          <m:t xml:space="preserve"> </m:t>
        </m:r>
        <m:f>
          <m:fPr>
            <m:ctrlPr>
              <w:rPr>
                <w:rFonts w:ascii="Cambria Math" w:hAnsi="Cambria Math"/>
                <w:i/>
              </w:rPr>
            </m:ctrlPr>
          </m:fPr>
          <m:num>
            <m:r>
              <w:rPr>
                <w:rFonts w:ascii="Cambria Math" w:hAnsi="Cambria Math"/>
              </w:rPr>
              <m:t xml:space="preserve">2*Precision*Recall </m:t>
            </m:r>
          </m:num>
          <m:den>
            <m:r>
              <w:rPr>
                <w:rFonts w:ascii="Cambria Math" w:hAnsi="Cambria Math"/>
              </w:rPr>
              <m:t xml:space="preserve">Precision+Recall </m:t>
            </m:r>
          </m:den>
        </m:f>
      </m:oMath>
      <w:r>
        <w:rPr>
          <w:rFonts w:eastAsiaTheme="minorEastAsia"/>
        </w:rPr>
        <w:t xml:space="preserve">  </w:t>
      </w:r>
    </w:p>
    <w:p w14:paraId="29025A1A" w14:textId="55A2D6AE" w:rsidR="00A3079C" w:rsidRDefault="00A3079C" w:rsidP="00ED0763">
      <w:pPr>
        <w:pStyle w:val="Heading2"/>
        <w:jc w:val="both"/>
      </w:pPr>
      <w:r>
        <w:t>Classifiers</w:t>
      </w:r>
    </w:p>
    <w:p w14:paraId="6312B29E" w14:textId="600ABD79" w:rsidR="00D9532E" w:rsidRDefault="00D9532E" w:rsidP="00ED0763">
      <w:pPr>
        <w:jc w:val="both"/>
      </w:pPr>
      <w:r>
        <w:t xml:space="preserve">Some of the models require standardizing while its optional in others. For simplicity standardization is performed on all the </w:t>
      </w:r>
      <w:r w:rsidR="009A6FAC">
        <w:t xml:space="preserve">training and testing </w:t>
      </w:r>
      <w:r w:rsidR="001C2439">
        <w:t>set</w:t>
      </w:r>
      <w:r w:rsidR="00BA7DA5">
        <w:t xml:space="preserve"> except Naïve Bayes</w:t>
      </w:r>
      <w:r>
        <w:t>.</w:t>
      </w:r>
      <w:r w:rsidR="009F235E">
        <w:t xml:space="preserve"> </w:t>
      </w:r>
      <w:r w:rsidR="00876D79">
        <w:t xml:space="preserve">In order to tune the best hyper parameters, </w:t>
      </w:r>
      <w:proofErr w:type="spellStart"/>
      <w:r w:rsidR="00876D79">
        <w:t>GridSearchCV</w:t>
      </w:r>
      <w:proofErr w:type="spellEnd"/>
      <w:r w:rsidR="00876D79">
        <w:t xml:space="preserve"> is performed </w:t>
      </w:r>
      <w:r w:rsidR="00282CDB">
        <w:t>on</w:t>
      </w:r>
      <w:r w:rsidR="00876D79">
        <w:t xml:space="preserve"> the training set. In </w:t>
      </w:r>
      <w:r w:rsidR="008E5A39">
        <w:t>order</w:t>
      </w:r>
      <w:r w:rsidR="00876D79">
        <w:t xml:space="preserve"> to </w:t>
      </w:r>
      <w:r w:rsidR="008E5A39">
        <w:t>find</w:t>
      </w:r>
      <w:r w:rsidR="00876D79">
        <w:t xml:space="preserve"> the best hyperparameter</w:t>
      </w:r>
      <w:r w:rsidR="00AD7710">
        <w:t>s</w:t>
      </w:r>
      <w:r w:rsidR="00876D79">
        <w:t xml:space="preserve">, cross validation was also done. Finally, the best estimator used in the training in terms of precision is used to predict labels in the testing set. The following models are listed with their </w:t>
      </w:r>
      <w:r w:rsidR="0033121A">
        <w:t xml:space="preserve">respective best hyper parameters. </w:t>
      </w:r>
    </w:p>
    <w:p w14:paraId="39A094DE" w14:textId="2EA93EAA" w:rsidR="00402C95" w:rsidRDefault="004F65FD" w:rsidP="00ED0763">
      <w:pPr>
        <w:pStyle w:val="ListParagraph"/>
        <w:numPr>
          <w:ilvl w:val="0"/>
          <w:numId w:val="4"/>
        </w:numPr>
        <w:jc w:val="both"/>
      </w:pPr>
      <w:r w:rsidRPr="003D7A07">
        <w:rPr>
          <w:b/>
          <w:bCs/>
        </w:rPr>
        <w:t>KNN classifier</w:t>
      </w:r>
      <w:r>
        <w:t xml:space="preserve"> was performed for k ranging from 3 to 19 (odd numbers only). The one with the highest precision had k (nearest neighbor) = 1</w:t>
      </w:r>
      <w:r w:rsidR="00022571">
        <w:t>9</w:t>
      </w:r>
    </w:p>
    <w:p w14:paraId="18339B64" w14:textId="5B31A4EB" w:rsidR="00427C54" w:rsidRDefault="003A2307" w:rsidP="00ED0763">
      <w:pPr>
        <w:pStyle w:val="ListParagraph"/>
        <w:numPr>
          <w:ilvl w:val="0"/>
          <w:numId w:val="4"/>
        </w:numPr>
        <w:jc w:val="both"/>
      </w:pPr>
      <w:r w:rsidRPr="0052735E">
        <w:rPr>
          <w:b/>
          <w:bCs/>
        </w:rPr>
        <w:t>Logistic Regression</w:t>
      </w:r>
      <w:r>
        <w:t xml:space="preserve"> </w:t>
      </w:r>
      <w:r w:rsidR="00295696">
        <w:t>with highest precision</w:t>
      </w:r>
      <w:r w:rsidR="007229B6">
        <w:t xml:space="preserve"> in training</w:t>
      </w:r>
      <w:r w:rsidR="00295696">
        <w:t xml:space="preserve"> had</w:t>
      </w:r>
      <w:r w:rsidR="00B94D3B">
        <w:t xml:space="preserve"> C = 0.1 and penalty = l2 as its hyperparameters. </w:t>
      </w:r>
    </w:p>
    <w:p w14:paraId="0F3E61DC" w14:textId="4F897976" w:rsidR="00D574D9" w:rsidRDefault="00D574D9" w:rsidP="00ED0763">
      <w:pPr>
        <w:pStyle w:val="ListParagraph"/>
        <w:numPr>
          <w:ilvl w:val="0"/>
          <w:numId w:val="4"/>
        </w:numPr>
        <w:jc w:val="both"/>
        <w:rPr>
          <w:b/>
          <w:bCs/>
        </w:rPr>
      </w:pPr>
      <w:r w:rsidRPr="0052735E">
        <w:rPr>
          <w:b/>
          <w:bCs/>
        </w:rPr>
        <w:t>Naïve Bayes</w:t>
      </w:r>
      <w:r w:rsidR="0033121A">
        <w:rPr>
          <w:b/>
          <w:bCs/>
        </w:rPr>
        <w:t xml:space="preserve"> </w:t>
      </w:r>
      <w:r w:rsidR="0033121A">
        <w:t>(No hyperparameters</w:t>
      </w:r>
      <w:r w:rsidR="00C24621">
        <w:t xml:space="preserve"> in the same sense as other models</w:t>
      </w:r>
      <w:r w:rsidR="0033121A">
        <w:t>)</w:t>
      </w:r>
    </w:p>
    <w:p w14:paraId="037B5486" w14:textId="1DA5A889" w:rsidR="004114CC" w:rsidRPr="00263C4F" w:rsidRDefault="004114CC" w:rsidP="00ED0763">
      <w:pPr>
        <w:pStyle w:val="ListParagraph"/>
        <w:numPr>
          <w:ilvl w:val="0"/>
          <w:numId w:val="4"/>
        </w:numPr>
        <w:jc w:val="both"/>
        <w:rPr>
          <w:b/>
          <w:bCs/>
        </w:rPr>
      </w:pPr>
      <w:r>
        <w:rPr>
          <w:b/>
          <w:bCs/>
        </w:rPr>
        <w:t xml:space="preserve">Decision Tree </w:t>
      </w:r>
      <w:r w:rsidR="00295696">
        <w:t xml:space="preserve">with highest precision </w:t>
      </w:r>
      <w:r w:rsidR="007229B6">
        <w:t xml:space="preserve">in training </w:t>
      </w:r>
      <w:r w:rsidR="00295696">
        <w:t xml:space="preserve">had criterion as ‘gini’ and maximum depth </w:t>
      </w:r>
      <w:r w:rsidR="007229B6">
        <w:t>=</w:t>
      </w:r>
      <w:r w:rsidR="00295696">
        <w:t xml:space="preserve"> 2</w:t>
      </w:r>
      <w:r>
        <w:t>.</w:t>
      </w:r>
    </w:p>
    <w:p w14:paraId="5EDFB8DB" w14:textId="4F81DD47" w:rsidR="00263C4F" w:rsidRDefault="00263C4F" w:rsidP="00ED0763">
      <w:pPr>
        <w:pStyle w:val="ListParagraph"/>
        <w:numPr>
          <w:ilvl w:val="0"/>
          <w:numId w:val="4"/>
        </w:numPr>
        <w:jc w:val="both"/>
        <w:rPr>
          <w:b/>
          <w:bCs/>
        </w:rPr>
      </w:pPr>
      <w:r>
        <w:rPr>
          <w:b/>
          <w:bCs/>
        </w:rPr>
        <w:t>Random Forest</w:t>
      </w:r>
      <w:r w:rsidR="007229B6">
        <w:rPr>
          <w:b/>
          <w:bCs/>
        </w:rPr>
        <w:t xml:space="preserve"> </w:t>
      </w:r>
      <w:r w:rsidR="007229B6">
        <w:t xml:space="preserve">with highest precision in training had maximum depth = 2, minimum sample leaf = 1, minimum sample </w:t>
      </w:r>
      <w:r w:rsidR="00C30C54">
        <w:t>split</w:t>
      </w:r>
      <w:r w:rsidR="007229B6">
        <w:t xml:space="preserve"> = 5 and number of estimators as 500. </w:t>
      </w:r>
    </w:p>
    <w:p w14:paraId="2C1F4DE1" w14:textId="6135CEE0" w:rsidR="00E026BF" w:rsidRDefault="00263C4F" w:rsidP="00ED0763">
      <w:pPr>
        <w:pStyle w:val="ListParagraph"/>
        <w:numPr>
          <w:ilvl w:val="0"/>
          <w:numId w:val="4"/>
        </w:numPr>
        <w:jc w:val="both"/>
        <w:rPr>
          <w:b/>
          <w:bCs/>
        </w:rPr>
      </w:pPr>
      <w:r>
        <w:rPr>
          <w:b/>
          <w:bCs/>
        </w:rPr>
        <w:t>Support Vector Machines</w:t>
      </w:r>
      <w:r w:rsidR="007229B6">
        <w:rPr>
          <w:b/>
          <w:bCs/>
        </w:rPr>
        <w:t xml:space="preserve"> </w:t>
      </w:r>
      <w:r w:rsidR="007229B6">
        <w:t>with highest precision in training had C=100, gamma = 0.001 and kernel as ‘</w:t>
      </w:r>
      <w:proofErr w:type="spellStart"/>
      <w:r w:rsidR="007229B6">
        <w:t>rbf</w:t>
      </w:r>
      <w:proofErr w:type="spellEnd"/>
      <w:r w:rsidR="007229B6">
        <w:t xml:space="preserve">’. </w:t>
      </w:r>
    </w:p>
    <w:p w14:paraId="68FC49C6" w14:textId="416AF79F" w:rsidR="00E026BF" w:rsidRDefault="00E026BF" w:rsidP="00ED0763">
      <w:pPr>
        <w:jc w:val="both"/>
      </w:pPr>
      <w:r>
        <w:t xml:space="preserve">The following table displays the comparison of the six models. </w:t>
      </w:r>
    </w:p>
    <w:tbl>
      <w:tblPr>
        <w:tblStyle w:val="GridTable4"/>
        <w:tblW w:w="10273" w:type="dxa"/>
        <w:jc w:val="center"/>
        <w:tblLayout w:type="fixed"/>
        <w:tblLook w:val="04A0" w:firstRow="1" w:lastRow="0" w:firstColumn="1" w:lastColumn="0" w:noHBand="0" w:noVBand="1"/>
      </w:tblPr>
      <w:tblGrid>
        <w:gridCol w:w="2000"/>
        <w:gridCol w:w="1145"/>
        <w:gridCol w:w="939"/>
        <w:gridCol w:w="1156"/>
        <w:gridCol w:w="907"/>
        <w:gridCol w:w="552"/>
        <w:gridCol w:w="544"/>
        <w:gridCol w:w="572"/>
        <w:gridCol w:w="580"/>
        <w:gridCol w:w="939"/>
        <w:gridCol w:w="939"/>
      </w:tblGrid>
      <w:tr w:rsidR="00AD3632" w14:paraId="3F940969" w14:textId="351EE59F" w:rsidTr="00FB7326">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14A73E79" w14:textId="77777777" w:rsidR="001C1CAB" w:rsidRDefault="001C1CAB" w:rsidP="00ED0763">
            <w:pPr>
              <w:jc w:val="both"/>
            </w:pPr>
            <w:bookmarkStart w:id="0" w:name="_Hlk85327430"/>
            <w:r>
              <w:t>Model</w:t>
            </w:r>
          </w:p>
        </w:tc>
        <w:tc>
          <w:tcPr>
            <w:tcW w:w="1145" w:type="dxa"/>
          </w:tcPr>
          <w:p w14:paraId="6F146F49" w14:textId="0AC9CBD1"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Accuracy</w:t>
            </w:r>
          </w:p>
        </w:tc>
        <w:tc>
          <w:tcPr>
            <w:tcW w:w="939" w:type="dxa"/>
          </w:tcPr>
          <w:p w14:paraId="1E860F25" w14:textId="07B4835D"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proofErr w:type="spellStart"/>
            <w:r>
              <w:t>FScore</w:t>
            </w:r>
            <w:proofErr w:type="spellEnd"/>
          </w:p>
        </w:tc>
        <w:tc>
          <w:tcPr>
            <w:tcW w:w="1156" w:type="dxa"/>
          </w:tcPr>
          <w:p w14:paraId="007E0FC9" w14:textId="60CA2D72"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Precision</w:t>
            </w:r>
          </w:p>
        </w:tc>
        <w:tc>
          <w:tcPr>
            <w:tcW w:w="907" w:type="dxa"/>
          </w:tcPr>
          <w:p w14:paraId="7DFE40B9" w14:textId="07C26EF0"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Recall</w:t>
            </w:r>
          </w:p>
        </w:tc>
        <w:tc>
          <w:tcPr>
            <w:tcW w:w="552" w:type="dxa"/>
          </w:tcPr>
          <w:p w14:paraId="1E05E721" w14:textId="359CBFFA"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TP</w:t>
            </w:r>
          </w:p>
        </w:tc>
        <w:tc>
          <w:tcPr>
            <w:tcW w:w="544" w:type="dxa"/>
          </w:tcPr>
          <w:p w14:paraId="6380A272" w14:textId="21A1FEA6"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FP</w:t>
            </w:r>
          </w:p>
        </w:tc>
        <w:tc>
          <w:tcPr>
            <w:tcW w:w="572" w:type="dxa"/>
          </w:tcPr>
          <w:p w14:paraId="58E4D7DD" w14:textId="46832740"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FN</w:t>
            </w:r>
          </w:p>
        </w:tc>
        <w:tc>
          <w:tcPr>
            <w:tcW w:w="580" w:type="dxa"/>
          </w:tcPr>
          <w:p w14:paraId="5E3A1B11" w14:textId="7AC4BE9C"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TN</w:t>
            </w:r>
          </w:p>
        </w:tc>
        <w:tc>
          <w:tcPr>
            <w:tcW w:w="939" w:type="dxa"/>
          </w:tcPr>
          <w:p w14:paraId="762D3696" w14:textId="12B9BE81"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TPR</w:t>
            </w:r>
          </w:p>
        </w:tc>
        <w:tc>
          <w:tcPr>
            <w:tcW w:w="939" w:type="dxa"/>
          </w:tcPr>
          <w:p w14:paraId="7D5BC5B9" w14:textId="205FA169"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TNR</w:t>
            </w:r>
          </w:p>
        </w:tc>
      </w:tr>
      <w:tr w:rsidR="007E7C1C" w14:paraId="5B7ED5FA" w14:textId="77777777" w:rsidTr="00FB73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1E8606F1" w14:textId="0C57B717" w:rsidR="007E7C1C" w:rsidRDefault="007E7C1C" w:rsidP="00ED0763">
            <w:pPr>
              <w:jc w:val="both"/>
            </w:pPr>
            <w:r>
              <w:t>KNN</w:t>
            </w:r>
          </w:p>
        </w:tc>
        <w:tc>
          <w:tcPr>
            <w:tcW w:w="1145" w:type="dxa"/>
          </w:tcPr>
          <w:p w14:paraId="16C50254" w14:textId="53818608"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0.6632</w:t>
            </w:r>
          </w:p>
        </w:tc>
        <w:tc>
          <w:tcPr>
            <w:tcW w:w="939" w:type="dxa"/>
          </w:tcPr>
          <w:p w14:paraId="1EF6FB87" w14:textId="2A4A0F46"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0.3904</w:t>
            </w:r>
          </w:p>
        </w:tc>
        <w:tc>
          <w:tcPr>
            <w:tcW w:w="1156" w:type="dxa"/>
          </w:tcPr>
          <w:p w14:paraId="041C2790" w14:textId="39B20C6A"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0.6385</w:t>
            </w:r>
          </w:p>
        </w:tc>
        <w:tc>
          <w:tcPr>
            <w:tcW w:w="907" w:type="dxa"/>
          </w:tcPr>
          <w:p w14:paraId="472677A9" w14:textId="44BD0E63"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0.2811</w:t>
            </w:r>
          </w:p>
        </w:tc>
        <w:tc>
          <w:tcPr>
            <w:tcW w:w="552" w:type="dxa"/>
          </w:tcPr>
          <w:p w14:paraId="29C958A6" w14:textId="410F7771"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106</w:t>
            </w:r>
          </w:p>
        </w:tc>
        <w:tc>
          <w:tcPr>
            <w:tcW w:w="544" w:type="dxa"/>
          </w:tcPr>
          <w:p w14:paraId="2C5AB25F" w14:textId="2BBB3BF7"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60</w:t>
            </w:r>
          </w:p>
        </w:tc>
        <w:tc>
          <w:tcPr>
            <w:tcW w:w="572" w:type="dxa"/>
          </w:tcPr>
          <w:p w14:paraId="2E79A6BA" w14:textId="5D0754FF"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271</w:t>
            </w:r>
          </w:p>
        </w:tc>
        <w:tc>
          <w:tcPr>
            <w:tcW w:w="580" w:type="dxa"/>
          </w:tcPr>
          <w:p w14:paraId="0BFDFA9A" w14:textId="5BED3501"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546</w:t>
            </w:r>
          </w:p>
        </w:tc>
        <w:tc>
          <w:tcPr>
            <w:tcW w:w="939" w:type="dxa"/>
          </w:tcPr>
          <w:p w14:paraId="29838EEF" w14:textId="7F73D95F"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0.2811</w:t>
            </w:r>
          </w:p>
        </w:tc>
        <w:tc>
          <w:tcPr>
            <w:tcW w:w="939" w:type="dxa"/>
          </w:tcPr>
          <w:p w14:paraId="370F2803" w14:textId="7CE3E4BE"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0.9009</w:t>
            </w:r>
          </w:p>
        </w:tc>
      </w:tr>
      <w:tr w:rsidR="007E7C1C" w14:paraId="43679BC2" w14:textId="77777777" w:rsidTr="00FB7326">
        <w:trPr>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0A668403" w14:textId="19CD872F" w:rsidR="007E7C1C" w:rsidRDefault="007E7C1C" w:rsidP="00ED0763">
            <w:pPr>
              <w:jc w:val="both"/>
            </w:pPr>
            <w:r>
              <w:t>Logistic Regression</w:t>
            </w:r>
          </w:p>
        </w:tc>
        <w:tc>
          <w:tcPr>
            <w:tcW w:w="1145" w:type="dxa"/>
          </w:tcPr>
          <w:p w14:paraId="19E31F8D" w14:textId="4DC17E5B"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0.6215</w:t>
            </w:r>
          </w:p>
        </w:tc>
        <w:tc>
          <w:tcPr>
            <w:tcW w:w="939" w:type="dxa"/>
          </w:tcPr>
          <w:p w14:paraId="393E25C0" w14:textId="2B36E3C0"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0.0606</w:t>
            </w:r>
          </w:p>
        </w:tc>
        <w:tc>
          <w:tcPr>
            <w:tcW w:w="1156" w:type="dxa"/>
          </w:tcPr>
          <w:p w14:paraId="203AF774" w14:textId="6DDC5B93"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0.6315</w:t>
            </w:r>
          </w:p>
        </w:tc>
        <w:tc>
          <w:tcPr>
            <w:tcW w:w="907" w:type="dxa"/>
          </w:tcPr>
          <w:p w14:paraId="1133DDE2" w14:textId="1D5B6595"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0.0318</w:t>
            </w:r>
          </w:p>
        </w:tc>
        <w:tc>
          <w:tcPr>
            <w:tcW w:w="552" w:type="dxa"/>
          </w:tcPr>
          <w:p w14:paraId="0DD3D82F" w14:textId="0C23B982"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12</w:t>
            </w:r>
          </w:p>
        </w:tc>
        <w:tc>
          <w:tcPr>
            <w:tcW w:w="544" w:type="dxa"/>
          </w:tcPr>
          <w:p w14:paraId="13193594" w14:textId="33898721"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7</w:t>
            </w:r>
          </w:p>
        </w:tc>
        <w:tc>
          <w:tcPr>
            <w:tcW w:w="572" w:type="dxa"/>
          </w:tcPr>
          <w:p w14:paraId="49293293" w14:textId="7450DDE4"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365</w:t>
            </w:r>
          </w:p>
        </w:tc>
        <w:tc>
          <w:tcPr>
            <w:tcW w:w="580" w:type="dxa"/>
          </w:tcPr>
          <w:p w14:paraId="4C861A00" w14:textId="00E54CEA"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599</w:t>
            </w:r>
          </w:p>
        </w:tc>
        <w:tc>
          <w:tcPr>
            <w:tcW w:w="939" w:type="dxa"/>
          </w:tcPr>
          <w:p w14:paraId="4FA061B8" w14:textId="58E6D58B"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0.0318</w:t>
            </w:r>
          </w:p>
        </w:tc>
        <w:tc>
          <w:tcPr>
            <w:tcW w:w="939" w:type="dxa"/>
          </w:tcPr>
          <w:p w14:paraId="56D1A303" w14:textId="2BBE34CB"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0.9884</w:t>
            </w:r>
          </w:p>
        </w:tc>
      </w:tr>
      <w:tr w:rsidR="007E7C1C" w14:paraId="67C0589B" w14:textId="44BD368E" w:rsidTr="00FB73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2D39D0CB" w14:textId="77777777" w:rsidR="001C1CAB" w:rsidRDefault="001C1CAB" w:rsidP="00ED0763">
            <w:pPr>
              <w:jc w:val="both"/>
            </w:pPr>
            <w:r>
              <w:t>Naïve Bayes</w:t>
            </w:r>
          </w:p>
        </w:tc>
        <w:tc>
          <w:tcPr>
            <w:tcW w:w="1145" w:type="dxa"/>
          </w:tcPr>
          <w:p w14:paraId="1E0BD8CF" w14:textId="75BC6BB9" w:rsidR="001C1CAB" w:rsidRPr="00BE75F0"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0.6368</w:t>
            </w:r>
          </w:p>
        </w:tc>
        <w:tc>
          <w:tcPr>
            <w:tcW w:w="939" w:type="dxa"/>
          </w:tcPr>
          <w:p w14:paraId="48E32453" w14:textId="7A8476EF"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0.3449</w:t>
            </w:r>
          </w:p>
        </w:tc>
        <w:tc>
          <w:tcPr>
            <w:tcW w:w="1156" w:type="dxa"/>
          </w:tcPr>
          <w:p w14:paraId="79F54A29" w14:textId="5FBD6CF5"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0.5595</w:t>
            </w:r>
          </w:p>
        </w:tc>
        <w:tc>
          <w:tcPr>
            <w:tcW w:w="907" w:type="dxa"/>
          </w:tcPr>
          <w:p w14:paraId="4789479A" w14:textId="243CD10D"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0.2493</w:t>
            </w:r>
          </w:p>
        </w:tc>
        <w:tc>
          <w:tcPr>
            <w:tcW w:w="552" w:type="dxa"/>
          </w:tcPr>
          <w:p w14:paraId="788CC6F1" w14:textId="677941C8"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94</w:t>
            </w:r>
          </w:p>
        </w:tc>
        <w:tc>
          <w:tcPr>
            <w:tcW w:w="544" w:type="dxa"/>
          </w:tcPr>
          <w:p w14:paraId="4BB91040" w14:textId="18475E96"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74</w:t>
            </w:r>
          </w:p>
        </w:tc>
        <w:tc>
          <w:tcPr>
            <w:tcW w:w="572" w:type="dxa"/>
          </w:tcPr>
          <w:p w14:paraId="15B1351A" w14:textId="5E74F8F8"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283</w:t>
            </w:r>
          </w:p>
        </w:tc>
        <w:tc>
          <w:tcPr>
            <w:tcW w:w="580" w:type="dxa"/>
          </w:tcPr>
          <w:p w14:paraId="4A4EF5B8" w14:textId="1DBED15E"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532</w:t>
            </w:r>
          </w:p>
        </w:tc>
        <w:tc>
          <w:tcPr>
            <w:tcW w:w="939" w:type="dxa"/>
          </w:tcPr>
          <w:p w14:paraId="5235746D" w14:textId="5AE57F03"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0.2493</w:t>
            </w:r>
          </w:p>
        </w:tc>
        <w:tc>
          <w:tcPr>
            <w:tcW w:w="939" w:type="dxa"/>
          </w:tcPr>
          <w:p w14:paraId="29E2B23D" w14:textId="64A3042D"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0.8778</w:t>
            </w:r>
          </w:p>
        </w:tc>
      </w:tr>
      <w:tr w:rsidR="007E7C1C" w14:paraId="1505F213" w14:textId="78DCA107" w:rsidTr="00FB7326">
        <w:trPr>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5914186F" w14:textId="77777777" w:rsidR="001C1CAB" w:rsidRDefault="001C1CAB" w:rsidP="00ED0763">
            <w:pPr>
              <w:jc w:val="both"/>
            </w:pPr>
            <w:r>
              <w:t>Decision Tree</w:t>
            </w:r>
          </w:p>
        </w:tc>
        <w:tc>
          <w:tcPr>
            <w:tcW w:w="1145" w:type="dxa"/>
          </w:tcPr>
          <w:p w14:paraId="72FA4A44" w14:textId="6AA50097" w:rsidR="001C1CAB" w:rsidRPr="00BE75F0" w:rsidRDefault="005E73F7" w:rsidP="00ED0763">
            <w:pPr>
              <w:jc w:val="both"/>
              <w:cnfStyle w:val="000000000000" w:firstRow="0" w:lastRow="0" w:firstColumn="0" w:lastColumn="0" w:oddVBand="0" w:evenVBand="0" w:oddHBand="0" w:evenHBand="0" w:firstRowFirstColumn="0" w:firstRowLastColumn="0" w:lastRowFirstColumn="0" w:lastRowLastColumn="0"/>
            </w:pPr>
            <w:r w:rsidRPr="004F7038">
              <w:t>0.7049</w:t>
            </w:r>
          </w:p>
        </w:tc>
        <w:tc>
          <w:tcPr>
            <w:tcW w:w="939" w:type="dxa"/>
          </w:tcPr>
          <w:p w14:paraId="7DB338F7" w14:textId="653F31C2"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817103">
              <w:rPr>
                <w:color w:val="00B050"/>
              </w:rPr>
              <w:t>0.3855</w:t>
            </w:r>
          </w:p>
        </w:tc>
        <w:tc>
          <w:tcPr>
            <w:tcW w:w="1156" w:type="dxa"/>
          </w:tcPr>
          <w:p w14:paraId="5651EC1F" w14:textId="06F716FA"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0.9578</w:t>
            </w:r>
          </w:p>
        </w:tc>
        <w:tc>
          <w:tcPr>
            <w:tcW w:w="907" w:type="dxa"/>
          </w:tcPr>
          <w:p w14:paraId="06FFFAC8" w14:textId="39895E00"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0.2413</w:t>
            </w:r>
          </w:p>
        </w:tc>
        <w:tc>
          <w:tcPr>
            <w:tcW w:w="552" w:type="dxa"/>
          </w:tcPr>
          <w:p w14:paraId="254489AC" w14:textId="0ED8FD98"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91</w:t>
            </w:r>
          </w:p>
        </w:tc>
        <w:tc>
          <w:tcPr>
            <w:tcW w:w="544" w:type="dxa"/>
          </w:tcPr>
          <w:p w14:paraId="51625C1B" w14:textId="358561E6"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4</w:t>
            </w:r>
          </w:p>
        </w:tc>
        <w:tc>
          <w:tcPr>
            <w:tcW w:w="572" w:type="dxa"/>
          </w:tcPr>
          <w:p w14:paraId="457462BB" w14:textId="4C39B936"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286</w:t>
            </w:r>
          </w:p>
        </w:tc>
        <w:tc>
          <w:tcPr>
            <w:tcW w:w="580" w:type="dxa"/>
          </w:tcPr>
          <w:p w14:paraId="1CFC817E" w14:textId="606260EB"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602</w:t>
            </w:r>
          </w:p>
        </w:tc>
        <w:tc>
          <w:tcPr>
            <w:tcW w:w="939" w:type="dxa"/>
          </w:tcPr>
          <w:p w14:paraId="1E008549" w14:textId="56FC872E"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0.2413</w:t>
            </w:r>
          </w:p>
        </w:tc>
        <w:tc>
          <w:tcPr>
            <w:tcW w:w="939" w:type="dxa"/>
          </w:tcPr>
          <w:p w14:paraId="431A85B3" w14:textId="712A44FC"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0.9933</w:t>
            </w:r>
          </w:p>
        </w:tc>
      </w:tr>
      <w:tr w:rsidR="007E7C1C" w14:paraId="6EC40A6D" w14:textId="6B87FD1D" w:rsidTr="00FB73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2024915B" w14:textId="11A59AC1" w:rsidR="001C1CAB" w:rsidRDefault="001C1CAB" w:rsidP="00ED0763">
            <w:pPr>
              <w:jc w:val="both"/>
            </w:pPr>
            <w:r>
              <w:t xml:space="preserve">Random Forest </w:t>
            </w:r>
          </w:p>
        </w:tc>
        <w:tc>
          <w:tcPr>
            <w:tcW w:w="1145" w:type="dxa"/>
          </w:tcPr>
          <w:p w14:paraId="35E90A5B" w14:textId="5D71F543" w:rsidR="001C1CAB" w:rsidRPr="00BE75F0"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0.6734</w:t>
            </w:r>
          </w:p>
        </w:tc>
        <w:tc>
          <w:tcPr>
            <w:tcW w:w="939" w:type="dxa"/>
          </w:tcPr>
          <w:p w14:paraId="33300DBF" w14:textId="0E6063A8"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0.2620</w:t>
            </w:r>
          </w:p>
        </w:tc>
        <w:tc>
          <w:tcPr>
            <w:tcW w:w="1156" w:type="dxa"/>
          </w:tcPr>
          <w:p w14:paraId="62E1D76E" w14:textId="20E08531"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817103">
              <w:rPr>
                <w:color w:val="00B050"/>
              </w:rPr>
              <w:t>0.9827</w:t>
            </w:r>
          </w:p>
        </w:tc>
        <w:tc>
          <w:tcPr>
            <w:tcW w:w="907" w:type="dxa"/>
          </w:tcPr>
          <w:p w14:paraId="483F04AC" w14:textId="7290ACBF"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0.1511</w:t>
            </w:r>
          </w:p>
        </w:tc>
        <w:tc>
          <w:tcPr>
            <w:tcW w:w="552" w:type="dxa"/>
          </w:tcPr>
          <w:p w14:paraId="34A31C7E" w14:textId="3D949FD9"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57</w:t>
            </w:r>
          </w:p>
        </w:tc>
        <w:tc>
          <w:tcPr>
            <w:tcW w:w="544" w:type="dxa"/>
          </w:tcPr>
          <w:p w14:paraId="7088D7BA" w14:textId="09C51204"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1</w:t>
            </w:r>
          </w:p>
        </w:tc>
        <w:tc>
          <w:tcPr>
            <w:tcW w:w="572" w:type="dxa"/>
          </w:tcPr>
          <w:p w14:paraId="4CC8DF20" w14:textId="28CBC995"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320</w:t>
            </w:r>
          </w:p>
        </w:tc>
        <w:tc>
          <w:tcPr>
            <w:tcW w:w="580" w:type="dxa"/>
          </w:tcPr>
          <w:p w14:paraId="51249F79" w14:textId="4C209BA7"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605</w:t>
            </w:r>
          </w:p>
        </w:tc>
        <w:tc>
          <w:tcPr>
            <w:tcW w:w="939" w:type="dxa"/>
          </w:tcPr>
          <w:p w14:paraId="0506BE6D" w14:textId="00B63936"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0.1511</w:t>
            </w:r>
          </w:p>
        </w:tc>
        <w:tc>
          <w:tcPr>
            <w:tcW w:w="939" w:type="dxa"/>
          </w:tcPr>
          <w:p w14:paraId="5B06409D" w14:textId="3DA28875"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0.9983</w:t>
            </w:r>
          </w:p>
        </w:tc>
      </w:tr>
      <w:tr w:rsidR="00304569" w14:paraId="5DC91ECB" w14:textId="77777777" w:rsidTr="00FB7326">
        <w:trPr>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2DC83543" w14:textId="7CB8A2A7" w:rsidR="00304569" w:rsidRDefault="00304569" w:rsidP="00ED0763">
            <w:pPr>
              <w:jc w:val="both"/>
            </w:pPr>
            <w:r>
              <w:t>SVM</w:t>
            </w:r>
          </w:p>
        </w:tc>
        <w:tc>
          <w:tcPr>
            <w:tcW w:w="1145" w:type="dxa"/>
          </w:tcPr>
          <w:p w14:paraId="74B01C8F" w14:textId="75156EAA"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0.6358</w:t>
            </w:r>
          </w:p>
        </w:tc>
        <w:tc>
          <w:tcPr>
            <w:tcW w:w="939" w:type="dxa"/>
          </w:tcPr>
          <w:p w14:paraId="23449642" w14:textId="033C445D"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0.1050</w:t>
            </w:r>
          </w:p>
        </w:tc>
        <w:tc>
          <w:tcPr>
            <w:tcW w:w="1156" w:type="dxa"/>
          </w:tcPr>
          <w:p w14:paraId="194522A4" w14:textId="7DDF20CB"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0.9130</w:t>
            </w:r>
          </w:p>
        </w:tc>
        <w:tc>
          <w:tcPr>
            <w:tcW w:w="907" w:type="dxa"/>
          </w:tcPr>
          <w:p w14:paraId="0C4EBE0E" w14:textId="44E3975D"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0.0557</w:t>
            </w:r>
          </w:p>
        </w:tc>
        <w:tc>
          <w:tcPr>
            <w:tcW w:w="552" w:type="dxa"/>
          </w:tcPr>
          <w:p w14:paraId="43DDD5B5" w14:textId="31AC1946"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21</w:t>
            </w:r>
          </w:p>
        </w:tc>
        <w:tc>
          <w:tcPr>
            <w:tcW w:w="544" w:type="dxa"/>
          </w:tcPr>
          <w:p w14:paraId="305C6A8E" w14:textId="3252720A"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2</w:t>
            </w:r>
          </w:p>
        </w:tc>
        <w:tc>
          <w:tcPr>
            <w:tcW w:w="572" w:type="dxa"/>
          </w:tcPr>
          <w:p w14:paraId="64708F58" w14:textId="2D326090"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356</w:t>
            </w:r>
          </w:p>
        </w:tc>
        <w:tc>
          <w:tcPr>
            <w:tcW w:w="580" w:type="dxa"/>
          </w:tcPr>
          <w:p w14:paraId="4D3800EE" w14:textId="3D34E0C5"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604</w:t>
            </w:r>
          </w:p>
        </w:tc>
        <w:tc>
          <w:tcPr>
            <w:tcW w:w="939" w:type="dxa"/>
          </w:tcPr>
          <w:p w14:paraId="78887BC1" w14:textId="61F53726"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0.0557</w:t>
            </w:r>
          </w:p>
        </w:tc>
        <w:tc>
          <w:tcPr>
            <w:tcW w:w="939" w:type="dxa"/>
          </w:tcPr>
          <w:p w14:paraId="27009E64" w14:textId="3D9FF269"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0.9967</w:t>
            </w:r>
          </w:p>
        </w:tc>
      </w:tr>
    </w:tbl>
    <w:p w14:paraId="47563EFE" w14:textId="2DB5D69F" w:rsidR="00FE768E" w:rsidRDefault="00DF16EA" w:rsidP="00DF16EA">
      <w:pPr>
        <w:jc w:val="center"/>
      </w:pPr>
      <w:r>
        <w:t>Table</w:t>
      </w:r>
      <w:r w:rsidR="00243273">
        <w:t>1</w:t>
      </w:r>
      <w:r>
        <w:t>: Metrics of all classifiers</w:t>
      </w:r>
    </w:p>
    <w:bookmarkEnd w:id="0"/>
    <w:p w14:paraId="2FCB31D1" w14:textId="1773EDA1" w:rsidR="00397586" w:rsidRDefault="00A05CC2" w:rsidP="00ED0763">
      <w:pPr>
        <w:jc w:val="both"/>
      </w:pPr>
      <w:r>
        <w:t xml:space="preserve">Decision Tree and Random Forest classifiers were </w:t>
      </w:r>
      <w:r w:rsidR="00876C2C">
        <w:t>clearly</w:t>
      </w:r>
      <w:r>
        <w:t xml:space="preserve"> the pick of the lot. The main idea behind our metric selection is to remove false positive. It can be very dangerous for public if rate of false positive is high. The recall values </w:t>
      </w:r>
      <w:r w:rsidR="00FB4C29">
        <w:t>were</w:t>
      </w:r>
      <w:r>
        <w:t xml:space="preserve"> also low for the classifiers. Purely based on precision, </w:t>
      </w:r>
      <w:r w:rsidR="00817103" w:rsidRPr="00422E60">
        <w:rPr>
          <w:b/>
          <w:bCs/>
        </w:rPr>
        <w:t>R</w:t>
      </w:r>
      <w:r w:rsidRPr="00422E60">
        <w:rPr>
          <w:b/>
          <w:bCs/>
        </w:rPr>
        <w:t xml:space="preserve">andom </w:t>
      </w:r>
      <w:r w:rsidR="00817103" w:rsidRPr="00422E60">
        <w:rPr>
          <w:b/>
          <w:bCs/>
        </w:rPr>
        <w:t>F</w:t>
      </w:r>
      <w:r w:rsidRPr="00422E60">
        <w:rPr>
          <w:b/>
          <w:bCs/>
        </w:rPr>
        <w:t>orest</w:t>
      </w:r>
      <w:r>
        <w:t xml:space="preserve"> should be selected as the best model. In case where</w:t>
      </w:r>
      <w:r w:rsidR="00817103">
        <w:t xml:space="preserve"> F-scores and</w:t>
      </w:r>
      <w:r>
        <w:t xml:space="preserve"> recall are also considered, </w:t>
      </w:r>
      <w:r w:rsidR="00817103">
        <w:t>D</w:t>
      </w:r>
      <w:r>
        <w:t xml:space="preserve">ecision </w:t>
      </w:r>
      <w:r w:rsidR="00817103">
        <w:t>T</w:t>
      </w:r>
      <w:r>
        <w:t xml:space="preserve">ree stood out the most. </w:t>
      </w:r>
      <w:r w:rsidR="00EE7AD0">
        <w:t>KNN</w:t>
      </w:r>
      <w:r w:rsidR="00DF55D4">
        <w:t xml:space="preserve"> did have the highest recall, but the number of false positive surely established that it is not a suitable model for </w:t>
      </w:r>
      <w:r w:rsidR="00567C29">
        <w:t xml:space="preserve">our objective. </w:t>
      </w:r>
    </w:p>
    <w:p w14:paraId="2DAB810A" w14:textId="38032718" w:rsidR="00530002" w:rsidRDefault="00594916" w:rsidP="00ED0763">
      <w:pPr>
        <w:jc w:val="both"/>
      </w:pPr>
      <w:r>
        <w:t>Decision Tree had the highest accuracy of 70.49% followed by Random Forest at 67.34% and KNN at 66.32%</w:t>
      </w:r>
      <w:r w:rsidR="00422E60">
        <w:t>. Accuracy is definitely not a suitable measure due to the class imbalance</w:t>
      </w:r>
      <w:r w:rsidR="00B91DE0">
        <w:t xml:space="preserve"> and importance of false </w:t>
      </w:r>
      <w:r w:rsidR="00B91DE0">
        <w:lastRenderedPageBreak/>
        <w:t>positives for this projec</w:t>
      </w:r>
      <w:r w:rsidR="00777E4C">
        <w:t>t</w:t>
      </w:r>
      <w:r w:rsidR="00422E60">
        <w:t xml:space="preserve">. </w:t>
      </w:r>
      <w:r w:rsidR="004F7038">
        <w:t xml:space="preserve">To </w:t>
      </w:r>
      <w:r w:rsidR="00777E4C">
        <w:t>overcome the imbalance</w:t>
      </w:r>
      <w:r w:rsidR="004F7038">
        <w:t xml:space="preserve"> issue, under-sampling or over-sampling (using SMOTE) </w:t>
      </w:r>
      <w:r w:rsidR="002B1C95">
        <w:t>is often performed</w:t>
      </w:r>
      <w:r w:rsidR="004F7038">
        <w:t>.</w:t>
      </w:r>
      <w:r w:rsidR="008B3767">
        <w:t xml:space="preserve"> </w:t>
      </w:r>
    </w:p>
    <w:p w14:paraId="552B8127" w14:textId="72FEE461" w:rsidR="005E73F7" w:rsidRDefault="0069408E" w:rsidP="00ED0763">
      <w:pPr>
        <w:jc w:val="both"/>
      </w:pPr>
      <w:r>
        <w:t xml:space="preserve">Finally, </w:t>
      </w:r>
      <w:r w:rsidR="000F0F09">
        <w:t xml:space="preserve">we can conclude </w:t>
      </w:r>
      <w:r>
        <w:t xml:space="preserve">the best model selected is Random Forest with </w:t>
      </w:r>
      <w:r w:rsidR="008B3767">
        <w:t xml:space="preserve">highest </w:t>
      </w:r>
      <w:r>
        <w:t>precision of 0.9827</w:t>
      </w:r>
      <w:r w:rsidR="008B3767">
        <w:t xml:space="preserve"> for this project. </w:t>
      </w:r>
    </w:p>
    <w:p w14:paraId="395DC275" w14:textId="69B3C687" w:rsidR="00D67B08" w:rsidRPr="00D21CDA" w:rsidRDefault="00D67B08" w:rsidP="00ED0763">
      <w:pPr>
        <w:jc w:val="both"/>
      </w:pPr>
      <w:r>
        <w:t>A way of improving the classifier involves feature selection and feature generation. In feature selection, some important features are selected in order to predict the class. The redundant features are removed from the model. While combining features and creating new features from them sometimes increases the performance of the model, and this process is called feature generation.</w:t>
      </w:r>
    </w:p>
    <w:p w14:paraId="74F0515C" w14:textId="251B8FAB" w:rsidR="008B3767" w:rsidRDefault="008B3767" w:rsidP="00ED0763">
      <w:pPr>
        <w:jc w:val="both"/>
      </w:pPr>
      <w:r w:rsidRPr="00530002">
        <w:t xml:space="preserve">Note: The </w:t>
      </w:r>
      <w:proofErr w:type="spellStart"/>
      <w:r w:rsidRPr="00530002">
        <w:t>gridsearchCV</w:t>
      </w:r>
      <w:proofErr w:type="spellEnd"/>
      <w:r w:rsidRPr="00530002">
        <w:t xml:space="preserve"> for Random Forest and SVM are commented out in the code, as the process takes much longer to run. The best parameters are selected</w:t>
      </w:r>
      <w:r w:rsidR="005C53E2" w:rsidRPr="00530002">
        <w:t xml:space="preserve"> for them</w:t>
      </w:r>
      <w:r w:rsidR="00DC0165">
        <w:t xml:space="preserve"> manually</w:t>
      </w:r>
      <w:r w:rsidRPr="00530002">
        <w:t xml:space="preserve">, and the </w:t>
      </w:r>
      <w:r w:rsidR="005C53E2" w:rsidRPr="00530002">
        <w:t xml:space="preserve">metrics are calculated using those hyperparameters. </w:t>
      </w:r>
    </w:p>
    <w:p w14:paraId="3376D403" w14:textId="76EFF912" w:rsidR="00792D4A" w:rsidRDefault="00792D4A" w:rsidP="00F1211C">
      <w:pPr>
        <w:pStyle w:val="Heading2"/>
      </w:pPr>
      <w:r>
        <w:t>Appendix</w:t>
      </w:r>
    </w:p>
    <w:p w14:paraId="00EE8D2E" w14:textId="43DD2659" w:rsidR="00792D4A" w:rsidRDefault="007C267D" w:rsidP="00ED0763">
      <w:pPr>
        <w:jc w:val="both"/>
      </w:pPr>
      <w:r>
        <w:rPr>
          <w:noProof/>
        </w:rPr>
        <w:drawing>
          <wp:inline distT="0" distB="0" distL="0" distR="0" wp14:anchorId="161508D0" wp14:editId="5CB17820">
            <wp:extent cx="5943600" cy="4286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0838" cy="4292036"/>
                    </a:xfrm>
                    <a:prstGeom prst="rect">
                      <a:avLst/>
                    </a:prstGeom>
                  </pic:spPr>
                </pic:pic>
              </a:graphicData>
            </a:graphic>
          </wp:inline>
        </w:drawing>
      </w:r>
    </w:p>
    <w:p w14:paraId="3DEBB75B" w14:textId="297B5758" w:rsidR="00792D4A" w:rsidRDefault="00792D4A" w:rsidP="00792D4A">
      <w:pPr>
        <w:jc w:val="center"/>
      </w:pPr>
      <w:r>
        <w:t>Figure</w:t>
      </w:r>
      <w:r w:rsidR="00243273">
        <w:t>2</w:t>
      </w:r>
      <w:r>
        <w:t>: Histogram of all features</w:t>
      </w:r>
      <w:r w:rsidR="00CB17DF">
        <w:t xml:space="preserve"> in the data set</w:t>
      </w:r>
    </w:p>
    <w:p w14:paraId="7BD290E0" w14:textId="4DCA93F9" w:rsidR="008142BE" w:rsidRDefault="008142BE" w:rsidP="008142BE">
      <w:pPr>
        <w:pStyle w:val="Heading2"/>
      </w:pPr>
      <w:r>
        <w:t>References</w:t>
      </w:r>
    </w:p>
    <w:p w14:paraId="6F9B9258" w14:textId="3CCC8804" w:rsidR="008142BE" w:rsidRPr="008142BE" w:rsidRDefault="008142BE" w:rsidP="008142BE">
      <w:r w:rsidRPr="008142BE">
        <w:t>https://www.kaggle.com/adityakadiwal/water-potability</w:t>
      </w:r>
    </w:p>
    <w:sectPr w:rsidR="008142BE" w:rsidRPr="00814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36F6"/>
    <w:multiLevelType w:val="hybridMultilevel"/>
    <w:tmpl w:val="1E867E7E"/>
    <w:lvl w:ilvl="0" w:tplc="9C90E0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307E19"/>
    <w:multiLevelType w:val="hybridMultilevel"/>
    <w:tmpl w:val="CE843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E55B11"/>
    <w:multiLevelType w:val="hybridMultilevel"/>
    <w:tmpl w:val="B6849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780DA7"/>
    <w:multiLevelType w:val="hybridMultilevel"/>
    <w:tmpl w:val="92DC6B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613FFB"/>
    <w:multiLevelType w:val="hybridMultilevel"/>
    <w:tmpl w:val="6C52EF2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5E"/>
    <w:rsid w:val="00022571"/>
    <w:rsid w:val="00043982"/>
    <w:rsid w:val="00092EA4"/>
    <w:rsid w:val="000E4B67"/>
    <w:rsid w:val="000F0F09"/>
    <w:rsid w:val="001A4907"/>
    <w:rsid w:val="001B14D3"/>
    <w:rsid w:val="001C1CAB"/>
    <w:rsid w:val="001C2439"/>
    <w:rsid w:val="001C5BDA"/>
    <w:rsid w:val="00220DA6"/>
    <w:rsid w:val="00236622"/>
    <w:rsid w:val="00243273"/>
    <w:rsid w:val="00263C4F"/>
    <w:rsid w:val="00282CDB"/>
    <w:rsid w:val="00295696"/>
    <w:rsid w:val="002B1C95"/>
    <w:rsid w:val="002D4817"/>
    <w:rsid w:val="002E0902"/>
    <w:rsid w:val="00304569"/>
    <w:rsid w:val="00327C19"/>
    <w:rsid w:val="0033121A"/>
    <w:rsid w:val="0036552C"/>
    <w:rsid w:val="0038267E"/>
    <w:rsid w:val="00397586"/>
    <w:rsid w:val="003A2307"/>
    <w:rsid w:val="003D6B1A"/>
    <w:rsid w:val="003D7A07"/>
    <w:rsid w:val="003E53D2"/>
    <w:rsid w:val="00402C95"/>
    <w:rsid w:val="004114CC"/>
    <w:rsid w:val="00422E60"/>
    <w:rsid w:val="00427C54"/>
    <w:rsid w:val="004F65FD"/>
    <w:rsid w:val="004F7038"/>
    <w:rsid w:val="0052168A"/>
    <w:rsid w:val="0052735E"/>
    <w:rsid w:val="00530002"/>
    <w:rsid w:val="00543FAF"/>
    <w:rsid w:val="00560F11"/>
    <w:rsid w:val="00566BB0"/>
    <w:rsid w:val="00567C29"/>
    <w:rsid w:val="00594916"/>
    <w:rsid w:val="005C53E2"/>
    <w:rsid w:val="005D0391"/>
    <w:rsid w:val="005E73F7"/>
    <w:rsid w:val="006024FE"/>
    <w:rsid w:val="0061739C"/>
    <w:rsid w:val="00655819"/>
    <w:rsid w:val="0069408E"/>
    <w:rsid w:val="007229B6"/>
    <w:rsid w:val="007641D1"/>
    <w:rsid w:val="00774181"/>
    <w:rsid w:val="00777E4C"/>
    <w:rsid w:val="00792D4A"/>
    <w:rsid w:val="007C267D"/>
    <w:rsid w:val="007E7C1C"/>
    <w:rsid w:val="00806F43"/>
    <w:rsid w:val="008142BE"/>
    <w:rsid w:val="00817103"/>
    <w:rsid w:val="008509AC"/>
    <w:rsid w:val="00876C2C"/>
    <w:rsid w:val="00876D79"/>
    <w:rsid w:val="008B171E"/>
    <w:rsid w:val="008B3767"/>
    <w:rsid w:val="008E5A39"/>
    <w:rsid w:val="008F0B2B"/>
    <w:rsid w:val="009072BC"/>
    <w:rsid w:val="009263EE"/>
    <w:rsid w:val="00937BC3"/>
    <w:rsid w:val="00980363"/>
    <w:rsid w:val="009957C1"/>
    <w:rsid w:val="009A6FAC"/>
    <w:rsid w:val="009C12DD"/>
    <w:rsid w:val="009F235E"/>
    <w:rsid w:val="00A00DC6"/>
    <w:rsid w:val="00A01CEA"/>
    <w:rsid w:val="00A05CC2"/>
    <w:rsid w:val="00A3079C"/>
    <w:rsid w:val="00A319A5"/>
    <w:rsid w:val="00AD3632"/>
    <w:rsid w:val="00AD7710"/>
    <w:rsid w:val="00B304F1"/>
    <w:rsid w:val="00B9120B"/>
    <w:rsid w:val="00B91DE0"/>
    <w:rsid w:val="00B94D3B"/>
    <w:rsid w:val="00BA3099"/>
    <w:rsid w:val="00BA3CE9"/>
    <w:rsid w:val="00BA7DA5"/>
    <w:rsid w:val="00BF1E24"/>
    <w:rsid w:val="00C24621"/>
    <w:rsid w:val="00C26D71"/>
    <w:rsid w:val="00C30C54"/>
    <w:rsid w:val="00C740F2"/>
    <w:rsid w:val="00C85D9B"/>
    <w:rsid w:val="00CB17DF"/>
    <w:rsid w:val="00D21CDA"/>
    <w:rsid w:val="00D5333F"/>
    <w:rsid w:val="00D574D9"/>
    <w:rsid w:val="00D6250C"/>
    <w:rsid w:val="00D67B08"/>
    <w:rsid w:val="00D776A7"/>
    <w:rsid w:val="00D9532E"/>
    <w:rsid w:val="00DC0165"/>
    <w:rsid w:val="00DD37B7"/>
    <w:rsid w:val="00DF16EA"/>
    <w:rsid w:val="00DF535E"/>
    <w:rsid w:val="00DF55D4"/>
    <w:rsid w:val="00E026BF"/>
    <w:rsid w:val="00E45CD2"/>
    <w:rsid w:val="00E86C12"/>
    <w:rsid w:val="00EA41B8"/>
    <w:rsid w:val="00EB25B4"/>
    <w:rsid w:val="00ED0763"/>
    <w:rsid w:val="00EE772D"/>
    <w:rsid w:val="00EE7AD0"/>
    <w:rsid w:val="00F1211C"/>
    <w:rsid w:val="00F5626F"/>
    <w:rsid w:val="00F722F1"/>
    <w:rsid w:val="00F83899"/>
    <w:rsid w:val="00F92E00"/>
    <w:rsid w:val="00FB4C29"/>
    <w:rsid w:val="00FB7326"/>
    <w:rsid w:val="00FE7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AFD6"/>
  <w15:chartTrackingRefBased/>
  <w15:docId w15:val="{52E8B24E-1BC8-4FCA-AA79-11F250F8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0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6B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72BC"/>
    <w:pPr>
      <w:ind w:left="720"/>
      <w:contextualSpacing/>
    </w:pPr>
  </w:style>
  <w:style w:type="character" w:customStyle="1" w:styleId="Heading3Char">
    <w:name w:val="Heading 3 Char"/>
    <w:basedOn w:val="DefaultParagraphFont"/>
    <w:link w:val="Heading3"/>
    <w:uiPriority w:val="9"/>
    <w:rsid w:val="00560F11"/>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1C1C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7753">
      <w:bodyDiv w:val="1"/>
      <w:marLeft w:val="0"/>
      <w:marRight w:val="0"/>
      <w:marTop w:val="0"/>
      <w:marBottom w:val="0"/>
      <w:divBdr>
        <w:top w:val="none" w:sz="0" w:space="0" w:color="auto"/>
        <w:left w:val="none" w:sz="0" w:space="0" w:color="auto"/>
        <w:bottom w:val="none" w:sz="0" w:space="0" w:color="auto"/>
        <w:right w:val="none" w:sz="0" w:space="0" w:color="auto"/>
      </w:divBdr>
    </w:div>
    <w:div w:id="111020544">
      <w:bodyDiv w:val="1"/>
      <w:marLeft w:val="0"/>
      <w:marRight w:val="0"/>
      <w:marTop w:val="0"/>
      <w:marBottom w:val="0"/>
      <w:divBdr>
        <w:top w:val="none" w:sz="0" w:space="0" w:color="auto"/>
        <w:left w:val="none" w:sz="0" w:space="0" w:color="auto"/>
        <w:bottom w:val="none" w:sz="0" w:space="0" w:color="auto"/>
        <w:right w:val="none" w:sz="0" w:space="0" w:color="auto"/>
      </w:divBdr>
    </w:div>
    <w:div w:id="111755644">
      <w:bodyDiv w:val="1"/>
      <w:marLeft w:val="0"/>
      <w:marRight w:val="0"/>
      <w:marTop w:val="0"/>
      <w:marBottom w:val="0"/>
      <w:divBdr>
        <w:top w:val="none" w:sz="0" w:space="0" w:color="auto"/>
        <w:left w:val="none" w:sz="0" w:space="0" w:color="auto"/>
        <w:bottom w:val="none" w:sz="0" w:space="0" w:color="auto"/>
        <w:right w:val="none" w:sz="0" w:space="0" w:color="auto"/>
      </w:divBdr>
    </w:div>
    <w:div w:id="383532518">
      <w:bodyDiv w:val="1"/>
      <w:marLeft w:val="0"/>
      <w:marRight w:val="0"/>
      <w:marTop w:val="0"/>
      <w:marBottom w:val="0"/>
      <w:divBdr>
        <w:top w:val="none" w:sz="0" w:space="0" w:color="auto"/>
        <w:left w:val="none" w:sz="0" w:space="0" w:color="auto"/>
        <w:bottom w:val="none" w:sz="0" w:space="0" w:color="auto"/>
        <w:right w:val="none" w:sz="0" w:space="0" w:color="auto"/>
      </w:divBdr>
    </w:div>
    <w:div w:id="479689073">
      <w:bodyDiv w:val="1"/>
      <w:marLeft w:val="0"/>
      <w:marRight w:val="0"/>
      <w:marTop w:val="0"/>
      <w:marBottom w:val="0"/>
      <w:divBdr>
        <w:top w:val="none" w:sz="0" w:space="0" w:color="auto"/>
        <w:left w:val="none" w:sz="0" w:space="0" w:color="auto"/>
        <w:bottom w:val="none" w:sz="0" w:space="0" w:color="auto"/>
        <w:right w:val="none" w:sz="0" w:space="0" w:color="auto"/>
      </w:divBdr>
    </w:div>
    <w:div w:id="556552074">
      <w:bodyDiv w:val="1"/>
      <w:marLeft w:val="0"/>
      <w:marRight w:val="0"/>
      <w:marTop w:val="0"/>
      <w:marBottom w:val="0"/>
      <w:divBdr>
        <w:top w:val="none" w:sz="0" w:space="0" w:color="auto"/>
        <w:left w:val="none" w:sz="0" w:space="0" w:color="auto"/>
        <w:bottom w:val="none" w:sz="0" w:space="0" w:color="auto"/>
        <w:right w:val="none" w:sz="0" w:space="0" w:color="auto"/>
      </w:divBdr>
    </w:div>
    <w:div w:id="612134050">
      <w:bodyDiv w:val="1"/>
      <w:marLeft w:val="0"/>
      <w:marRight w:val="0"/>
      <w:marTop w:val="0"/>
      <w:marBottom w:val="0"/>
      <w:divBdr>
        <w:top w:val="none" w:sz="0" w:space="0" w:color="auto"/>
        <w:left w:val="none" w:sz="0" w:space="0" w:color="auto"/>
        <w:bottom w:val="none" w:sz="0" w:space="0" w:color="auto"/>
        <w:right w:val="none" w:sz="0" w:space="0" w:color="auto"/>
      </w:divBdr>
    </w:div>
    <w:div w:id="669018963">
      <w:bodyDiv w:val="1"/>
      <w:marLeft w:val="0"/>
      <w:marRight w:val="0"/>
      <w:marTop w:val="0"/>
      <w:marBottom w:val="0"/>
      <w:divBdr>
        <w:top w:val="none" w:sz="0" w:space="0" w:color="auto"/>
        <w:left w:val="none" w:sz="0" w:space="0" w:color="auto"/>
        <w:bottom w:val="none" w:sz="0" w:space="0" w:color="auto"/>
        <w:right w:val="none" w:sz="0" w:space="0" w:color="auto"/>
      </w:divBdr>
    </w:div>
    <w:div w:id="683896437">
      <w:bodyDiv w:val="1"/>
      <w:marLeft w:val="0"/>
      <w:marRight w:val="0"/>
      <w:marTop w:val="0"/>
      <w:marBottom w:val="0"/>
      <w:divBdr>
        <w:top w:val="none" w:sz="0" w:space="0" w:color="auto"/>
        <w:left w:val="none" w:sz="0" w:space="0" w:color="auto"/>
        <w:bottom w:val="none" w:sz="0" w:space="0" w:color="auto"/>
        <w:right w:val="none" w:sz="0" w:space="0" w:color="auto"/>
      </w:divBdr>
    </w:div>
    <w:div w:id="910626333">
      <w:bodyDiv w:val="1"/>
      <w:marLeft w:val="0"/>
      <w:marRight w:val="0"/>
      <w:marTop w:val="0"/>
      <w:marBottom w:val="0"/>
      <w:divBdr>
        <w:top w:val="none" w:sz="0" w:space="0" w:color="auto"/>
        <w:left w:val="none" w:sz="0" w:space="0" w:color="auto"/>
        <w:bottom w:val="none" w:sz="0" w:space="0" w:color="auto"/>
        <w:right w:val="none" w:sz="0" w:space="0" w:color="auto"/>
      </w:divBdr>
    </w:div>
    <w:div w:id="911622414">
      <w:bodyDiv w:val="1"/>
      <w:marLeft w:val="0"/>
      <w:marRight w:val="0"/>
      <w:marTop w:val="0"/>
      <w:marBottom w:val="0"/>
      <w:divBdr>
        <w:top w:val="none" w:sz="0" w:space="0" w:color="auto"/>
        <w:left w:val="none" w:sz="0" w:space="0" w:color="auto"/>
        <w:bottom w:val="none" w:sz="0" w:space="0" w:color="auto"/>
        <w:right w:val="none" w:sz="0" w:space="0" w:color="auto"/>
      </w:divBdr>
    </w:div>
    <w:div w:id="921718422">
      <w:bodyDiv w:val="1"/>
      <w:marLeft w:val="0"/>
      <w:marRight w:val="0"/>
      <w:marTop w:val="0"/>
      <w:marBottom w:val="0"/>
      <w:divBdr>
        <w:top w:val="none" w:sz="0" w:space="0" w:color="auto"/>
        <w:left w:val="none" w:sz="0" w:space="0" w:color="auto"/>
        <w:bottom w:val="none" w:sz="0" w:space="0" w:color="auto"/>
        <w:right w:val="none" w:sz="0" w:space="0" w:color="auto"/>
      </w:divBdr>
    </w:div>
    <w:div w:id="1115102109">
      <w:bodyDiv w:val="1"/>
      <w:marLeft w:val="0"/>
      <w:marRight w:val="0"/>
      <w:marTop w:val="0"/>
      <w:marBottom w:val="0"/>
      <w:divBdr>
        <w:top w:val="none" w:sz="0" w:space="0" w:color="auto"/>
        <w:left w:val="none" w:sz="0" w:space="0" w:color="auto"/>
        <w:bottom w:val="none" w:sz="0" w:space="0" w:color="auto"/>
        <w:right w:val="none" w:sz="0" w:space="0" w:color="auto"/>
      </w:divBdr>
    </w:div>
    <w:div w:id="1328165782">
      <w:bodyDiv w:val="1"/>
      <w:marLeft w:val="0"/>
      <w:marRight w:val="0"/>
      <w:marTop w:val="0"/>
      <w:marBottom w:val="0"/>
      <w:divBdr>
        <w:top w:val="none" w:sz="0" w:space="0" w:color="auto"/>
        <w:left w:val="none" w:sz="0" w:space="0" w:color="auto"/>
        <w:bottom w:val="none" w:sz="0" w:space="0" w:color="auto"/>
        <w:right w:val="none" w:sz="0" w:space="0" w:color="auto"/>
      </w:divBdr>
    </w:div>
    <w:div w:id="1408308236">
      <w:bodyDiv w:val="1"/>
      <w:marLeft w:val="0"/>
      <w:marRight w:val="0"/>
      <w:marTop w:val="0"/>
      <w:marBottom w:val="0"/>
      <w:divBdr>
        <w:top w:val="none" w:sz="0" w:space="0" w:color="auto"/>
        <w:left w:val="none" w:sz="0" w:space="0" w:color="auto"/>
        <w:bottom w:val="none" w:sz="0" w:space="0" w:color="auto"/>
        <w:right w:val="none" w:sz="0" w:space="0" w:color="auto"/>
      </w:divBdr>
    </w:div>
    <w:div w:id="1483161521">
      <w:bodyDiv w:val="1"/>
      <w:marLeft w:val="0"/>
      <w:marRight w:val="0"/>
      <w:marTop w:val="0"/>
      <w:marBottom w:val="0"/>
      <w:divBdr>
        <w:top w:val="none" w:sz="0" w:space="0" w:color="auto"/>
        <w:left w:val="none" w:sz="0" w:space="0" w:color="auto"/>
        <w:bottom w:val="none" w:sz="0" w:space="0" w:color="auto"/>
        <w:right w:val="none" w:sz="0" w:space="0" w:color="auto"/>
      </w:divBdr>
    </w:div>
    <w:div w:id="1528834440">
      <w:bodyDiv w:val="1"/>
      <w:marLeft w:val="0"/>
      <w:marRight w:val="0"/>
      <w:marTop w:val="0"/>
      <w:marBottom w:val="0"/>
      <w:divBdr>
        <w:top w:val="none" w:sz="0" w:space="0" w:color="auto"/>
        <w:left w:val="none" w:sz="0" w:space="0" w:color="auto"/>
        <w:bottom w:val="none" w:sz="0" w:space="0" w:color="auto"/>
        <w:right w:val="none" w:sz="0" w:space="0" w:color="auto"/>
      </w:divBdr>
    </w:div>
    <w:div w:id="1588886100">
      <w:bodyDiv w:val="1"/>
      <w:marLeft w:val="0"/>
      <w:marRight w:val="0"/>
      <w:marTop w:val="0"/>
      <w:marBottom w:val="0"/>
      <w:divBdr>
        <w:top w:val="none" w:sz="0" w:space="0" w:color="auto"/>
        <w:left w:val="none" w:sz="0" w:space="0" w:color="auto"/>
        <w:bottom w:val="none" w:sz="0" w:space="0" w:color="auto"/>
        <w:right w:val="none" w:sz="0" w:space="0" w:color="auto"/>
      </w:divBdr>
    </w:div>
    <w:div w:id="1687905098">
      <w:bodyDiv w:val="1"/>
      <w:marLeft w:val="0"/>
      <w:marRight w:val="0"/>
      <w:marTop w:val="0"/>
      <w:marBottom w:val="0"/>
      <w:divBdr>
        <w:top w:val="none" w:sz="0" w:space="0" w:color="auto"/>
        <w:left w:val="none" w:sz="0" w:space="0" w:color="auto"/>
        <w:bottom w:val="none" w:sz="0" w:space="0" w:color="auto"/>
        <w:right w:val="none" w:sz="0" w:space="0" w:color="auto"/>
      </w:divBdr>
    </w:div>
    <w:div w:id="1698506676">
      <w:bodyDiv w:val="1"/>
      <w:marLeft w:val="0"/>
      <w:marRight w:val="0"/>
      <w:marTop w:val="0"/>
      <w:marBottom w:val="0"/>
      <w:divBdr>
        <w:top w:val="none" w:sz="0" w:space="0" w:color="auto"/>
        <w:left w:val="none" w:sz="0" w:space="0" w:color="auto"/>
        <w:bottom w:val="none" w:sz="0" w:space="0" w:color="auto"/>
        <w:right w:val="none" w:sz="0" w:space="0" w:color="auto"/>
      </w:divBdr>
    </w:div>
    <w:div w:id="1845976014">
      <w:bodyDiv w:val="1"/>
      <w:marLeft w:val="0"/>
      <w:marRight w:val="0"/>
      <w:marTop w:val="0"/>
      <w:marBottom w:val="0"/>
      <w:divBdr>
        <w:top w:val="none" w:sz="0" w:space="0" w:color="auto"/>
        <w:left w:val="none" w:sz="0" w:space="0" w:color="auto"/>
        <w:bottom w:val="none" w:sz="0" w:space="0" w:color="auto"/>
        <w:right w:val="none" w:sz="0" w:space="0" w:color="auto"/>
      </w:divBdr>
    </w:div>
    <w:div w:id="1954630008">
      <w:bodyDiv w:val="1"/>
      <w:marLeft w:val="0"/>
      <w:marRight w:val="0"/>
      <w:marTop w:val="0"/>
      <w:marBottom w:val="0"/>
      <w:divBdr>
        <w:top w:val="none" w:sz="0" w:space="0" w:color="auto"/>
        <w:left w:val="none" w:sz="0" w:space="0" w:color="auto"/>
        <w:bottom w:val="none" w:sz="0" w:space="0" w:color="auto"/>
        <w:right w:val="none" w:sz="0" w:space="0" w:color="auto"/>
      </w:divBdr>
    </w:div>
    <w:div w:id="1961916749">
      <w:bodyDiv w:val="1"/>
      <w:marLeft w:val="0"/>
      <w:marRight w:val="0"/>
      <w:marTop w:val="0"/>
      <w:marBottom w:val="0"/>
      <w:divBdr>
        <w:top w:val="none" w:sz="0" w:space="0" w:color="auto"/>
        <w:left w:val="none" w:sz="0" w:space="0" w:color="auto"/>
        <w:bottom w:val="none" w:sz="0" w:space="0" w:color="auto"/>
        <w:right w:val="none" w:sz="0" w:space="0" w:color="auto"/>
      </w:divBdr>
    </w:div>
    <w:div w:id="1972402488">
      <w:bodyDiv w:val="1"/>
      <w:marLeft w:val="0"/>
      <w:marRight w:val="0"/>
      <w:marTop w:val="0"/>
      <w:marBottom w:val="0"/>
      <w:divBdr>
        <w:top w:val="none" w:sz="0" w:space="0" w:color="auto"/>
        <w:left w:val="none" w:sz="0" w:space="0" w:color="auto"/>
        <w:bottom w:val="none" w:sz="0" w:space="0" w:color="auto"/>
        <w:right w:val="none" w:sz="0" w:space="0" w:color="auto"/>
      </w:divBdr>
    </w:div>
    <w:div w:id="21053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3D4F-9B79-4FAE-BEF6-AD47F43F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12534</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Bhatnagar</dc:creator>
  <cp:keywords/>
  <dc:description/>
  <cp:lastModifiedBy>Pranav Bhatnagar</cp:lastModifiedBy>
  <cp:revision>194</cp:revision>
  <dcterms:created xsi:type="dcterms:W3CDTF">2021-08-08T03:06:00Z</dcterms:created>
  <dcterms:modified xsi:type="dcterms:W3CDTF">2021-10-17T05:43:00Z</dcterms:modified>
</cp:coreProperties>
</file>