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b/>
          <w:color w:val="16181D"/>
          <w:sz w:val="84"/>
        </w:rPr>
        <w:t>SPARKS</w:t>
      </w:r>
    </w:p>
    <w:p>
      <w:r>
        <w:rPr>
          <w:b/>
          <w:sz w:val="36"/>
        </w:rPr>
        <w:t>Gameplay-powered commerce for mobile games</w:t>
      </w:r>
    </w:p>
    <w:p>
      <w:r>
        <w:rPr>
          <w:color w:val="646059"/>
          <w:sz w:val="24"/>
        </w:rPr>
        <w:t>Product Strategy · PRD · Prototype Blueprint</w:t>
      </w:r>
    </w:p>
    <w:p>
      <w:pPr>
        <w:spacing w:before="640"/>
      </w:pPr>
      <w:r>
        <w:rPr>
          <w:b/>
          <w:sz w:val="20"/>
        </w:rPr>
        <w:t>The decision in one sentence</w:t>
      </w:r>
    </w:p>
    <w:p>
      <w:pPr>
        <w:spacing w:before="100" w:after="280"/>
      </w:pPr>
      <w:r>
        <w:rPr>
          <w:b/>
          <w:sz w:val="38"/>
        </w:rPr>
        <w:t>Do not build a normal e-commerce store inside a game. Build a rewards economy where gameplay creates purchasing utility, commerce creates incremental value, and purchases feed engagement back into gameplay.</w:t>
      </w:r>
    </w:p>
    <w:tbl>
      <w:tblPr>
        <w:tblStyle w:val="TableGrid"/>
        <w:tblW w:type="auto" w:w="0"/>
        <w:jc w:val="center"/>
        <w:tblLook w:firstColumn="1" w:firstRow="1" w:lastColumn="0" w:lastRow="0" w:noHBand="0" w:noVBand="1" w:val="04A0"/>
      </w:tblPr>
      <w:tblGrid>
        <w:gridCol w:w="5184"/>
        <w:gridCol w:w="5184"/>
      </w:tblGrid>
      <w:tr>
        <w:tc>
          <w:tcPr>
            <w:tcW w:type="dxa" w:w="2736"/>
            <w:shd w:fill="16181D"/>
            <w:tcMar>
              <w:top w:w="80" w:type="dxa"/>
              <w:start w:w="100" w:type="dxa"/>
              <w:bottom w:w="80" w:type="dxa"/>
              <w:end w:w="100" w:type="dxa"/>
            </w:tcMar>
            <w:vAlign w:val="center"/>
          </w:tcPr>
          <w:p>
            <w:r>
              <w:rPr>
                <w:b/>
                <w:color w:val="FFFFFF"/>
                <w:sz w:val="18"/>
              </w:rPr>
              <w:t>Product thesis</w:t>
            </w:r>
          </w:p>
        </w:tc>
        <w:tc>
          <w:tcPr>
            <w:tcW w:type="dxa" w:w="6768"/>
            <w:shd w:fill="16181D"/>
            <w:tcMar>
              <w:top w:w="80" w:type="dxa"/>
              <w:start w:w="100" w:type="dxa"/>
              <w:bottom w:w="80" w:type="dxa"/>
              <w:end w:w="100" w:type="dxa"/>
            </w:tcMar>
            <w:vAlign w:val="center"/>
          </w:tcPr>
          <w:p>
            <w:r>
              <w:rPr>
                <w:b/>
                <w:color w:val="FFFFFF"/>
                <w:sz w:val="18"/>
              </w:rPr>
              <w:t>What we will prove</w:t>
            </w:r>
          </w:p>
        </w:tc>
      </w:tr>
      <w:tr>
        <w:tc>
          <w:tcPr>
            <w:tcW w:type="dxa" w:w="2736"/>
            <w:tcMar>
              <w:top w:w="80" w:type="dxa"/>
              <w:start w:w="100" w:type="dxa"/>
              <w:bottom w:w="80" w:type="dxa"/>
              <w:end w:w="100" w:type="dxa"/>
            </w:tcMar>
          </w:tcPr>
          <w:p>
            <w:r>
              <w:rPr>
                <w:sz w:val="17"/>
              </w:rPr>
              <w:t>Play → Earn → Redeem → Purchase → Play</w:t>
            </w:r>
          </w:p>
        </w:tc>
        <w:tc>
          <w:tcPr>
            <w:tcW w:type="dxa" w:w="6768"/>
            <w:tcMar>
              <w:top w:w="80" w:type="dxa"/>
              <w:start w:w="100" w:type="dxa"/>
              <w:bottom w:w="80" w:type="dxa"/>
              <w:end w:w="100" w:type="dxa"/>
            </w:tcMar>
          </w:tcPr>
          <w:p>
            <w:r>
              <w:rPr>
                <w:sz w:val="17"/>
              </w:rPr>
              <w:t>Gameplay can create incremental commerce, not merely subsidise users who would have purchased anyway.</w:t>
            </w:r>
          </w:p>
        </w:tc>
      </w:tr>
      <w:tr>
        <w:tc>
          <w:tcPr>
            <w:tcW w:type="dxa" w:w="2736"/>
            <w:tcMar>
              <w:top w:w="80" w:type="dxa"/>
              <w:start w:w="100" w:type="dxa"/>
              <w:bottom w:w="80" w:type="dxa"/>
              <w:end w:w="100" w:type="dxa"/>
            </w:tcMar>
          </w:tcPr>
          <w:p>
            <w:r>
              <w:rPr>
                <w:sz w:val="17"/>
              </w:rPr>
              <w:t>North Star: Loop Completion Rate</w:t>
            </w:r>
          </w:p>
        </w:tc>
        <w:tc>
          <w:tcPr>
            <w:tcW w:type="dxa" w:w="6768"/>
            <w:tcMar>
              <w:top w:w="80" w:type="dxa"/>
              <w:start w:w="100" w:type="dxa"/>
              <w:bottom w:w="80" w:type="dxa"/>
              <w:end w:w="100" w:type="dxa"/>
            </w:tcMar>
          </w:tcPr>
          <w:p>
            <w:r>
              <w:rPr>
                <w:sz w:val="17"/>
              </w:rPr>
              <w:t>Users who complete a meaningful game-to-commerce loop within 28 days.</w:t>
            </w:r>
          </w:p>
        </w:tc>
      </w:tr>
      <w:tr>
        <w:tc>
          <w:tcPr>
            <w:tcW w:type="dxa" w:w="2736"/>
            <w:tcMar>
              <w:top w:w="80" w:type="dxa"/>
              <w:start w:w="100" w:type="dxa"/>
              <w:bottom w:w="80" w:type="dxa"/>
              <w:end w:w="100" w:type="dxa"/>
            </w:tcMar>
          </w:tcPr>
          <w:p>
            <w:r>
              <w:rPr>
                <w:sz w:val="17"/>
              </w:rPr>
              <w:t>Economic guardrail: CCIO</w:t>
            </w:r>
          </w:p>
        </w:tc>
        <w:tc>
          <w:tcPr>
            <w:tcW w:type="dxa" w:w="6768"/>
            <w:tcMar>
              <w:top w:w="80" w:type="dxa"/>
              <w:start w:w="100" w:type="dxa"/>
              <w:bottom w:w="80" w:type="dxa"/>
              <w:end w:w="100" w:type="dxa"/>
            </w:tcMar>
          </w:tcPr>
          <w:p>
            <w:r>
              <w:rPr>
                <w:sz w:val="17"/>
              </w:rPr>
              <w:t>Incremental reward cost per incremental order must stay below acquisition value.</w:t>
            </w:r>
          </w:p>
        </w:tc>
      </w:tr>
      <w:tr>
        <w:tc>
          <w:tcPr>
            <w:tcW w:type="dxa" w:w="2736"/>
            <w:tcMar>
              <w:top w:w="80" w:type="dxa"/>
              <w:start w:w="100" w:type="dxa"/>
              <w:bottom w:w="80" w:type="dxa"/>
              <w:end w:w="100" w:type="dxa"/>
            </w:tcMar>
          </w:tcPr>
          <w:p>
            <w:r>
              <w:rPr>
                <w:sz w:val="17"/>
              </w:rPr>
              <w:t>Prototype focus</w:t>
            </w:r>
          </w:p>
        </w:tc>
        <w:tc>
          <w:tcPr>
            <w:tcW w:type="dxa" w:w="6768"/>
            <w:tcMar>
              <w:top w:w="80" w:type="dxa"/>
              <w:start w:w="100" w:type="dxa"/>
              <w:bottom w:w="80" w:type="dxa"/>
              <w:end w:w="100" w:type="dxa"/>
            </w:tcMar>
          </w:tcPr>
          <w:p>
            <w:r>
              <w:rPr>
                <w:sz w:val="17"/>
              </w:rPr>
              <w:t>One complete happy path, with a goal mechanic that demonstrates the reverse loop.</w:t>
            </w:r>
          </w:p>
        </w:tc>
      </w:tr>
    </w:tbl>
    <w:p>
      <w:pPr>
        <w:spacing w:before="700"/>
      </w:pPr>
      <w:r>
        <w:rPr>
          <w:b/>
        </w:rPr>
        <w:t>Assignment fit</w:t>
      </w:r>
    </w:p>
    <w:p>
      <w:pPr>
        <w:spacing w:after="120" w:line="259" w:lineRule="auto"/>
      </w:pPr>
      <w:r>
        <w:t>The hiring brief asks for a working prototype/shareable link, a short note on product decisions and assumptions, and the AI/vibe-coding tools used. The document you are holding is deliberately the internal decision document behind that submission—not the submission itself.</w:t>
      </w:r>
    </w:p>
    <w:p>
      <w:pPr>
        <w:pageBreakBefore/>
      </w:pPr>
      <w:r>
        <w:rPr>
          <w:b/>
        </w:rPr>
        <w:t>1. Executive product brief</w:t>
      </w:r>
    </w:p>
    <w:p>
      <w:pPr>
        <w:spacing w:after="60"/>
      </w:pPr>
      <w:r>
        <w:rPr>
          <w:b/>
          <w:color w:val="78746C"/>
          <w:sz w:val="18"/>
        </w:rPr>
        <w:t>PROBLEM</w:t>
      </w:r>
    </w:p>
    <w:p>
      <w:pPr>
        <w:spacing w:after="120" w:line="259" w:lineRule="auto"/>
      </w:pPr>
      <w:r>
        <w:t>Players spend meaningful time in casual games but receive mostly in-game utility. Studios need retention and monetisation without adding more intrusive ads or IAP pressure. Brands need attributable acquisition, not just impressions.</w:t>
      </w:r>
    </w:p>
    <w:p>
      <w:pPr>
        <w:spacing w:after="60"/>
      </w:pPr>
      <w:r>
        <w:rPr>
          <w:b/>
          <w:color w:val="78746C"/>
          <w:sz w:val="18"/>
        </w:rPr>
        <w:t>TARGET USER</w:t>
      </w:r>
    </w:p>
    <w:p>
      <w:pPr>
        <w:spacing w:after="120" w:line="259" w:lineRule="auto"/>
      </w:pPr>
      <w:r>
        <w:t>Primary: a price-sensitive, highly engaged casual gamer who earns rewards through play and wants tangible products or vouchers. Secondary: existing e-commerce shoppers who enjoy a small loyalty benefit but will not grind. Minor/unverified users are handled conservatively through age-aware merchandising and controls.</w:t>
      </w:r>
    </w:p>
    <w:p>
      <w:pPr>
        <w:spacing w:after="60"/>
      </w:pPr>
      <w:r>
        <w:rPr>
          <w:b/>
          <w:color w:val="78746C"/>
          <w:sz w:val="18"/>
        </w:rPr>
        <w:t>VALUE PROPOSITION</w:t>
      </w:r>
    </w:p>
    <w:tbl>
      <w:tblPr>
        <w:tblStyle w:val="TableGrid"/>
        <w:tblW w:type="auto" w:w="0"/>
        <w:jc w:val="center"/>
        <w:tblLook w:firstColumn="1" w:firstRow="1" w:lastColumn="0" w:lastRow="0" w:noHBand="0" w:noVBand="1" w:val="04A0"/>
      </w:tblPr>
      <w:tblGrid>
        <w:gridCol w:w="5184"/>
        <w:gridCol w:w="5184"/>
      </w:tblGrid>
      <w:tr>
        <w:tc>
          <w:tcPr>
            <w:tcW w:type="dxa" w:w="2160"/>
            <w:shd w:fill="16181D"/>
            <w:tcMar>
              <w:top w:w="80" w:type="dxa"/>
              <w:start w:w="100" w:type="dxa"/>
              <w:bottom w:w="80" w:type="dxa"/>
              <w:end w:w="100" w:type="dxa"/>
            </w:tcMar>
            <w:vAlign w:val="center"/>
          </w:tcPr>
          <w:p>
            <w:r>
              <w:rPr>
                <w:b/>
                <w:color w:val="FFFFFF"/>
                <w:sz w:val="18"/>
              </w:rPr>
              <w:t>Audience</w:t>
            </w:r>
          </w:p>
        </w:tc>
        <w:tc>
          <w:tcPr>
            <w:tcW w:type="dxa" w:w="7344"/>
            <w:shd w:fill="16181D"/>
            <w:tcMar>
              <w:top w:w="80" w:type="dxa"/>
              <w:start w:w="100" w:type="dxa"/>
              <w:bottom w:w="80" w:type="dxa"/>
              <w:end w:w="100" w:type="dxa"/>
            </w:tcMar>
            <w:vAlign w:val="center"/>
          </w:tcPr>
          <w:p>
            <w:r>
              <w:rPr>
                <w:b/>
                <w:color w:val="FFFFFF"/>
                <w:sz w:val="18"/>
              </w:rPr>
              <w:t>Value</w:t>
            </w:r>
          </w:p>
        </w:tc>
      </w:tr>
      <w:tr>
        <w:tc>
          <w:tcPr>
            <w:tcW w:type="dxa" w:w="2160"/>
            <w:tcMar>
              <w:top w:w="80" w:type="dxa"/>
              <w:start w:w="100" w:type="dxa"/>
              <w:bottom w:w="80" w:type="dxa"/>
              <w:end w:w="100" w:type="dxa"/>
            </w:tcMar>
          </w:tcPr>
          <w:p>
            <w:r>
              <w:rPr>
                <w:sz w:val="17"/>
              </w:rPr>
              <w:t>Player</w:t>
            </w:r>
          </w:p>
        </w:tc>
        <w:tc>
          <w:tcPr>
            <w:tcW w:type="dxa" w:w="7344"/>
            <w:tcMar>
              <w:top w:w="80" w:type="dxa"/>
              <w:start w:w="100" w:type="dxa"/>
              <w:bottom w:w="80" w:type="dxa"/>
              <w:end w:w="100" w:type="dxa"/>
            </w:tcMar>
          </w:tcPr>
          <w:p>
            <w:r>
              <w:rPr>
                <w:sz w:val="17"/>
              </w:rPr>
              <w:t>“My play unlocked something useful.”</w:t>
            </w:r>
          </w:p>
        </w:tc>
      </w:tr>
      <w:tr>
        <w:tc>
          <w:tcPr>
            <w:tcW w:type="dxa" w:w="2160"/>
            <w:tcMar>
              <w:top w:w="80" w:type="dxa"/>
              <w:start w:w="100" w:type="dxa"/>
              <w:bottom w:w="80" w:type="dxa"/>
              <w:end w:w="100" w:type="dxa"/>
            </w:tcMar>
          </w:tcPr>
          <w:p>
            <w:r>
              <w:rPr>
                <w:sz w:val="17"/>
              </w:rPr>
              <w:t>Game studio</w:t>
            </w:r>
          </w:p>
        </w:tc>
        <w:tc>
          <w:tcPr>
            <w:tcW w:type="dxa" w:w="7344"/>
            <w:tcMar>
              <w:top w:w="80" w:type="dxa"/>
              <w:start w:w="100" w:type="dxa"/>
              <w:bottom w:w="80" w:type="dxa"/>
              <w:end w:w="100" w:type="dxa"/>
            </w:tcMar>
          </w:tcPr>
          <w:p>
            <w:r>
              <w:rPr>
                <w:sz w:val="17"/>
              </w:rPr>
              <w:t>Higher engagement + a new monetisation surface.</w:t>
            </w:r>
          </w:p>
        </w:tc>
      </w:tr>
      <w:tr>
        <w:tc>
          <w:tcPr>
            <w:tcW w:type="dxa" w:w="2160"/>
            <w:tcMar>
              <w:top w:w="80" w:type="dxa"/>
              <w:start w:w="100" w:type="dxa"/>
              <w:bottom w:w="80" w:type="dxa"/>
              <w:end w:w="100" w:type="dxa"/>
            </w:tcMar>
          </w:tcPr>
          <w:p>
            <w:r>
              <w:rPr>
                <w:sz w:val="17"/>
              </w:rPr>
              <w:t>Brand/seller</w:t>
            </w:r>
          </w:p>
        </w:tc>
        <w:tc>
          <w:tcPr>
            <w:tcW w:type="dxa" w:w="7344"/>
            <w:tcMar>
              <w:top w:w="80" w:type="dxa"/>
              <w:start w:w="100" w:type="dxa"/>
              <w:bottom w:w="80" w:type="dxa"/>
              <w:end w:w="100" w:type="dxa"/>
            </w:tcMar>
          </w:tcPr>
          <w:p>
            <w:r>
              <w:rPr>
                <w:sz w:val="17"/>
              </w:rPr>
              <w:t>Incremental acquisition with measurable attribution.</w:t>
            </w:r>
          </w:p>
        </w:tc>
      </w:tr>
      <w:tr>
        <w:tc>
          <w:tcPr>
            <w:tcW w:type="dxa" w:w="2160"/>
            <w:tcMar>
              <w:top w:w="80" w:type="dxa"/>
              <w:start w:w="100" w:type="dxa"/>
              <w:bottom w:w="80" w:type="dxa"/>
              <w:end w:w="100" w:type="dxa"/>
            </w:tcMar>
          </w:tcPr>
          <w:p>
            <w:r>
              <w:rPr>
                <w:sz w:val="17"/>
              </w:rPr>
              <w:t>Commerce platform</w:t>
            </w:r>
          </w:p>
        </w:tc>
        <w:tc>
          <w:tcPr>
            <w:tcW w:type="dxa" w:w="7344"/>
            <w:tcMar>
              <w:top w:w="80" w:type="dxa"/>
              <w:start w:w="100" w:type="dxa"/>
              <w:bottom w:w="80" w:type="dxa"/>
              <w:end w:w="100" w:type="dxa"/>
            </w:tcMar>
          </w:tcPr>
          <w:p>
            <w:r>
              <w:rPr>
                <w:sz w:val="17"/>
              </w:rPr>
              <w:t>New GMV + higher gaming-user value without relying only on IAP.</w:t>
            </w:r>
          </w:p>
        </w:tc>
      </w:tr>
    </w:tbl>
    <w:p>
      <w:pPr>
        <w:spacing w:after="60"/>
      </w:pPr>
      <w:r>
        <w:rPr>
          <w:b/>
          <w:color w:val="78746C"/>
          <w:sz w:val="18"/>
        </w:rPr>
        <w:t>STRATEGIC NON-GOALS</w:t>
      </w:r>
    </w:p>
    <w:p>
      <w:pPr>
        <w:pStyle w:val="ListBullet"/>
        <w:spacing w:after="60"/>
      </w:pPr>
      <w:r>
        <w:t>No cash-out or cash equivalence as a product feature.</w:t>
      </w:r>
    </w:p>
    <w:p>
      <w:pPr>
        <w:pStyle w:val="ListBullet"/>
        <w:spacing w:after="60"/>
      </w:pPr>
      <w:r>
        <w:t>No P2P Spark transfers or secondary market.</w:t>
      </w:r>
    </w:p>
    <w:p>
      <w:pPr>
        <w:pStyle w:val="ListBullet"/>
        <w:spacing w:after="60"/>
      </w:pPr>
      <w:r>
        <w:t>No paid entry to a reward-earning mechanic.</w:t>
      </w:r>
    </w:p>
    <w:p>
      <w:pPr>
        <w:pStyle w:val="ListBullet"/>
        <w:spacing w:after="60"/>
      </w:pPr>
      <w:r>
        <w:t>No full marketplace rebuild; reuse catalogue, payment, fulfilment and returns.</w:t>
      </w:r>
    </w:p>
    <w:p>
      <w:pPr>
        <w:pStyle w:val="ListBullet"/>
        <w:spacing w:after="60"/>
      </w:pPr>
      <w:r>
        <w:t>No “AI-first” recommendation system before the core economy proves itself.</w:t>
      </w:r>
    </w:p>
    <w:p>
      <w:pPr>
        <w:spacing w:after="60"/>
      </w:pPr>
      <w:r>
        <w:rPr>
          <w:b/>
          <w:color w:val="78746C"/>
          <w:sz w:val="18"/>
        </w:rPr>
        <w:t>SUCCESS DEFINITION</w:t>
      </w:r>
    </w:p>
    <w:p>
      <w:pPr>
        <w:spacing w:after="120" w:line="259" w:lineRule="auto"/>
      </w:pPr>
      <w:r>
        <w:t>We should be able to show, with an experiment, that the reward loop creates incremental contribution and improves or protects gaming engagement. If it only shifts existing shoppers into a discounted checkout, we should kill or redesign it.</w:t>
      </w:r>
    </w:p>
    <w:p>
      <w:pPr>
        <w:pageBreakBefore/>
      </w:pPr>
      <w:r>
        <w:rPr>
          <w:b/>
        </w:rPr>
        <w:t>2. Product discovery &amp; framework</w:t>
      </w:r>
    </w:p>
    <w:p>
      <w:pPr>
        <w:spacing w:after="60"/>
      </w:pPr>
      <w:r>
        <w:rPr>
          <w:b/>
          <w:color w:val="78746C"/>
          <w:sz w:val="18"/>
        </w:rPr>
        <w:t>OPPORTUNITY STATEMENT</w:t>
      </w:r>
    </w:p>
    <w:p>
      <w:pPr>
        <w:spacing w:after="120" w:line="259" w:lineRule="auto"/>
      </w:pPr>
      <w:r>
        <w:t>Outcome: increase contribution profit per gaming MAU. The opportunities are: users do not know play can create value; the reward store is hard to navigate; inventory is irrelevant or unaffordable; checkout is too heavy; and commerce does not create a reason to return to the game.</w:t>
      </w:r>
    </w:p>
    <w:tbl>
      <w:tblPr>
        <w:tblStyle w:val="TableGrid"/>
        <w:tblW w:type="auto" w:w="0"/>
        <w:jc w:val="center"/>
        <w:tblLook w:firstColumn="1" w:firstRow="1" w:lastColumn="0" w:lastRow="0" w:noHBand="0" w:noVBand="1" w:val="04A0"/>
      </w:tblPr>
      <w:tblGrid>
        <w:gridCol w:w="5184"/>
        <w:gridCol w:w="5184"/>
      </w:tblGrid>
      <w:tr>
        <w:tc>
          <w:tcPr>
            <w:tcW w:type="dxa" w:w="2448"/>
            <w:shd w:fill="16181D"/>
            <w:tcMar>
              <w:top w:w="80" w:type="dxa"/>
              <w:start w:w="100" w:type="dxa"/>
              <w:bottom w:w="80" w:type="dxa"/>
              <w:end w:w="100" w:type="dxa"/>
            </w:tcMar>
            <w:vAlign w:val="center"/>
          </w:tcPr>
          <w:p>
            <w:r>
              <w:rPr>
                <w:b/>
                <w:color w:val="FFFFFF"/>
                <w:sz w:val="18"/>
              </w:rPr>
              <w:t>Framework</w:t>
            </w:r>
          </w:p>
        </w:tc>
        <w:tc>
          <w:tcPr>
            <w:tcW w:type="dxa" w:w="7056"/>
            <w:shd w:fill="16181D"/>
            <w:tcMar>
              <w:top w:w="80" w:type="dxa"/>
              <w:start w:w="100" w:type="dxa"/>
              <w:bottom w:w="80" w:type="dxa"/>
              <w:end w:w="100" w:type="dxa"/>
            </w:tcMar>
            <w:vAlign w:val="center"/>
          </w:tcPr>
          <w:p>
            <w:r>
              <w:rPr>
                <w:b/>
                <w:color w:val="FFFFFF"/>
                <w:sz w:val="18"/>
              </w:rPr>
              <w:t>Application</w:t>
            </w:r>
          </w:p>
        </w:tc>
      </w:tr>
      <w:tr>
        <w:tc>
          <w:tcPr>
            <w:tcW w:type="dxa" w:w="2448"/>
            <w:tcMar>
              <w:top w:w="80" w:type="dxa"/>
              <w:start w:w="100" w:type="dxa"/>
              <w:bottom w:w="80" w:type="dxa"/>
              <w:end w:w="100" w:type="dxa"/>
            </w:tcMar>
          </w:tcPr>
          <w:p>
            <w:r>
              <w:rPr>
                <w:sz w:val="17"/>
              </w:rPr>
              <w:t>Jobs-to-be-Done</w:t>
            </w:r>
          </w:p>
        </w:tc>
        <w:tc>
          <w:tcPr>
            <w:tcW w:type="dxa" w:w="7056"/>
            <w:tcMar>
              <w:top w:w="80" w:type="dxa"/>
              <w:start w:w="100" w:type="dxa"/>
              <w:bottom w:w="80" w:type="dxa"/>
              <w:end w:w="100" w:type="dxa"/>
            </w:tcMar>
          </w:tcPr>
          <w:p>
            <w:r>
              <w:rPr>
                <w:sz w:val="17"/>
              </w:rPr>
              <w:t>Functional: convert game time into tangible utility. Emotional: make time feel productive. Social: get useful things within constrained discretionary spend.</w:t>
            </w:r>
          </w:p>
        </w:tc>
      </w:tr>
      <w:tr>
        <w:tc>
          <w:tcPr>
            <w:tcW w:type="dxa" w:w="2448"/>
            <w:tcMar>
              <w:top w:w="80" w:type="dxa"/>
              <w:start w:w="100" w:type="dxa"/>
              <w:bottom w:w="80" w:type="dxa"/>
              <w:end w:w="100" w:type="dxa"/>
            </w:tcMar>
          </w:tcPr>
          <w:p>
            <w:r>
              <w:rPr>
                <w:sz w:val="17"/>
              </w:rPr>
              <w:t>Opportunity Solution Tree</w:t>
            </w:r>
          </w:p>
        </w:tc>
        <w:tc>
          <w:tcPr>
            <w:tcW w:type="dxa" w:w="7056"/>
            <w:tcMar>
              <w:top w:w="80" w:type="dxa"/>
              <w:start w:w="100" w:type="dxa"/>
              <w:bottom w:w="80" w:type="dxa"/>
              <w:end w:w="100" w:type="dxa"/>
            </w:tcMar>
          </w:tcPr>
          <w:p>
            <w:r>
              <w:rPr>
                <w:sz w:val="17"/>
              </w:rPr>
              <w:t>Outcome → awareness → discoverability → affordability → frictionless checkout → loop-back to gameplay.</w:t>
            </w:r>
          </w:p>
        </w:tc>
      </w:tr>
      <w:tr>
        <w:tc>
          <w:tcPr>
            <w:tcW w:type="dxa" w:w="2448"/>
            <w:tcMar>
              <w:top w:w="80" w:type="dxa"/>
              <w:start w:w="100" w:type="dxa"/>
              <w:bottom w:w="80" w:type="dxa"/>
              <w:end w:w="100" w:type="dxa"/>
            </w:tcMar>
          </w:tcPr>
          <w:p>
            <w:r>
              <w:rPr>
                <w:sz w:val="17"/>
              </w:rPr>
              <w:t>RICE</w:t>
            </w:r>
          </w:p>
        </w:tc>
        <w:tc>
          <w:tcPr>
            <w:tcW w:type="dxa" w:w="7056"/>
            <w:tcMar>
              <w:top w:w="80" w:type="dxa"/>
              <w:start w:w="100" w:type="dxa"/>
              <w:bottom w:w="80" w:type="dxa"/>
              <w:end w:w="100" w:type="dxa"/>
            </w:tcMar>
          </w:tcPr>
          <w:p>
            <w:r>
              <w:rPr>
                <w:sz w:val="17"/>
              </w:rPr>
              <w:t>Prioritise the smallest features that move the complete loop; do not prioritise catalogue breadth for its own sake.</w:t>
            </w:r>
          </w:p>
        </w:tc>
      </w:tr>
      <w:tr>
        <w:tc>
          <w:tcPr>
            <w:tcW w:type="dxa" w:w="2448"/>
            <w:tcMar>
              <w:top w:w="80" w:type="dxa"/>
              <w:start w:w="100" w:type="dxa"/>
              <w:bottom w:w="80" w:type="dxa"/>
              <w:end w:w="100" w:type="dxa"/>
            </w:tcMar>
          </w:tcPr>
          <w:p>
            <w:r>
              <w:rPr>
                <w:sz w:val="17"/>
              </w:rPr>
              <w:t>Pre-mortem</w:t>
            </w:r>
          </w:p>
        </w:tc>
        <w:tc>
          <w:tcPr>
            <w:tcW w:type="dxa" w:w="7056"/>
            <w:tcMar>
              <w:top w:w="80" w:type="dxa"/>
              <w:start w:w="100" w:type="dxa"/>
              <w:bottom w:w="80" w:type="dxa"/>
              <w:end w:w="100" w:type="dxa"/>
            </w:tcMar>
          </w:tcPr>
          <w:p>
            <w:r>
              <w:rPr>
                <w:sz w:val="17"/>
              </w:rPr>
              <w:t>Assume the product failed: couponisation, insufficient earning power, fraud, cannibalisation, regulatory failure, or checkout integration.</w:t>
            </w:r>
          </w:p>
        </w:tc>
      </w:tr>
      <w:tr>
        <w:tc>
          <w:tcPr>
            <w:tcW w:type="dxa" w:w="2448"/>
            <w:tcMar>
              <w:top w:w="80" w:type="dxa"/>
              <w:start w:w="100" w:type="dxa"/>
              <w:bottom w:w="80" w:type="dxa"/>
              <w:end w:w="100" w:type="dxa"/>
            </w:tcMar>
          </w:tcPr>
          <w:p>
            <w:r>
              <w:rPr>
                <w:sz w:val="17"/>
              </w:rPr>
              <w:t>Working-backwards</w:t>
            </w:r>
          </w:p>
        </w:tc>
        <w:tc>
          <w:tcPr>
            <w:tcW w:type="dxa" w:w="7056"/>
            <w:tcMar>
              <w:top w:w="80" w:type="dxa"/>
              <w:start w:w="100" w:type="dxa"/>
              <w:bottom w:w="80" w:type="dxa"/>
              <w:end w:w="100" w:type="dxa"/>
            </w:tcMar>
          </w:tcPr>
          <w:p>
            <w:r>
              <w:rPr>
                <w:sz w:val="17"/>
              </w:rPr>
              <w:t>Define the customer promise and FAQs before the build; especially explain what Sparks are and are not.</w:t>
            </w:r>
          </w:p>
        </w:tc>
      </w:tr>
    </w:tbl>
    <w:p>
      <w:pPr>
        <w:spacing w:after="60"/>
      </w:pPr>
      <w:r>
        <w:rPr>
          <w:b/>
          <w:color w:val="78746C"/>
          <w:sz w:val="18"/>
        </w:rPr>
        <w:t>KEY HYPOTHESES</w:t>
      </w:r>
    </w:p>
    <w:p>
      <w:pPr>
        <w:pStyle w:val="ListBullet"/>
        <w:spacing w:after="60"/>
      </w:pPr>
      <w:r>
        <w:t xml:space="preserve"> H1: Users understand “earned Sparks + cash” within one interaction without education-heavy onboarding.</w:t>
      </w:r>
    </w:p>
    <w:p>
      <w:pPr>
        <w:pStyle w:val="ListBullet"/>
        <w:spacing w:after="60"/>
      </w:pPr>
      <w:r>
        <w:t xml:space="preserve"> H2: Showing products that are realistically affordable with the current balance increases store-to-PDP conversion.</w:t>
      </w:r>
    </w:p>
    <w:p>
      <w:pPr>
        <w:pStyle w:val="ListBullet"/>
        <w:spacing w:after="60"/>
      </w:pPr>
      <w:r>
        <w:t xml:space="preserve"> H3: A saved-product goal turns commerce intent into additional game sessions.</w:t>
      </w:r>
    </w:p>
    <w:p>
      <w:pPr>
        <w:pStyle w:val="ListBullet"/>
        <w:spacing w:after="60"/>
      </w:pPr>
      <w:r>
        <w:t xml:space="preserve"> H4: Seller-funded and ad-funded reward economics can cover a meaningful portion of reward cost.</w:t>
      </w:r>
    </w:p>
    <w:p>
      <w:pPr>
        <w:pStyle w:val="ListBullet"/>
        <w:spacing w:after="60"/>
      </w:pPr>
      <w:r>
        <w:t xml:space="preserve"> H5: The experience feels native to the game rather than like an ad or mini-Amazon.</w:t>
      </w:r>
    </w:p>
    <w:p>
      <w:pPr>
        <w:spacing w:after="60"/>
      </w:pPr>
      <w:r>
        <w:rPr>
          <w:b/>
          <w:color w:val="78746C"/>
          <w:sz w:val="18"/>
        </w:rPr>
        <w:t>WHAT WE TEST FIRST</w:t>
      </w:r>
    </w:p>
    <w:p>
      <w:pPr>
        <w:spacing w:after="120" w:line="259" w:lineRule="auto"/>
      </w:pPr>
      <w:r>
        <w:t>Before building the ledger, run a fake-door test and 20+ qualitative sessions. The highest-risk unknown is not whether a slider looks nice; it is whether the player perceives Sparks as valuable, understandable, and worth returning for.</w:t>
      </w:r>
    </w:p>
    <w:p>
      <w:pPr>
        <w:pageBreakBefore/>
      </w:pPr>
      <w:r>
        <w:rPr>
          <w:b/>
        </w:rPr>
        <w:t>3. Economy &amp; business model</w:t>
      </w:r>
    </w:p>
    <w:p>
      <w:pPr>
        <w:spacing w:after="60"/>
      </w:pPr>
      <w:r>
        <w:rPr>
          <w:b/>
          <w:color w:val="78746C"/>
          <w:sz w:val="18"/>
        </w:rPr>
        <w:t>ECONOMY THESIS</w:t>
      </w:r>
    </w:p>
    <w:p>
      <w:pPr>
        <w:spacing w:after="120" w:line="259" w:lineRule="auto"/>
      </w:pPr>
      <w:r>
        <w:t>Sparks are an earn-first rewards balance. The business model works only when issuance is economically funded and redemption is controlled by catalogue mix, seller subsidy, breakage and incremental contribution.</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16181D"/>
            <w:tcMar>
              <w:top w:w="80" w:type="dxa"/>
              <w:start w:w="100" w:type="dxa"/>
              <w:bottom w:w="80" w:type="dxa"/>
              <w:end w:w="100" w:type="dxa"/>
            </w:tcMar>
            <w:vAlign w:val="center"/>
          </w:tcPr>
          <w:p>
            <w:r>
              <w:rPr>
                <w:b/>
                <w:color w:val="FFFFFF"/>
                <w:sz w:val="18"/>
              </w:rPr>
              <w:t>Component</w:t>
            </w:r>
          </w:p>
        </w:tc>
        <w:tc>
          <w:tcPr>
            <w:tcW w:type="dxa" w:w="2880"/>
            <w:shd w:fill="16181D"/>
            <w:tcMar>
              <w:top w:w="80" w:type="dxa"/>
              <w:start w:w="100" w:type="dxa"/>
              <w:bottom w:w="80" w:type="dxa"/>
              <w:end w:w="100" w:type="dxa"/>
            </w:tcMar>
            <w:vAlign w:val="center"/>
          </w:tcPr>
          <w:p>
            <w:r>
              <w:rPr>
                <w:b/>
                <w:color w:val="FFFFFF"/>
                <w:sz w:val="18"/>
              </w:rPr>
              <w:t>V1 hypothesis</w:t>
            </w:r>
          </w:p>
        </w:tc>
        <w:tc>
          <w:tcPr>
            <w:tcW w:type="dxa" w:w="4392"/>
            <w:shd w:fill="16181D"/>
            <w:tcMar>
              <w:top w:w="80" w:type="dxa"/>
              <w:start w:w="100" w:type="dxa"/>
              <w:bottom w:w="80" w:type="dxa"/>
              <w:end w:w="100" w:type="dxa"/>
            </w:tcMar>
            <w:vAlign w:val="center"/>
          </w:tcPr>
          <w:p>
            <w:r>
              <w:rPr>
                <w:b/>
                <w:color w:val="FFFFFF"/>
                <w:sz w:val="18"/>
              </w:rPr>
              <w:t>Why it exists</w:t>
            </w:r>
          </w:p>
        </w:tc>
      </w:tr>
      <w:tr>
        <w:tc>
          <w:tcPr>
            <w:tcW w:type="dxa" w:w="2232"/>
            <w:tcMar>
              <w:top w:w="80" w:type="dxa"/>
              <w:start w:w="100" w:type="dxa"/>
              <w:bottom w:w="80" w:type="dxa"/>
              <w:end w:w="100" w:type="dxa"/>
            </w:tcMar>
          </w:tcPr>
          <w:p>
            <w:r>
              <w:rPr>
                <w:sz w:val="17"/>
              </w:rPr>
              <w:t>Earn: game session</w:t>
            </w:r>
          </w:p>
        </w:tc>
        <w:tc>
          <w:tcPr>
            <w:tcW w:type="dxa" w:w="2880"/>
            <w:tcMar>
              <w:top w:w="80" w:type="dxa"/>
              <w:start w:w="100" w:type="dxa"/>
              <w:bottom w:w="80" w:type="dxa"/>
              <w:end w:w="100" w:type="dxa"/>
            </w:tcMar>
          </w:tcPr>
          <w:p>
            <w:r>
              <w:rPr>
                <w:sz w:val="17"/>
              </w:rPr>
              <w:t>25 Sparks / completed match</w:t>
            </w:r>
          </w:p>
        </w:tc>
        <w:tc>
          <w:tcPr>
            <w:tcW w:type="dxa" w:w="4392"/>
            <w:tcMar>
              <w:top w:w="80" w:type="dxa"/>
              <w:start w:w="100" w:type="dxa"/>
              <w:bottom w:w="80" w:type="dxa"/>
              <w:end w:w="100" w:type="dxa"/>
            </w:tcMar>
          </w:tcPr>
          <w:p>
            <w:r>
              <w:rPr>
                <w:sz w:val="17"/>
              </w:rPr>
              <w:t>Simple, deterministic and easy to understand.</w:t>
            </w:r>
          </w:p>
        </w:tc>
      </w:tr>
      <w:tr>
        <w:tc>
          <w:tcPr>
            <w:tcW w:type="dxa" w:w="2232"/>
            <w:tcMar>
              <w:top w:w="80" w:type="dxa"/>
              <w:start w:w="100" w:type="dxa"/>
              <w:bottom w:w="80" w:type="dxa"/>
              <w:end w:w="100" w:type="dxa"/>
            </w:tcMar>
          </w:tcPr>
          <w:p>
            <w:r>
              <w:rPr>
                <w:sz w:val="17"/>
              </w:rPr>
              <w:t>Earn: optional rewarded ad</w:t>
            </w:r>
          </w:p>
        </w:tc>
        <w:tc>
          <w:tcPr>
            <w:tcW w:type="dxa" w:w="2880"/>
            <w:tcMar>
              <w:top w:w="80" w:type="dxa"/>
              <w:start w:w="100" w:type="dxa"/>
              <w:bottom w:w="80" w:type="dxa"/>
              <w:end w:w="100" w:type="dxa"/>
            </w:tcMar>
          </w:tcPr>
          <w:p>
            <w:r>
              <w:rPr>
                <w:sz w:val="17"/>
              </w:rPr>
              <w:t>40 Sparks</w:t>
            </w:r>
          </w:p>
        </w:tc>
        <w:tc>
          <w:tcPr>
            <w:tcW w:type="dxa" w:w="4392"/>
            <w:tcMar>
              <w:top w:w="80" w:type="dxa"/>
              <w:start w:w="100" w:type="dxa"/>
              <w:bottom w:w="80" w:type="dxa"/>
              <w:end w:w="100" w:type="dxa"/>
            </w:tcMar>
          </w:tcPr>
          <w:p>
            <w:r>
              <w:rPr>
                <w:sz w:val="17"/>
              </w:rPr>
              <w:t>Provides an explicit funding path.</w:t>
            </w:r>
          </w:p>
        </w:tc>
      </w:tr>
      <w:tr>
        <w:tc>
          <w:tcPr>
            <w:tcW w:type="dxa" w:w="2232"/>
            <w:tcMar>
              <w:top w:w="80" w:type="dxa"/>
              <w:start w:w="100" w:type="dxa"/>
              <w:bottom w:w="80" w:type="dxa"/>
              <w:end w:w="100" w:type="dxa"/>
            </w:tcMar>
          </w:tcPr>
          <w:p>
            <w:r>
              <w:rPr>
                <w:sz w:val="17"/>
              </w:rPr>
              <w:t>Earn: streak/milestone</w:t>
            </w:r>
          </w:p>
        </w:tc>
        <w:tc>
          <w:tcPr>
            <w:tcW w:type="dxa" w:w="2880"/>
            <w:tcMar>
              <w:top w:w="80" w:type="dxa"/>
              <w:start w:w="100" w:type="dxa"/>
              <w:bottom w:w="80" w:type="dxa"/>
              <w:end w:w="100" w:type="dxa"/>
            </w:tcMar>
          </w:tcPr>
          <w:p>
            <w:r>
              <w:rPr>
                <w:sz w:val="17"/>
              </w:rPr>
              <w:t>50–500 Sparks</w:t>
            </w:r>
          </w:p>
        </w:tc>
        <w:tc>
          <w:tcPr>
            <w:tcW w:type="dxa" w:w="4392"/>
            <w:tcMar>
              <w:top w:w="80" w:type="dxa"/>
              <w:start w:w="100" w:type="dxa"/>
              <w:bottom w:w="80" w:type="dxa"/>
              <w:end w:w="100" w:type="dxa"/>
            </w:tcMar>
          </w:tcPr>
          <w:p>
            <w:r>
              <w:rPr>
                <w:sz w:val="17"/>
              </w:rPr>
              <w:t>Retention and progression.</w:t>
            </w:r>
          </w:p>
        </w:tc>
      </w:tr>
      <w:tr>
        <w:tc>
          <w:tcPr>
            <w:tcW w:type="dxa" w:w="2232"/>
            <w:tcMar>
              <w:top w:w="80" w:type="dxa"/>
              <w:start w:w="100" w:type="dxa"/>
              <w:bottom w:w="80" w:type="dxa"/>
              <w:end w:w="100" w:type="dxa"/>
            </w:tcMar>
          </w:tcPr>
          <w:p>
            <w:r>
              <w:rPr>
                <w:sz w:val="17"/>
              </w:rPr>
              <w:t>Spark-only sink</w:t>
            </w:r>
          </w:p>
        </w:tc>
        <w:tc>
          <w:tcPr>
            <w:tcW w:type="dxa" w:w="2880"/>
            <w:tcMar>
              <w:top w:w="80" w:type="dxa"/>
              <w:start w:w="100" w:type="dxa"/>
              <w:bottom w:w="80" w:type="dxa"/>
              <w:end w:w="100" w:type="dxa"/>
            </w:tcMar>
          </w:tcPr>
          <w:p>
            <w:r>
              <w:rPr>
                <w:sz w:val="17"/>
              </w:rPr>
              <w:t>Low-COGS digital/voucher rewards</w:t>
            </w:r>
          </w:p>
        </w:tc>
        <w:tc>
          <w:tcPr>
            <w:tcW w:type="dxa" w:w="4392"/>
            <w:tcMar>
              <w:top w:w="80" w:type="dxa"/>
              <w:start w:w="100" w:type="dxa"/>
              <w:bottom w:w="80" w:type="dxa"/>
              <w:end w:w="100" w:type="dxa"/>
            </w:tcMar>
          </w:tcPr>
          <w:p>
            <w:r>
              <w:rPr>
                <w:sz w:val="17"/>
              </w:rPr>
              <w:t>Lets users experience tangible utility at low real cost.</w:t>
            </w:r>
          </w:p>
        </w:tc>
      </w:tr>
      <w:tr>
        <w:tc>
          <w:tcPr>
            <w:tcW w:type="dxa" w:w="2232"/>
            <w:tcMar>
              <w:top w:w="80" w:type="dxa"/>
              <w:start w:w="100" w:type="dxa"/>
              <w:bottom w:w="80" w:type="dxa"/>
              <w:end w:w="100" w:type="dxa"/>
            </w:tcMar>
          </w:tcPr>
          <w:p>
            <w:r>
              <w:rPr>
                <w:sz w:val="17"/>
              </w:rPr>
              <w:t>Spark + cash sink</w:t>
            </w:r>
          </w:p>
        </w:tc>
        <w:tc>
          <w:tcPr>
            <w:tcW w:type="dxa" w:w="2880"/>
            <w:tcMar>
              <w:top w:w="80" w:type="dxa"/>
              <w:start w:w="100" w:type="dxa"/>
              <w:bottom w:w="80" w:type="dxa"/>
              <w:end w:w="100" w:type="dxa"/>
            </w:tcMar>
          </w:tcPr>
          <w:p>
            <w:r>
              <w:rPr>
                <w:sz w:val="17"/>
              </w:rPr>
              <w:t>Up to configurable % by SKU</w:t>
            </w:r>
          </w:p>
        </w:tc>
        <w:tc>
          <w:tcPr>
            <w:tcW w:type="dxa" w:w="4392"/>
            <w:tcMar>
              <w:top w:w="80" w:type="dxa"/>
              <w:start w:w="100" w:type="dxa"/>
              <w:bottom w:w="80" w:type="dxa"/>
              <w:end w:w="100" w:type="dxa"/>
            </w:tcMar>
          </w:tcPr>
          <w:p>
            <w:r>
              <w:rPr>
                <w:sz w:val="17"/>
              </w:rPr>
              <w:t>Makes higher-value physical products reachable.</w:t>
            </w:r>
          </w:p>
        </w:tc>
      </w:tr>
      <w:tr>
        <w:tc>
          <w:tcPr>
            <w:tcW w:type="dxa" w:w="2232"/>
            <w:tcMar>
              <w:top w:w="80" w:type="dxa"/>
              <w:start w:w="100" w:type="dxa"/>
              <w:bottom w:w="80" w:type="dxa"/>
              <w:end w:w="100" w:type="dxa"/>
            </w:tcMar>
          </w:tcPr>
          <w:p>
            <w:r>
              <w:rPr>
                <w:sz w:val="17"/>
              </w:rPr>
              <w:t>Earn-back</w:t>
            </w:r>
          </w:p>
        </w:tc>
        <w:tc>
          <w:tcPr>
            <w:tcW w:type="dxa" w:w="2880"/>
            <w:tcMar>
              <w:top w:w="80" w:type="dxa"/>
              <w:start w:w="100" w:type="dxa"/>
              <w:bottom w:w="80" w:type="dxa"/>
              <w:end w:w="100" w:type="dxa"/>
            </w:tcMar>
          </w:tcPr>
          <w:p>
            <w:r>
              <w:rPr>
                <w:sz w:val="17"/>
              </w:rPr>
              <w:t>Small capped amount after purchase</w:t>
            </w:r>
          </w:p>
        </w:tc>
        <w:tc>
          <w:tcPr>
            <w:tcW w:type="dxa" w:w="4392"/>
            <w:tcMar>
              <w:top w:w="80" w:type="dxa"/>
              <w:start w:w="100" w:type="dxa"/>
              <w:bottom w:w="80" w:type="dxa"/>
              <w:end w:w="100" w:type="dxa"/>
            </w:tcMar>
          </w:tcPr>
          <w:p>
            <w:r>
              <w:rPr>
                <w:sz w:val="17"/>
              </w:rPr>
              <w:t>Closes the commerce → gameplay loop.</w:t>
            </w:r>
          </w:p>
        </w:tc>
      </w:tr>
    </w:tbl>
    <w:p>
      <w:pPr>
        <w:spacing w:after="60"/>
      </w:pPr>
      <w:r>
        <w:rPr>
          <w:b/>
          <w:color w:val="78746C"/>
          <w:sz w:val="18"/>
        </w:rPr>
        <w:t>UNIT ECONOMICS EQUATION</w:t>
      </w:r>
    </w:p>
    <w:p>
      <w:pPr>
        <w:spacing w:after="120" w:line="259" w:lineRule="auto"/>
      </w:pPr>
      <w:r>
        <w:t>CCIO = incremental reward/subsidy cost ÷ incremental orders attributable to the Spark treatment. The denominator must come from a holdout, not from total Spark-assisted orders.</w:t>
      </w:r>
    </w:p>
    <w:p>
      <w:pPr>
        <w:spacing w:after="60"/>
      </w:pPr>
      <w:r>
        <w:rPr>
          <w:b/>
          <w:color w:val="78746C"/>
          <w:sz w:val="18"/>
        </w:rPr>
        <w:t>ECONOMY CONTROLS</w:t>
      </w:r>
    </w:p>
    <w:p>
      <w:pPr>
        <w:pStyle w:val="ListBullet"/>
        <w:spacing w:after="60"/>
      </w:pPr>
      <w:r>
        <w:t>All earn rates, caps, expiry and redemption limits are server-side remote configuration.</w:t>
      </w:r>
    </w:p>
    <w:p>
      <w:pPr>
        <w:pStyle w:val="ListBullet"/>
        <w:spacing w:after="60"/>
      </w:pPr>
      <w:r>
        <w:t>Ledger is append-only and idempotent; no client-side minting.</w:t>
      </w:r>
    </w:p>
    <w:p>
      <w:pPr>
        <w:pStyle w:val="ListBullet"/>
        <w:spacing w:after="60"/>
      </w:pPr>
      <w:r>
        <w:t>Use FIFO consumption by expiry lot.</w:t>
      </w:r>
    </w:p>
    <w:p>
      <w:pPr>
        <w:pStyle w:val="ListBullet"/>
        <w:spacing w:after="60"/>
      </w:pPr>
      <w:r>
        <w:t>Run an economy review with Product + Finance + Data + Legal/T&amp;S.</w:t>
      </w:r>
    </w:p>
    <w:p>
      <w:pPr>
        <w:pStyle w:val="ListBullet"/>
        <w:spacing w:after="60"/>
      </w:pPr>
      <w:r>
        <w:t>If fraud or redemption moves outside the sustainable band, throttle issuance before changing the user-facing rules.</w:t>
      </w:r>
    </w:p>
    <w:p>
      <w:pPr>
        <w:spacing w:after="60"/>
      </w:pPr>
      <w:r>
        <w:rPr>
          <w:b/>
          <w:color w:val="78746C"/>
          <w:sz w:val="18"/>
        </w:rPr>
        <w:t>BUSINESS MODEL</w:t>
      </w:r>
    </w:p>
    <w:p>
      <w:pPr>
        <w:spacing w:after="120" w:line="259" w:lineRule="auto"/>
      </w:pPr>
      <w:r>
        <w:t>Potential funding stack: seller co-op on selected SKUs, rewarded-ad revenue associated with earning sessions, incremental commerce margin, and acquisition-budget substitution where controlled experiments show truly incremental new buyers. Each source must be measured separately.</w:t>
      </w:r>
    </w:p>
    <w:p>
      <w:pPr>
        <w:pageBreakBefore/>
      </w:pPr>
      <w:r>
        <w:rPr>
          <w:b/>
        </w:rPr>
        <w:t>4. UX &amp; screen specification</w:t>
      </w:r>
    </w:p>
    <w:p>
      <w:pPr>
        <w:spacing w:after="60"/>
      </w:pPr>
      <w:r>
        <w:rPr>
          <w:b/>
          <w:color w:val="78746C"/>
          <w:sz w:val="18"/>
        </w:rPr>
        <w:t>CORE LOOP</w:t>
      </w:r>
    </w:p>
    <w:p>
      <w:pPr>
        <w:spacing w:after="120" w:line="259" w:lineRule="auto"/>
      </w:pPr>
      <w:r>
        <w:t>PLAY → EARN → DISCOVER → REDEEM → PURCHASE → EARN BACK → RETURN TO GAME</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6181D"/>
            <w:tcMar>
              <w:top w:w="80" w:type="dxa"/>
              <w:start w:w="100" w:type="dxa"/>
              <w:bottom w:w="80" w:type="dxa"/>
              <w:end w:w="100" w:type="dxa"/>
            </w:tcMar>
            <w:vAlign w:val="center"/>
          </w:tcPr>
          <w:p>
            <w:r>
              <w:rPr>
                <w:b/>
                <w:color w:val="FFFFFF"/>
                <w:sz w:val="18"/>
              </w:rPr>
              <w:t>Screen</w:t>
            </w:r>
          </w:p>
        </w:tc>
        <w:tc>
          <w:tcPr>
            <w:tcW w:type="dxa" w:w="2880"/>
            <w:shd w:fill="16181D"/>
            <w:tcMar>
              <w:top w:w="80" w:type="dxa"/>
              <w:start w:w="100" w:type="dxa"/>
              <w:bottom w:w="80" w:type="dxa"/>
              <w:end w:w="100" w:type="dxa"/>
            </w:tcMar>
            <w:vAlign w:val="center"/>
          </w:tcPr>
          <w:p>
            <w:r>
              <w:rPr>
                <w:b/>
                <w:color w:val="FFFFFF"/>
                <w:sz w:val="18"/>
              </w:rPr>
              <w:t>Primary job</w:t>
            </w:r>
          </w:p>
        </w:tc>
        <w:tc>
          <w:tcPr>
            <w:tcW w:type="dxa" w:w="5040"/>
            <w:shd w:fill="16181D"/>
            <w:tcMar>
              <w:top w:w="80" w:type="dxa"/>
              <w:start w:w="100" w:type="dxa"/>
              <w:bottom w:w="80" w:type="dxa"/>
              <w:end w:w="100" w:type="dxa"/>
            </w:tcMar>
            <w:vAlign w:val="center"/>
          </w:tcPr>
          <w:p>
            <w:r>
              <w:rPr>
                <w:b/>
                <w:color w:val="FFFFFF"/>
                <w:sz w:val="18"/>
              </w:rPr>
              <w:t>Key copy / interaction</w:t>
            </w:r>
          </w:p>
        </w:tc>
      </w:tr>
      <w:tr>
        <w:tc>
          <w:tcPr>
            <w:tcW w:type="dxa" w:w="1584"/>
            <w:tcMar>
              <w:top w:w="80" w:type="dxa"/>
              <w:start w:w="100" w:type="dxa"/>
              <w:bottom w:w="80" w:type="dxa"/>
              <w:end w:w="100" w:type="dxa"/>
            </w:tcMar>
          </w:tcPr>
          <w:p>
            <w:r>
              <w:rPr>
                <w:sz w:val="17"/>
              </w:rPr>
              <w:t>1. Game Home</w:t>
            </w:r>
          </w:p>
        </w:tc>
        <w:tc>
          <w:tcPr>
            <w:tcW w:type="dxa" w:w="2880"/>
            <w:tcMar>
              <w:top w:w="80" w:type="dxa"/>
              <w:start w:w="100" w:type="dxa"/>
              <w:bottom w:w="80" w:type="dxa"/>
              <w:end w:w="100" w:type="dxa"/>
            </w:tcMar>
          </w:tcPr>
          <w:p>
            <w:r>
              <w:rPr>
                <w:sz w:val="17"/>
              </w:rPr>
              <w:t>Make reward capability visible without hijacking play.</w:t>
            </w:r>
          </w:p>
        </w:tc>
        <w:tc>
          <w:tcPr>
            <w:tcW w:type="dxa" w:w="5040"/>
            <w:tcMar>
              <w:top w:w="80" w:type="dxa"/>
              <w:start w:w="100" w:type="dxa"/>
              <w:bottom w:w="80" w:type="dxa"/>
              <w:end w:w="100" w:type="dxa"/>
            </w:tcMar>
          </w:tcPr>
          <w:p>
            <w:r>
              <w:rPr>
                <w:sz w:val="17"/>
              </w:rPr>
              <w:t>“⚡ 7,450 Sparks” + “Rewards” entry.</w:t>
            </w:r>
          </w:p>
        </w:tc>
      </w:tr>
      <w:tr>
        <w:tc>
          <w:tcPr>
            <w:tcW w:type="dxa" w:w="1584"/>
            <w:tcMar>
              <w:top w:w="80" w:type="dxa"/>
              <w:start w:w="100" w:type="dxa"/>
              <w:bottom w:w="80" w:type="dxa"/>
              <w:end w:w="100" w:type="dxa"/>
            </w:tcMar>
          </w:tcPr>
          <w:p>
            <w:r>
              <w:rPr>
                <w:sz w:val="17"/>
              </w:rPr>
              <w:t>2. Earn Moment</w:t>
            </w:r>
          </w:p>
        </w:tc>
        <w:tc>
          <w:tcPr>
            <w:tcW w:type="dxa" w:w="2880"/>
            <w:tcMar>
              <w:top w:w="80" w:type="dxa"/>
              <w:start w:w="100" w:type="dxa"/>
              <w:bottom w:w="80" w:type="dxa"/>
              <w:end w:w="100" w:type="dxa"/>
            </w:tcMar>
          </w:tcPr>
          <w:p>
            <w:r>
              <w:rPr>
                <w:sz w:val="17"/>
              </w:rPr>
              <w:t>Celebrate and create store intent.</w:t>
            </w:r>
          </w:p>
        </w:tc>
        <w:tc>
          <w:tcPr>
            <w:tcW w:type="dxa" w:w="5040"/>
            <w:tcMar>
              <w:top w:w="80" w:type="dxa"/>
              <w:start w:w="100" w:type="dxa"/>
              <w:bottom w:w="80" w:type="dxa"/>
              <w:end w:w="100" w:type="dxa"/>
            </w:tcMar>
          </w:tcPr>
          <w:p>
            <w:r>
              <w:rPr>
                <w:sz w:val="17"/>
              </w:rPr>
              <w:t>“+150 Sparks” / “See what I can unlock”.</w:t>
            </w:r>
          </w:p>
        </w:tc>
      </w:tr>
      <w:tr>
        <w:tc>
          <w:tcPr>
            <w:tcW w:type="dxa" w:w="1584"/>
            <w:tcMar>
              <w:top w:w="80" w:type="dxa"/>
              <w:start w:w="100" w:type="dxa"/>
              <w:bottom w:w="80" w:type="dxa"/>
              <w:end w:w="100" w:type="dxa"/>
            </w:tcMar>
          </w:tcPr>
          <w:p>
            <w:r>
              <w:rPr>
                <w:sz w:val="17"/>
              </w:rPr>
              <w:t>3. Store Home</w:t>
            </w:r>
          </w:p>
        </w:tc>
        <w:tc>
          <w:tcPr>
            <w:tcW w:type="dxa" w:w="2880"/>
            <w:tcMar>
              <w:top w:w="80" w:type="dxa"/>
              <w:start w:w="100" w:type="dxa"/>
              <w:bottom w:w="80" w:type="dxa"/>
              <w:end w:w="100" w:type="dxa"/>
            </w:tcMar>
          </w:tcPr>
          <w:p>
            <w:r>
              <w:rPr>
                <w:sz w:val="17"/>
              </w:rPr>
              <w:t>Curate, don’t overwhelm.</w:t>
            </w:r>
          </w:p>
        </w:tc>
        <w:tc>
          <w:tcPr>
            <w:tcW w:type="dxa" w:w="5040"/>
            <w:tcMar>
              <w:top w:w="80" w:type="dxa"/>
              <w:start w:w="100" w:type="dxa"/>
              <w:bottom w:w="80" w:type="dxa"/>
              <w:end w:w="100" w:type="dxa"/>
            </w:tcMar>
          </w:tcPr>
          <w:p>
            <w:r>
              <w:rPr>
                <w:sz w:val="17"/>
              </w:rPr>
              <w:t>Spark Only · Best with your Sparks · Featured.</w:t>
            </w:r>
          </w:p>
        </w:tc>
      </w:tr>
      <w:tr>
        <w:tc>
          <w:tcPr>
            <w:tcW w:type="dxa" w:w="1584"/>
            <w:tcMar>
              <w:top w:w="80" w:type="dxa"/>
              <w:start w:w="100" w:type="dxa"/>
              <w:bottom w:w="80" w:type="dxa"/>
              <w:end w:w="100" w:type="dxa"/>
            </w:tcMar>
          </w:tcPr>
          <w:p>
            <w:r>
              <w:rPr>
                <w:sz w:val="17"/>
              </w:rPr>
              <w:t>4. Category</w:t>
            </w:r>
          </w:p>
        </w:tc>
        <w:tc>
          <w:tcPr>
            <w:tcW w:type="dxa" w:w="2880"/>
            <w:tcMar>
              <w:top w:w="80" w:type="dxa"/>
              <w:start w:w="100" w:type="dxa"/>
              <w:bottom w:w="80" w:type="dxa"/>
              <w:end w:w="100" w:type="dxa"/>
            </w:tcMar>
          </w:tcPr>
          <w:p>
            <w:r>
              <w:rPr>
                <w:sz w:val="17"/>
              </w:rPr>
              <w:t>Help users find reachable rewards.</w:t>
            </w:r>
          </w:p>
        </w:tc>
        <w:tc>
          <w:tcPr>
            <w:tcW w:type="dxa" w:w="5040"/>
            <w:tcMar>
              <w:top w:w="80" w:type="dxa"/>
              <w:start w:w="100" w:type="dxa"/>
              <w:bottom w:w="80" w:type="dxa"/>
              <w:end w:w="100" w:type="dxa"/>
            </w:tcMar>
          </w:tcPr>
          <w:p>
            <w:r>
              <w:rPr>
                <w:sz w:val="17"/>
              </w:rPr>
              <w:t>Default sort: “Affordable with my Sparks”.</w:t>
            </w:r>
          </w:p>
        </w:tc>
      </w:tr>
      <w:tr>
        <w:tc>
          <w:tcPr>
            <w:tcW w:type="dxa" w:w="1584"/>
            <w:tcMar>
              <w:top w:w="80" w:type="dxa"/>
              <w:start w:w="100" w:type="dxa"/>
              <w:bottom w:w="80" w:type="dxa"/>
              <w:end w:w="100" w:type="dxa"/>
            </w:tcMar>
          </w:tcPr>
          <w:p>
            <w:r>
              <w:rPr>
                <w:sz w:val="17"/>
              </w:rPr>
              <w:t>5. Product</w:t>
            </w:r>
          </w:p>
        </w:tc>
        <w:tc>
          <w:tcPr>
            <w:tcW w:type="dxa" w:w="2880"/>
            <w:tcMar>
              <w:top w:w="80" w:type="dxa"/>
              <w:start w:w="100" w:type="dxa"/>
              <w:bottom w:w="80" w:type="dxa"/>
              <w:end w:w="100" w:type="dxa"/>
            </w:tcMar>
          </w:tcPr>
          <w:p>
            <w:r>
              <w:rPr>
                <w:sz w:val="17"/>
              </w:rPr>
              <w:t>Make the value exchange legible.</w:t>
            </w:r>
          </w:p>
        </w:tc>
        <w:tc>
          <w:tcPr>
            <w:tcW w:type="dxa" w:w="5040"/>
            <w:tcMar>
              <w:top w:w="80" w:type="dxa"/>
              <w:start w:w="100" w:type="dxa"/>
              <w:bottom w:w="80" w:type="dxa"/>
              <w:end w:w="100" w:type="dxa"/>
            </w:tcMar>
          </w:tcPr>
          <w:p>
            <w:r>
              <w:rPr>
                <w:sz w:val="17"/>
              </w:rPr>
              <w:t>Full cash price first; then “7,000 Sparks + ₹929”.</w:t>
            </w:r>
          </w:p>
        </w:tc>
      </w:tr>
      <w:tr>
        <w:tc>
          <w:tcPr>
            <w:tcW w:type="dxa" w:w="1584"/>
            <w:tcMar>
              <w:top w:w="80" w:type="dxa"/>
              <w:start w:w="100" w:type="dxa"/>
              <w:bottom w:w="80" w:type="dxa"/>
              <w:end w:w="100" w:type="dxa"/>
            </w:tcMar>
          </w:tcPr>
          <w:p>
            <w:r>
              <w:rPr>
                <w:sz w:val="17"/>
              </w:rPr>
              <w:t>6. Goal</w:t>
            </w:r>
          </w:p>
        </w:tc>
        <w:tc>
          <w:tcPr>
            <w:tcW w:type="dxa" w:w="2880"/>
            <w:tcMar>
              <w:top w:w="80" w:type="dxa"/>
              <w:start w:w="100" w:type="dxa"/>
              <w:bottom w:w="80" w:type="dxa"/>
              <w:end w:w="100" w:type="dxa"/>
            </w:tcMar>
          </w:tcPr>
          <w:p>
            <w:r>
              <w:rPr>
                <w:sz w:val="17"/>
              </w:rPr>
              <w:t>Turn insufficiency into play motivation.</w:t>
            </w:r>
          </w:p>
        </w:tc>
        <w:tc>
          <w:tcPr>
            <w:tcW w:type="dxa" w:w="5040"/>
            <w:tcMar>
              <w:top w:w="80" w:type="dxa"/>
              <w:start w:w="100" w:type="dxa"/>
              <w:bottom w:w="80" w:type="dxa"/>
              <w:end w:w="100" w:type="dxa"/>
            </w:tcMar>
          </w:tcPr>
          <w:p>
            <w:r>
              <w:rPr>
                <w:sz w:val="17"/>
              </w:rPr>
              <w:t>“1,800 Sparks away” / “Set as goal”.</w:t>
            </w:r>
          </w:p>
        </w:tc>
      </w:tr>
      <w:tr>
        <w:tc>
          <w:tcPr>
            <w:tcW w:type="dxa" w:w="1584"/>
            <w:tcMar>
              <w:top w:w="80" w:type="dxa"/>
              <w:start w:w="100" w:type="dxa"/>
              <w:bottom w:w="80" w:type="dxa"/>
              <w:end w:w="100" w:type="dxa"/>
            </w:tcMar>
          </w:tcPr>
          <w:p>
            <w:r>
              <w:rPr>
                <w:sz w:val="17"/>
              </w:rPr>
              <w:t>7. Cart</w:t>
            </w:r>
          </w:p>
        </w:tc>
        <w:tc>
          <w:tcPr>
            <w:tcW w:type="dxa" w:w="2880"/>
            <w:tcMar>
              <w:top w:w="80" w:type="dxa"/>
              <w:start w:w="100" w:type="dxa"/>
              <w:bottom w:w="80" w:type="dxa"/>
              <w:end w:w="100" w:type="dxa"/>
            </w:tcMar>
          </w:tcPr>
          <w:p>
            <w:r>
              <w:rPr>
                <w:sz w:val="17"/>
              </w:rPr>
              <w:t>Let the player control Spark usage.</w:t>
            </w:r>
          </w:p>
        </w:tc>
        <w:tc>
          <w:tcPr>
            <w:tcW w:type="dxa" w:w="5040"/>
            <w:tcMar>
              <w:top w:w="80" w:type="dxa"/>
              <w:start w:w="100" w:type="dxa"/>
              <w:bottom w:w="80" w:type="dxa"/>
              <w:end w:w="100" w:type="dxa"/>
            </w:tcMar>
          </w:tcPr>
          <w:p>
            <w:r>
              <w:rPr>
                <w:sz w:val="17"/>
              </w:rPr>
              <w:t>Slider + “Don’t use Sparks”.</w:t>
            </w:r>
          </w:p>
        </w:tc>
      </w:tr>
      <w:tr>
        <w:tc>
          <w:tcPr>
            <w:tcW w:type="dxa" w:w="1584"/>
            <w:tcMar>
              <w:top w:w="80" w:type="dxa"/>
              <w:start w:w="100" w:type="dxa"/>
              <w:bottom w:w="80" w:type="dxa"/>
              <w:end w:w="100" w:type="dxa"/>
            </w:tcMar>
          </w:tcPr>
          <w:p>
            <w:r>
              <w:rPr>
                <w:sz w:val="17"/>
              </w:rPr>
              <w:t>8. Checkout</w:t>
            </w:r>
          </w:p>
        </w:tc>
        <w:tc>
          <w:tcPr>
            <w:tcW w:type="dxa" w:w="2880"/>
            <w:tcMar>
              <w:top w:w="80" w:type="dxa"/>
              <w:start w:w="100" w:type="dxa"/>
              <w:bottom w:w="80" w:type="dxa"/>
              <w:end w:w="100" w:type="dxa"/>
            </w:tcMar>
          </w:tcPr>
          <w:p>
            <w:r>
              <w:rPr>
                <w:sz w:val="17"/>
              </w:rPr>
              <w:t>Remove friction after the decision is made.</w:t>
            </w:r>
          </w:p>
        </w:tc>
        <w:tc>
          <w:tcPr>
            <w:tcW w:type="dxa" w:w="5040"/>
            <w:tcMar>
              <w:top w:w="80" w:type="dxa"/>
              <w:start w:w="100" w:type="dxa"/>
              <w:bottom w:w="80" w:type="dxa"/>
              <w:end w:w="100" w:type="dxa"/>
            </w:tcMar>
          </w:tcPr>
          <w:p>
            <w:r>
              <w:rPr>
                <w:sz w:val="17"/>
              </w:rPr>
              <w:t>Address + UPI/card + place order.</w:t>
            </w:r>
          </w:p>
        </w:tc>
      </w:tr>
      <w:tr>
        <w:tc>
          <w:tcPr>
            <w:tcW w:type="dxa" w:w="1584"/>
            <w:tcMar>
              <w:top w:w="80" w:type="dxa"/>
              <w:start w:w="100" w:type="dxa"/>
              <w:bottom w:w="80" w:type="dxa"/>
              <w:end w:w="100" w:type="dxa"/>
            </w:tcMar>
          </w:tcPr>
          <w:p>
            <w:r>
              <w:rPr>
                <w:sz w:val="17"/>
              </w:rPr>
              <w:t>9. Confirmation</w:t>
            </w:r>
          </w:p>
        </w:tc>
        <w:tc>
          <w:tcPr>
            <w:tcW w:type="dxa" w:w="2880"/>
            <w:tcMar>
              <w:top w:w="80" w:type="dxa"/>
              <w:start w:w="100" w:type="dxa"/>
              <w:bottom w:w="80" w:type="dxa"/>
              <w:end w:w="100" w:type="dxa"/>
            </w:tcMar>
          </w:tcPr>
          <w:p>
            <w:r>
              <w:rPr>
                <w:sz w:val="17"/>
              </w:rPr>
              <w:t>Close the loop and return to game.</w:t>
            </w:r>
          </w:p>
        </w:tc>
        <w:tc>
          <w:tcPr>
            <w:tcW w:type="dxa" w:w="5040"/>
            <w:tcMar>
              <w:top w:w="80" w:type="dxa"/>
              <w:start w:w="100" w:type="dxa"/>
              <w:bottom w:w="80" w:type="dxa"/>
              <w:end w:w="100" w:type="dxa"/>
            </w:tcMar>
          </w:tcPr>
          <w:p>
            <w:r>
              <w:rPr>
                <w:sz w:val="17"/>
              </w:rPr>
              <w:t>“You used… / You earned…” + “Return to game”.</w:t>
            </w:r>
          </w:p>
        </w:tc>
      </w:tr>
      <w:tr>
        <w:tc>
          <w:tcPr>
            <w:tcW w:type="dxa" w:w="1584"/>
            <w:tcMar>
              <w:top w:w="80" w:type="dxa"/>
              <w:start w:w="100" w:type="dxa"/>
              <w:bottom w:w="80" w:type="dxa"/>
              <w:end w:w="100" w:type="dxa"/>
            </w:tcMar>
          </w:tcPr>
          <w:p>
            <w:r>
              <w:rPr>
                <w:sz w:val="17"/>
              </w:rPr>
              <w:t>10. Wallet</w:t>
            </w:r>
          </w:p>
        </w:tc>
        <w:tc>
          <w:tcPr>
            <w:tcW w:type="dxa" w:w="2880"/>
            <w:tcMar>
              <w:top w:w="80" w:type="dxa"/>
              <w:start w:w="100" w:type="dxa"/>
              <w:bottom w:w="80" w:type="dxa"/>
              <w:end w:w="100" w:type="dxa"/>
            </w:tcMar>
          </w:tcPr>
          <w:p>
            <w:r>
              <w:rPr>
                <w:sz w:val="17"/>
              </w:rPr>
              <w:t>Build trust and explain mechanics.</w:t>
            </w:r>
          </w:p>
        </w:tc>
        <w:tc>
          <w:tcPr>
            <w:tcW w:type="dxa" w:w="5040"/>
            <w:tcMar>
              <w:top w:w="80" w:type="dxa"/>
              <w:start w:w="100" w:type="dxa"/>
              <w:bottom w:w="80" w:type="dxa"/>
              <w:end w:w="100" w:type="dxa"/>
            </w:tcMar>
          </w:tcPr>
          <w:p>
            <w:r>
              <w:rPr>
                <w:sz w:val="17"/>
              </w:rPr>
              <w:t>Balance + transaction history + expiry rules.</w:t>
            </w:r>
          </w:p>
        </w:tc>
      </w:tr>
    </w:tbl>
    <w:p>
      <w:pPr>
        <w:spacing w:after="60"/>
      </w:pPr>
      <w:r>
        <w:rPr>
          <w:b/>
          <w:color w:val="78746C"/>
          <w:sz w:val="18"/>
        </w:rPr>
        <w:t>UX RULE</w:t>
      </w:r>
    </w:p>
    <w:p>
      <w:pPr>
        <w:spacing w:after="120" w:line="259" w:lineRule="auto"/>
      </w:pPr>
      <w:r>
        <w:t>A player should never have to understand the entire economy before buying one product. Explain only what is necessary at the moment of decision, while keeping the full rules available in Wallet/T&amp;Cs.</w:t>
      </w:r>
    </w:p>
    <w:p>
      <w:pPr>
        <w:pageBreakBefore/>
      </w:pPr>
      <w:r>
        <w:rPr>
          <w:b/>
        </w:rPr>
        <w:t>5. PRD — MVP requirements</w:t>
      </w:r>
    </w:p>
    <w:p>
      <w:pPr>
        <w:spacing w:after="60"/>
      </w:pPr>
      <w:r>
        <w:rPr>
          <w:b/>
          <w:color w:val="78746C"/>
          <w:sz w:val="18"/>
        </w:rPr>
        <w:t>MVP OBJECTIVE</w:t>
      </w:r>
    </w:p>
    <w:p>
      <w:pPr>
        <w:spacing w:after="120" w:line="259" w:lineRule="auto"/>
      </w:pPr>
      <w:r>
        <w:t>Enable one eligible player to finish a game session, earn Sparks, discover a reward, apply Sparks, complete a real purchase and return to the game—without a balance discrepancy or materially harming normal commerce checkout.</w:t>
      </w:r>
    </w:p>
    <w:tbl>
      <w:tblPr>
        <w:tblStyle w:val="TableGrid"/>
        <w:tblW w:type="auto" w:w="0"/>
        <w:jc w:val="center"/>
        <w:tblLook w:firstColumn="1" w:firstRow="1" w:lastColumn="0" w:lastRow="0" w:noHBand="0" w:noVBand="1" w:val="04A0"/>
      </w:tblPr>
      <w:tblGrid>
        <w:gridCol w:w="3456"/>
        <w:gridCol w:w="3456"/>
        <w:gridCol w:w="3456"/>
      </w:tblGrid>
      <w:tr>
        <w:tc>
          <w:tcPr>
            <w:tcW w:type="dxa" w:w="936"/>
            <w:shd w:fill="16181D"/>
            <w:tcMar>
              <w:top w:w="80" w:type="dxa"/>
              <w:start w:w="100" w:type="dxa"/>
              <w:bottom w:w="80" w:type="dxa"/>
              <w:end w:w="100" w:type="dxa"/>
            </w:tcMar>
            <w:vAlign w:val="center"/>
          </w:tcPr>
          <w:p>
            <w:r>
              <w:rPr>
                <w:b/>
                <w:color w:val="FFFFFF"/>
                <w:sz w:val="18"/>
              </w:rPr>
              <w:t>ID</w:t>
            </w:r>
          </w:p>
        </w:tc>
        <w:tc>
          <w:tcPr>
            <w:tcW w:type="dxa" w:w="3528"/>
            <w:shd w:fill="16181D"/>
            <w:tcMar>
              <w:top w:w="80" w:type="dxa"/>
              <w:start w:w="100" w:type="dxa"/>
              <w:bottom w:w="80" w:type="dxa"/>
              <w:end w:w="100" w:type="dxa"/>
            </w:tcMar>
            <w:vAlign w:val="center"/>
          </w:tcPr>
          <w:p>
            <w:r>
              <w:rPr>
                <w:b/>
                <w:color w:val="FFFFFF"/>
                <w:sz w:val="18"/>
              </w:rPr>
              <w:t>Requirement</w:t>
            </w:r>
          </w:p>
        </w:tc>
        <w:tc>
          <w:tcPr>
            <w:tcW w:type="dxa" w:w="5040"/>
            <w:shd w:fill="16181D"/>
            <w:tcMar>
              <w:top w:w="80" w:type="dxa"/>
              <w:start w:w="100" w:type="dxa"/>
              <w:bottom w:w="80" w:type="dxa"/>
              <w:end w:w="100" w:type="dxa"/>
            </w:tcMar>
            <w:vAlign w:val="center"/>
          </w:tcPr>
          <w:p>
            <w:r>
              <w:rPr>
                <w:b/>
                <w:color w:val="FFFFFF"/>
                <w:sz w:val="18"/>
              </w:rPr>
              <w:t>Acceptance signal</w:t>
            </w:r>
          </w:p>
        </w:tc>
      </w:tr>
      <w:tr>
        <w:tc>
          <w:tcPr>
            <w:tcW w:type="dxa" w:w="936"/>
            <w:tcMar>
              <w:top w:w="80" w:type="dxa"/>
              <w:start w:w="100" w:type="dxa"/>
              <w:bottom w:w="80" w:type="dxa"/>
              <w:end w:w="100" w:type="dxa"/>
            </w:tcMar>
          </w:tcPr>
          <w:p>
            <w:r>
              <w:rPr>
                <w:sz w:val="17"/>
              </w:rPr>
              <w:t>FR-01</w:t>
            </w:r>
          </w:p>
        </w:tc>
        <w:tc>
          <w:tcPr>
            <w:tcW w:type="dxa" w:w="3528"/>
            <w:tcMar>
              <w:top w:w="80" w:type="dxa"/>
              <w:start w:w="100" w:type="dxa"/>
              <w:bottom w:w="80" w:type="dxa"/>
              <w:end w:w="100" w:type="dxa"/>
            </w:tcMar>
          </w:tcPr>
          <w:p>
            <w:r>
              <w:rPr>
                <w:sz w:val="17"/>
              </w:rPr>
              <w:t>Authoritative Spark ledger</w:t>
            </w:r>
          </w:p>
        </w:tc>
        <w:tc>
          <w:tcPr>
            <w:tcW w:type="dxa" w:w="5040"/>
            <w:tcMar>
              <w:top w:w="80" w:type="dxa"/>
              <w:start w:w="100" w:type="dxa"/>
              <w:bottom w:w="80" w:type="dxa"/>
              <w:end w:w="100" w:type="dxa"/>
            </w:tcMar>
          </w:tcPr>
          <w:p>
            <w:r>
              <w:rPr>
                <w:sz w:val="17"/>
              </w:rPr>
              <w:t>Every mutation has transaction ID, type, amount, source, idempotency key and timestamp.</w:t>
            </w:r>
          </w:p>
        </w:tc>
      </w:tr>
      <w:tr>
        <w:tc>
          <w:tcPr>
            <w:tcW w:type="dxa" w:w="936"/>
            <w:tcMar>
              <w:top w:w="80" w:type="dxa"/>
              <w:start w:w="100" w:type="dxa"/>
              <w:bottom w:w="80" w:type="dxa"/>
              <w:end w:w="100" w:type="dxa"/>
            </w:tcMar>
          </w:tcPr>
          <w:p>
            <w:r>
              <w:rPr>
                <w:sz w:val="17"/>
              </w:rPr>
              <w:t>FR-02</w:t>
            </w:r>
          </w:p>
        </w:tc>
        <w:tc>
          <w:tcPr>
            <w:tcW w:type="dxa" w:w="3528"/>
            <w:tcMar>
              <w:top w:w="80" w:type="dxa"/>
              <w:start w:w="100" w:type="dxa"/>
              <w:bottom w:w="80" w:type="dxa"/>
              <w:end w:w="100" w:type="dxa"/>
            </w:tcMar>
          </w:tcPr>
          <w:p>
            <w:r>
              <w:rPr>
                <w:sz w:val="17"/>
              </w:rPr>
              <w:t>Server-side earning</w:t>
            </w:r>
          </w:p>
        </w:tc>
        <w:tc>
          <w:tcPr>
            <w:tcW w:type="dxa" w:w="5040"/>
            <w:tcMar>
              <w:top w:w="80" w:type="dxa"/>
              <w:start w:w="100" w:type="dxa"/>
              <w:bottom w:w="80" w:type="dxa"/>
              <w:end w:w="100" w:type="dxa"/>
            </w:tcMar>
          </w:tcPr>
          <w:p>
            <w:r>
              <w:rPr>
                <w:sz w:val="17"/>
              </w:rPr>
              <w:t>Tampered clients cannot choose earn amounts; repeated events are deduplicated.</w:t>
            </w:r>
          </w:p>
        </w:tc>
      </w:tr>
      <w:tr>
        <w:tc>
          <w:tcPr>
            <w:tcW w:type="dxa" w:w="936"/>
            <w:tcMar>
              <w:top w:w="80" w:type="dxa"/>
              <w:start w:w="100" w:type="dxa"/>
              <w:bottom w:w="80" w:type="dxa"/>
              <w:end w:w="100" w:type="dxa"/>
            </w:tcMar>
          </w:tcPr>
          <w:p>
            <w:r>
              <w:rPr>
                <w:sz w:val="17"/>
              </w:rPr>
              <w:t>FR-03</w:t>
            </w:r>
          </w:p>
        </w:tc>
        <w:tc>
          <w:tcPr>
            <w:tcW w:type="dxa" w:w="3528"/>
            <w:tcMar>
              <w:top w:w="80" w:type="dxa"/>
              <w:start w:w="100" w:type="dxa"/>
              <w:bottom w:w="80" w:type="dxa"/>
              <w:end w:w="100" w:type="dxa"/>
            </w:tcMar>
          </w:tcPr>
          <w:p>
            <w:r>
              <w:rPr>
                <w:sz w:val="17"/>
              </w:rPr>
              <w:t>Reservation</w:t>
            </w:r>
          </w:p>
        </w:tc>
        <w:tc>
          <w:tcPr>
            <w:tcW w:type="dxa" w:w="5040"/>
            <w:tcMar>
              <w:top w:w="80" w:type="dxa"/>
              <w:start w:w="100" w:type="dxa"/>
              <w:bottom w:w="80" w:type="dxa"/>
              <w:end w:w="100" w:type="dxa"/>
            </w:tcMar>
          </w:tcPr>
          <w:p>
            <w:r>
              <w:rPr>
                <w:sz w:val="17"/>
              </w:rPr>
              <w:t>Spark usage is reserved before payment; concurrent devices cannot double-spend.</w:t>
            </w:r>
          </w:p>
        </w:tc>
      </w:tr>
      <w:tr>
        <w:tc>
          <w:tcPr>
            <w:tcW w:type="dxa" w:w="936"/>
            <w:tcMar>
              <w:top w:w="80" w:type="dxa"/>
              <w:start w:w="100" w:type="dxa"/>
              <w:bottom w:w="80" w:type="dxa"/>
              <w:end w:w="100" w:type="dxa"/>
            </w:tcMar>
          </w:tcPr>
          <w:p>
            <w:r>
              <w:rPr>
                <w:sz w:val="17"/>
              </w:rPr>
              <w:t>FR-04</w:t>
            </w:r>
          </w:p>
        </w:tc>
        <w:tc>
          <w:tcPr>
            <w:tcW w:type="dxa" w:w="3528"/>
            <w:tcMar>
              <w:top w:w="80" w:type="dxa"/>
              <w:start w:w="100" w:type="dxa"/>
              <w:bottom w:w="80" w:type="dxa"/>
              <w:end w:w="100" w:type="dxa"/>
            </w:tcMar>
          </w:tcPr>
          <w:p>
            <w:r>
              <w:rPr>
                <w:sz w:val="17"/>
              </w:rPr>
              <w:t>Catalogue eligibility</w:t>
            </w:r>
          </w:p>
        </w:tc>
        <w:tc>
          <w:tcPr>
            <w:tcW w:type="dxa" w:w="5040"/>
            <w:tcMar>
              <w:top w:w="80" w:type="dxa"/>
              <w:start w:w="100" w:type="dxa"/>
              <w:bottom w:w="80" w:type="dxa"/>
              <w:end w:w="100" w:type="dxa"/>
            </w:tcMar>
          </w:tcPr>
          <w:p>
            <w:r>
              <w:rPr>
                <w:sz w:val="17"/>
              </w:rPr>
              <w:t>SKU carries Spark eligibility, max coverage, seller funding and safety flags.</w:t>
            </w:r>
          </w:p>
        </w:tc>
      </w:tr>
      <w:tr>
        <w:tc>
          <w:tcPr>
            <w:tcW w:type="dxa" w:w="936"/>
            <w:tcMar>
              <w:top w:w="80" w:type="dxa"/>
              <w:start w:w="100" w:type="dxa"/>
              <w:bottom w:w="80" w:type="dxa"/>
              <w:end w:w="100" w:type="dxa"/>
            </w:tcMar>
          </w:tcPr>
          <w:p>
            <w:r>
              <w:rPr>
                <w:sz w:val="17"/>
              </w:rPr>
              <w:t>FR-05</w:t>
            </w:r>
          </w:p>
        </w:tc>
        <w:tc>
          <w:tcPr>
            <w:tcW w:type="dxa" w:w="3528"/>
            <w:tcMar>
              <w:top w:w="80" w:type="dxa"/>
              <w:start w:w="100" w:type="dxa"/>
              <w:bottom w:w="80" w:type="dxa"/>
              <w:end w:w="100" w:type="dxa"/>
            </w:tcMar>
          </w:tcPr>
          <w:p>
            <w:r>
              <w:rPr>
                <w:sz w:val="17"/>
              </w:rPr>
              <w:t>PDP value breakdown</w:t>
            </w:r>
          </w:p>
        </w:tc>
        <w:tc>
          <w:tcPr>
            <w:tcW w:type="dxa" w:w="5040"/>
            <w:tcMar>
              <w:top w:w="80" w:type="dxa"/>
              <w:start w:w="100" w:type="dxa"/>
              <w:bottom w:w="80" w:type="dxa"/>
              <w:end w:w="100" w:type="dxa"/>
            </w:tcMar>
          </w:tcPr>
          <w:p>
            <w:r>
              <w:rPr>
                <w:sz w:val="17"/>
              </w:rPr>
              <w:t>Full cash price remains explicit; Spark coverage and residual cash are clear.</w:t>
            </w:r>
          </w:p>
        </w:tc>
      </w:tr>
      <w:tr>
        <w:tc>
          <w:tcPr>
            <w:tcW w:type="dxa" w:w="936"/>
            <w:tcMar>
              <w:top w:w="80" w:type="dxa"/>
              <w:start w:w="100" w:type="dxa"/>
              <w:bottom w:w="80" w:type="dxa"/>
              <w:end w:w="100" w:type="dxa"/>
            </w:tcMar>
          </w:tcPr>
          <w:p>
            <w:r>
              <w:rPr>
                <w:sz w:val="17"/>
              </w:rPr>
              <w:t>FR-06</w:t>
            </w:r>
          </w:p>
        </w:tc>
        <w:tc>
          <w:tcPr>
            <w:tcW w:type="dxa" w:w="3528"/>
            <w:tcMar>
              <w:top w:w="80" w:type="dxa"/>
              <w:start w:w="100" w:type="dxa"/>
              <w:bottom w:w="80" w:type="dxa"/>
              <w:end w:w="100" w:type="dxa"/>
            </w:tcMar>
          </w:tcPr>
          <w:p>
            <w:r>
              <w:rPr>
                <w:sz w:val="17"/>
              </w:rPr>
              <w:t>Checkout integration</w:t>
            </w:r>
          </w:p>
        </w:tc>
        <w:tc>
          <w:tcPr>
            <w:tcW w:type="dxa" w:w="5040"/>
            <w:tcMar>
              <w:top w:w="80" w:type="dxa"/>
              <w:start w:w="100" w:type="dxa"/>
              <w:bottom w:w="80" w:type="dxa"/>
              <w:end w:w="100" w:type="dxa"/>
            </w:tcMar>
          </w:tcPr>
          <w:p>
            <w:r>
              <w:rPr>
                <w:sz w:val="17"/>
              </w:rPr>
              <w:t>Payment failure releases/reserves appropriately; cash checkout can degrade if rewards service fails.</w:t>
            </w:r>
          </w:p>
        </w:tc>
      </w:tr>
      <w:tr>
        <w:tc>
          <w:tcPr>
            <w:tcW w:type="dxa" w:w="936"/>
            <w:tcMar>
              <w:top w:w="80" w:type="dxa"/>
              <w:start w:w="100" w:type="dxa"/>
              <w:bottom w:w="80" w:type="dxa"/>
              <w:end w:w="100" w:type="dxa"/>
            </w:tcMar>
          </w:tcPr>
          <w:p>
            <w:r>
              <w:rPr>
                <w:sz w:val="17"/>
              </w:rPr>
              <w:t>FR-07</w:t>
            </w:r>
          </w:p>
        </w:tc>
        <w:tc>
          <w:tcPr>
            <w:tcW w:type="dxa" w:w="3528"/>
            <w:tcMar>
              <w:top w:w="80" w:type="dxa"/>
              <w:start w:w="100" w:type="dxa"/>
              <w:bottom w:w="80" w:type="dxa"/>
              <w:end w:w="100" w:type="dxa"/>
            </w:tcMar>
          </w:tcPr>
          <w:p>
            <w:r>
              <w:rPr>
                <w:sz w:val="17"/>
              </w:rPr>
              <w:t>Refund handling</w:t>
            </w:r>
          </w:p>
        </w:tc>
        <w:tc>
          <w:tcPr>
            <w:tcW w:type="dxa" w:w="5040"/>
            <w:tcMar>
              <w:top w:w="80" w:type="dxa"/>
              <w:start w:w="100" w:type="dxa"/>
              <w:bottom w:w="80" w:type="dxa"/>
              <w:end w:w="100" w:type="dxa"/>
            </w:tcMar>
          </w:tcPr>
          <w:p>
            <w:r>
              <w:rPr>
                <w:sz w:val="17"/>
              </w:rPr>
              <w:t>Spark-funded portion returns as Sparks, subject to documented expiry rules.</w:t>
            </w:r>
          </w:p>
        </w:tc>
      </w:tr>
      <w:tr>
        <w:tc>
          <w:tcPr>
            <w:tcW w:type="dxa" w:w="936"/>
            <w:tcMar>
              <w:top w:w="80" w:type="dxa"/>
              <w:start w:w="100" w:type="dxa"/>
              <w:bottom w:w="80" w:type="dxa"/>
              <w:end w:w="100" w:type="dxa"/>
            </w:tcMar>
          </w:tcPr>
          <w:p>
            <w:r>
              <w:rPr>
                <w:sz w:val="17"/>
              </w:rPr>
              <w:t>FR-08</w:t>
            </w:r>
          </w:p>
        </w:tc>
        <w:tc>
          <w:tcPr>
            <w:tcW w:type="dxa" w:w="3528"/>
            <w:tcMar>
              <w:top w:w="80" w:type="dxa"/>
              <w:start w:w="100" w:type="dxa"/>
              <w:bottom w:w="80" w:type="dxa"/>
              <w:end w:w="100" w:type="dxa"/>
            </w:tcMar>
          </w:tcPr>
          <w:p>
            <w:r>
              <w:rPr>
                <w:sz w:val="17"/>
              </w:rPr>
              <w:t>Goal setting</w:t>
            </w:r>
          </w:p>
        </w:tc>
        <w:tc>
          <w:tcPr>
            <w:tcW w:type="dxa" w:w="5040"/>
            <w:tcMar>
              <w:top w:w="80" w:type="dxa"/>
              <w:start w:w="100" w:type="dxa"/>
              <w:bottom w:w="80" w:type="dxa"/>
              <w:end w:w="100" w:type="dxa"/>
            </w:tcMar>
          </w:tcPr>
          <w:p>
            <w:r>
              <w:rPr>
                <w:sz w:val="17"/>
              </w:rPr>
              <w:t>User can save an unaffordable SKU and see progress from game context.</w:t>
            </w:r>
          </w:p>
        </w:tc>
      </w:tr>
      <w:tr>
        <w:tc>
          <w:tcPr>
            <w:tcW w:type="dxa" w:w="936"/>
            <w:tcMar>
              <w:top w:w="80" w:type="dxa"/>
              <w:start w:w="100" w:type="dxa"/>
              <w:bottom w:w="80" w:type="dxa"/>
              <w:end w:w="100" w:type="dxa"/>
            </w:tcMar>
          </w:tcPr>
          <w:p>
            <w:r>
              <w:rPr>
                <w:sz w:val="17"/>
              </w:rPr>
              <w:t>FR-09</w:t>
            </w:r>
          </w:p>
        </w:tc>
        <w:tc>
          <w:tcPr>
            <w:tcW w:type="dxa" w:w="3528"/>
            <w:tcMar>
              <w:top w:w="80" w:type="dxa"/>
              <w:start w:w="100" w:type="dxa"/>
              <w:bottom w:w="80" w:type="dxa"/>
              <w:end w:w="100" w:type="dxa"/>
            </w:tcMar>
          </w:tcPr>
          <w:p>
            <w:r>
              <w:rPr>
                <w:sz w:val="17"/>
              </w:rPr>
              <w:t>Analytics</w:t>
            </w:r>
          </w:p>
        </w:tc>
        <w:tc>
          <w:tcPr>
            <w:tcW w:type="dxa" w:w="5040"/>
            <w:tcMar>
              <w:top w:w="80" w:type="dxa"/>
              <w:start w:w="100" w:type="dxa"/>
              <w:bottom w:w="80" w:type="dxa"/>
              <w:end w:w="100" w:type="dxa"/>
            </w:tcMar>
          </w:tcPr>
          <w:p>
            <w:r>
              <w:rPr>
                <w:sz w:val="17"/>
              </w:rPr>
              <w:t>Every funnel and economy transition is instrumented.</w:t>
            </w:r>
          </w:p>
        </w:tc>
      </w:tr>
      <w:tr>
        <w:tc>
          <w:tcPr>
            <w:tcW w:type="dxa" w:w="936"/>
            <w:tcMar>
              <w:top w:w="80" w:type="dxa"/>
              <w:start w:w="100" w:type="dxa"/>
              <w:bottom w:w="80" w:type="dxa"/>
              <w:end w:w="100" w:type="dxa"/>
            </w:tcMar>
          </w:tcPr>
          <w:p>
            <w:r>
              <w:rPr>
                <w:sz w:val="17"/>
              </w:rPr>
              <w:t>FR-10</w:t>
            </w:r>
          </w:p>
        </w:tc>
        <w:tc>
          <w:tcPr>
            <w:tcW w:type="dxa" w:w="3528"/>
            <w:tcMar>
              <w:top w:w="80" w:type="dxa"/>
              <w:start w:w="100" w:type="dxa"/>
              <w:bottom w:w="80" w:type="dxa"/>
              <w:end w:w="100" w:type="dxa"/>
            </w:tcMar>
          </w:tcPr>
          <w:p>
            <w:r>
              <w:rPr>
                <w:sz w:val="17"/>
              </w:rPr>
              <w:t>Support tooling</w:t>
            </w:r>
          </w:p>
        </w:tc>
        <w:tc>
          <w:tcPr>
            <w:tcW w:type="dxa" w:w="5040"/>
            <w:tcMar>
              <w:top w:w="80" w:type="dxa"/>
              <w:start w:w="100" w:type="dxa"/>
              <w:bottom w:w="80" w:type="dxa"/>
              <w:end w:w="100" w:type="dxa"/>
            </w:tcMar>
          </w:tcPr>
          <w:p>
            <w:r>
              <w:rPr>
                <w:sz w:val="17"/>
              </w:rPr>
              <w:t>Authorised agents can inspect and adjust balances with an audit trail.</w:t>
            </w:r>
          </w:p>
        </w:tc>
      </w:tr>
    </w:tbl>
    <w:p>
      <w:pPr>
        <w:spacing w:after="60"/>
      </w:pPr>
      <w:r>
        <w:rPr>
          <w:b/>
          <w:color w:val="78746C"/>
          <w:sz w:val="18"/>
        </w:rPr>
        <w:t>NON-FUNCTIONAL REQUIREMENTS</w:t>
      </w:r>
    </w:p>
    <w:p>
      <w:pPr>
        <w:spacing w:after="120" w:line="259" w:lineRule="auto"/>
      </w:pPr>
      <w:r>
        <w:t>Performance target: store home p95 &lt;1.5s on a modest Android device over 4G. Rewards service must degrade gracefully to cash-only commerce. Ledger mutations require durable, auditable storage and strong idempotency. Treat a lost Spark as a trust incident.</w:t>
      </w:r>
    </w:p>
    <w:p>
      <w:pPr>
        <w:pageBreakBefore/>
      </w:pPr>
      <w:r>
        <w:rPr>
          <w:b/>
        </w:rPr>
        <w:t>6. Measurement &amp; experimentation</w:t>
      </w:r>
    </w:p>
    <w:p>
      <w:pPr>
        <w:spacing w:after="60"/>
      </w:pPr>
      <w:r>
        <w:rPr>
          <w:b/>
          <w:color w:val="78746C"/>
          <w:sz w:val="18"/>
        </w:rPr>
        <w:t>METRIC TREE</w:t>
      </w:r>
    </w:p>
    <w:p>
      <w:pPr>
        <w:spacing w:after="120" w:line="259" w:lineRule="auto"/>
      </w:pPr>
      <w:r>
        <w:t>Contribution profit / Gaming MAU → Loop Completion Rate → store entry → PDP → cart → checkout → order → return-to-game. Supporting metrics: AOV, take rate, redemption, breakage, Spark liability, D30 retention, sessions/user, fraud rate, CS contacts and overall checkout conversion.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6181D"/>
            <w:tcMar>
              <w:top w:w="80" w:type="dxa"/>
              <w:start w:w="100" w:type="dxa"/>
              <w:bottom w:w="80" w:type="dxa"/>
              <w:end w:w="100" w:type="dxa"/>
            </w:tcMar>
            <w:vAlign w:val="center"/>
          </w:tcPr>
          <w:p>
            <w:r>
              <w:rPr>
                <w:b/>
                <w:color w:val="FFFFFF"/>
                <w:sz w:val="18"/>
              </w:rPr>
              <w:t>Experiment</w:t>
            </w:r>
          </w:p>
        </w:tc>
        <w:tc>
          <w:tcPr>
            <w:tcW w:type="dxa" w:w="2088"/>
            <w:shd w:fill="16181D"/>
            <w:tcMar>
              <w:top w:w="80" w:type="dxa"/>
              <w:start w:w="100" w:type="dxa"/>
              <w:bottom w:w="80" w:type="dxa"/>
              <w:end w:w="100" w:type="dxa"/>
            </w:tcMar>
            <w:vAlign w:val="center"/>
          </w:tcPr>
          <w:p>
            <w:r>
              <w:rPr>
                <w:b/>
                <w:color w:val="FFFFFF"/>
                <w:sz w:val="18"/>
              </w:rPr>
              <w:t>Control</w:t>
            </w:r>
          </w:p>
        </w:tc>
        <w:tc>
          <w:tcPr>
            <w:tcW w:type="dxa" w:w="2880"/>
            <w:shd w:fill="16181D"/>
            <w:tcMar>
              <w:top w:w="80" w:type="dxa"/>
              <w:start w:w="100" w:type="dxa"/>
              <w:bottom w:w="80" w:type="dxa"/>
              <w:end w:w="100" w:type="dxa"/>
            </w:tcMar>
            <w:vAlign w:val="center"/>
          </w:tcPr>
          <w:p>
            <w:r>
              <w:rPr>
                <w:b/>
                <w:color w:val="FFFFFF"/>
                <w:sz w:val="18"/>
              </w:rPr>
              <w:t>Treatment</w:t>
            </w:r>
          </w:p>
        </w:tc>
        <w:tc>
          <w:tcPr>
            <w:tcW w:type="dxa" w:w="3024"/>
            <w:shd w:fill="16181D"/>
            <w:tcMar>
              <w:top w:w="80" w:type="dxa"/>
              <w:start w:w="100" w:type="dxa"/>
              <w:bottom w:w="80" w:type="dxa"/>
              <w:end w:w="100" w:type="dxa"/>
            </w:tcMar>
            <w:vAlign w:val="center"/>
          </w:tcPr>
          <w:p>
            <w:r>
              <w:rPr>
                <w:b/>
                <w:color w:val="FFFFFF"/>
                <w:sz w:val="18"/>
              </w:rPr>
              <w:t>Primary metric</w:t>
            </w:r>
          </w:p>
        </w:tc>
      </w:tr>
      <w:tr>
        <w:tc>
          <w:tcPr>
            <w:tcW w:type="dxa" w:w="2088"/>
            <w:tcMar>
              <w:top w:w="80" w:type="dxa"/>
              <w:start w:w="100" w:type="dxa"/>
              <w:bottom w:w="80" w:type="dxa"/>
              <w:end w:w="100" w:type="dxa"/>
            </w:tcMar>
          </w:tcPr>
          <w:p>
            <w:r>
              <w:rPr>
                <w:sz w:val="17"/>
              </w:rPr>
              <w:t>E1: Spark layer</w:t>
            </w:r>
          </w:p>
        </w:tc>
        <w:tc>
          <w:tcPr>
            <w:tcW w:type="dxa" w:w="2088"/>
            <w:tcMar>
              <w:top w:w="80" w:type="dxa"/>
              <w:start w:w="100" w:type="dxa"/>
              <w:bottom w:w="80" w:type="dxa"/>
              <w:end w:w="100" w:type="dxa"/>
            </w:tcMar>
          </w:tcPr>
          <w:p>
            <w:r>
              <w:rPr>
                <w:sz w:val="17"/>
              </w:rPr>
              <w:t>Normal game/store</w:t>
            </w:r>
          </w:p>
        </w:tc>
        <w:tc>
          <w:tcPr>
            <w:tcW w:type="dxa" w:w="2880"/>
            <w:tcMar>
              <w:top w:w="80" w:type="dxa"/>
              <w:start w:w="100" w:type="dxa"/>
              <w:bottom w:w="80" w:type="dxa"/>
              <w:end w:w="100" w:type="dxa"/>
            </w:tcMar>
          </w:tcPr>
          <w:p>
            <w:r>
              <w:rPr>
                <w:sz w:val="17"/>
              </w:rPr>
              <w:t>Sparks-enabled experience</w:t>
            </w:r>
          </w:p>
        </w:tc>
        <w:tc>
          <w:tcPr>
            <w:tcW w:type="dxa" w:w="3024"/>
            <w:tcMar>
              <w:top w:w="80" w:type="dxa"/>
              <w:start w:w="100" w:type="dxa"/>
              <w:bottom w:w="80" w:type="dxa"/>
              <w:end w:w="100" w:type="dxa"/>
            </w:tcMar>
          </w:tcPr>
          <w:p>
            <w:r>
              <w:rPr>
                <w:sz w:val="17"/>
              </w:rPr>
              <w:t>Incremental orders + contribution</w:t>
            </w:r>
          </w:p>
        </w:tc>
      </w:tr>
      <w:tr>
        <w:tc>
          <w:tcPr>
            <w:tcW w:type="dxa" w:w="2088"/>
            <w:tcMar>
              <w:top w:w="80" w:type="dxa"/>
              <w:start w:w="100" w:type="dxa"/>
              <w:bottom w:w="80" w:type="dxa"/>
              <w:end w:w="100" w:type="dxa"/>
            </w:tcMar>
          </w:tcPr>
          <w:p>
            <w:r>
              <w:rPr>
                <w:sz w:val="17"/>
              </w:rPr>
              <w:t>E2: Presentation</w:t>
            </w:r>
          </w:p>
        </w:tc>
        <w:tc>
          <w:tcPr>
            <w:tcW w:type="dxa" w:w="2088"/>
            <w:tcMar>
              <w:top w:w="80" w:type="dxa"/>
              <w:start w:w="100" w:type="dxa"/>
              <w:bottom w:w="80" w:type="dxa"/>
              <w:end w:w="100" w:type="dxa"/>
            </w:tcMar>
          </w:tcPr>
          <w:p>
            <w:r>
              <w:rPr>
                <w:sz w:val="17"/>
              </w:rPr>
              <w:t>Spark balance only</w:t>
            </w:r>
          </w:p>
        </w:tc>
        <w:tc>
          <w:tcPr>
            <w:tcW w:type="dxa" w:w="2880"/>
            <w:tcMar>
              <w:top w:w="80" w:type="dxa"/>
              <w:start w:w="100" w:type="dxa"/>
              <w:bottom w:w="80" w:type="dxa"/>
              <w:end w:w="100" w:type="dxa"/>
            </w:tcMar>
          </w:tcPr>
          <w:p>
            <w:r>
              <w:rPr>
                <w:sz w:val="17"/>
              </w:rPr>
              <w:t>Product-level value framing</w:t>
            </w:r>
          </w:p>
        </w:tc>
        <w:tc>
          <w:tcPr>
            <w:tcW w:type="dxa" w:w="3024"/>
            <w:tcMar>
              <w:top w:w="80" w:type="dxa"/>
              <w:start w:w="100" w:type="dxa"/>
              <w:bottom w:w="80" w:type="dxa"/>
              <w:end w:w="100" w:type="dxa"/>
            </w:tcMar>
          </w:tcPr>
          <w:p>
            <w:r>
              <w:rPr>
                <w:sz w:val="17"/>
              </w:rPr>
              <w:t>PDP → Cart conversion</w:t>
            </w:r>
          </w:p>
        </w:tc>
      </w:tr>
      <w:tr>
        <w:tc>
          <w:tcPr>
            <w:tcW w:type="dxa" w:w="2088"/>
            <w:tcMar>
              <w:top w:w="80" w:type="dxa"/>
              <w:start w:w="100" w:type="dxa"/>
              <w:bottom w:w="80" w:type="dxa"/>
              <w:end w:w="100" w:type="dxa"/>
            </w:tcMar>
          </w:tcPr>
          <w:p>
            <w:r>
              <w:rPr>
                <w:sz w:val="17"/>
              </w:rPr>
              <w:t>E3: Coverage</w:t>
            </w:r>
          </w:p>
        </w:tc>
        <w:tc>
          <w:tcPr>
            <w:tcW w:type="dxa" w:w="2088"/>
            <w:tcMar>
              <w:top w:w="80" w:type="dxa"/>
              <w:start w:w="100" w:type="dxa"/>
              <w:bottom w:w="80" w:type="dxa"/>
              <w:end w:w="100" w:type="dxa"/>
            </w:tcMar>
          </w:tcPr>
          <w:p>
            <w:r>
              <w:rPr>
                <w:sz w:val="17"/>
              </w:rPr>
              <w:t>10% / 20% / 30% cap arms</w:t>
            </w:r>
          </w:p>
        </w:tc>
        <w:tc>
          <w:tcPr>
            <w:tcW w:type="dxa" w:w="2880"/>
            <w:tcMar>
              <w:top w:w="80" w:type="dxa"/>
              <w:start w:w="100" w:type="dxa"/>
              <w:bottom w:w="80" w:type="dxa"/>
              <w:end w:w="100" w:type="dxa"/>
            </w:tcMar>
          </w:tcPr>
          <w:p>
            <w:r>
              <w:rPr>
                <w:sz w:val="17"/>
              </w:rPr>
              <w:t>Different Spark coverage</w:t>
            </w:r>
          </w:p>
        </w:tc>
        <w:tc>
          <w:tcPr>
            <w:tcW w:type="dxa" w:w="3024"/>
            <w:tcMar>
              <w:top w:w="80" w:type="dxa"/>
              <w:start w:w="100" w:type="dxa"/>
              <w:bottom w:w="80" w:type="dxa"/>
              <w:end w:w="100" w:type="dxa"/>
            </w:tcMar>
          </w:tcPr>
          <w:p>
            <w:r>
              <w:rPr>
                <w:sz w:val="17"/>
              </w:rPr>
              <w:t>Incremental contribution</w:t>
            </w:r>
          </w:p>
        </w:tc>
      </w:tr>
      <w:tr>
        <w:tc>
          <w:tcPr>
            <w:tcW w:type="dxa" w:w="2088"/>
            <w:tcMar>
              <w:top w:w="80" w:type="dxa"/>
              <w:start w:w="100" w:type="dxa"/>
              <w:bottom w:w="80" w:type="dxa"/>
              <w:end w:w="100" w:type="dxa"/>
            </w:tcMar>
          </w:tcPr>
          <w:p>
            <w:r>
              <w:rPr>
                <w:sz w:val="17"/>
              </w:rPr>
              <w:t>E4: Goal</w:t>
            </w:r>
          </w:p>
        </w:tc>
        <w:tc>
          <w:tcPr>
            <w:tcW w:type="dxa" w:w="2088"/>
            <w:tcMar>
              <w:top w:w="80" w:type="dxa"/>
              <w:start w:w="100" w:type="dxa"/>
              <w:bottom w:w="80" w:type="dxa"/>
              <w:end w:w="100" w:type="dxa"/>
            </w:tcMar>
          </w:tcPr>
          <w:p>
            <w:r>
              <w:rPr>
                <w:sz w:val="17"/>
              </w:rPr>
              <w:t>No goal</w:t>
            </w:r>
          </w:p>
        </w:tc>
        <w:tc>
          <w:tcPr>
            <w:tcW w:type="dxa" w:w="2880"/>
            <w:tcMar>
              <w:top w:w="80" w:type="dxa"/>
              <w:start w:w="100" w:type="dxa"/>
              <w:bottom w:w="80" w:type="dxa"/>
              <w:end w:w="100" w:type="dxa"/>
            </w:tcMar>
          </w:tcPr>
          <w:p>
            <w:r>
              <w:rPr>
                <w:sz w:val="17"/>
              </w:rPr>
              <w:t>Saved SKU + play-progress</w:t>
            </w:r>
          </w:p>
        </w:tc>
        <w:tc>
          <w:tcPr>
            <w:tcW w:type="dxa" w:w="3024"/>
            <w:tcMar>
              <w:top w:w="80" w:type="dxa"/>
              <w:start w:w="100" w:type="dxa"/>
              <w:bottom w:w="80" w:type="dxa"/>
              <w:end w:w="100" w:type="dxa"/>
            </w:tcMar>
          </w:tcPr>
          <w:p>
            <w:r>
              <w:rPr>
                <w:sz w:val="17"/>
              </w:rPr>
              <w:t>Subsequent game sessions / D30</w:t>
            </w:r>
          </w:p>
        </w:tc>
      </w:tr>
      <w:tr>
        <w:tc>
          <w:tcPr>
            <w:tcW w:type="dxa" w:w="2088"/>
            <w:tcMar>
              <w:top w:w="80" w:type="dxa"/>
              <w:start w:w="100" w:type="dxa"/>
              <w:bottom w:w="80" w:type="dxa"/>
              <w:end w:w="100" w:type="dxa"/>
            </w:tcMar>
          </w:tcPr>
          <w:p>
            <w:r>
              <w:rPr>
                <w:sz w:val="17"/>
              </w:rPr>
              <w:t>E5: Earn moment</w:t>
            </w:r>
          </w:p>
        </w:tc>
        <w:tc>
          <w:tcPr>
            <w:tcW w:type="dxa" w:w="2088"/>
            <w:tcMar>
              <w:top w:w="80" w:type="dxa"/>
              <w:start w:w="100" w:type="dxa"/>
              <w:bottom w:w="80" w:type="dxa"/>
              <w:end w:w="100" w:type="dxa"/>
            </w:tcMar>
          </w:tcPr>
          <w:p>
            <w:r>
              <w:rPr>
                <w:sz w:val="17"/>
              </w:rPr>
              <w:t>Passive reward</w:t>
            </w:r>
          </w:p>
        </w:tc>
        <w:tc>
          <w:tcPr>
            <w:tcW w:type="dxa" w:w="2880"/>
            <w:tcMar>
              <w:top w:w="80" w:type="dxa"/>
              <w:start w:w="100" w:type="dxa"/>
              <w:bottom w:w="80" w:type="dxa"/>
              <w:end w:w="100" w:type="dxa"/>
            </w:tcMar>
          </w:tcPr>
          <w:p>
            <w:r>
              <w:rPr>
                <w:sz w:val="17"/>
              </w:rPr>
              <w:t>CTA after session</w:t>
            </w:r>
          </w:p>
        </w:tc>
        <w:tc>
          <w:tcPr>
            <w:tcW w:type="dxa" w:w="3024"/>
            <w:tcMar>
              <w:top w:w="80" w:type="dxa"/>
              <w:start w:w="100" w:type="dxa"/>
              <w:bottom w:w="80" w:type="dxa"/>
              <w:end w:w="100" w:type="dxa"/>
            </w:tcMar>
          </w:tcPr>
          <w:p>
            <w:r>
              <w:rPr>
                <w:sz w:val="17"/>
              </w:rPr>
              <w:t>Store entry without retention harm</w:t>
            </w:r>
          </w:p>
        </w:tc>
      </w:tr>
    </w:tbl>
    <w:p>
      <w:pPr>
        <w:spacing w:after="60"/>
      </w:pPr>
      <w:r>
        <w:rPr>
          <w:b/>
          <w:color w:val="78746C"/>
          <w:sz w:val="18"/>
        </w:rPr>
        <w:t>EXPERIMENTATION RULE</w:t>
      </w:r>
    </w:p>
    <w:p>
      <w:pPr>
        <w:spacing w:after="120" w:line="259" w:lineRule="auto"/>
      </w:pPr>
      <w:r>
        <w:t>Maintain a holdout throughout scale. Do not declare victory on GMV or conversion alone; quantify incrementality and subsidy leakage. Pre-register the analysis plan, guardrails and stop conditions.</w:t>
      </w:r>
    </w:p>
    <w:p>
      <w:pPr>
        <w:spacing w:after="60"/>
      </w:pPr>
      <w:r>
        <w:rPr>
          <w:b/>
          <w:color w:val="78746C"/>
          <w:sz w:val="18"/>
        </w:rPr>
        <w:t>EVENT TAXONOMY — MINIMUM</w:t>
      </w:r>
    </w:p>
    <w:p>
      <w:pPr>
        <w:spacing w:after="120" w:line="259" w:lineRule="auto"/>
      </w:pPr>
      <w:r>
        <w:t>spark_earned · spark_earn_blocked · earn_interstitial_viewed · store_entered · product_viewed · goal_set · cart_spark_changed · spark_application_declined · checkout_started · order_placed · spark_earnback_credited · loop_closed · spark_expiry_warned · spark_expired</w:t>
      </w:r>
    </w:p>
    <w:p>
      <w:pPr>
        <w:pageBreakBefore/>
      </w:pPr>
      <w:r>
        <w:rPr>
          <w:b/>
        </w:rPr>
        <w:t>7. Technical architecture &amp; operational readiness</w:t>
      </w:r>
    </w:p>
    <w:p>
      <w:pPr>
        <w:spacing w:after="60"/>
      </w:pPr>
      <w:r>
        <w:rPr>
          <w:b/>
          <w:color w:val="78746C"/>
          <w:sz w:val="18"/>
        </w:rPr>
        <w:t>BUILD VS REUSE</w:t>
      </w:r>
    </w:p>
    <w:p>
      <w:pPr>
        <w:spacing w:after="120" w:line="259" w:lineRule="auto"/>
      </w:pPr>
      <w:r>
        <w:t>Build the novel rewards layer; reuse mature commerce infrastructure. New: Spark Ledger, Earn Attribution, Store BFF/orchestration and economy configuration. Reuse: catalogue, pricing, inventory, cart, payments, fulfilment, returns, customer support.</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6181D"/>
            <w:tcMar>
              <w:top w:w="80" w:type="dxa"/>
              <w:start w:w="100" w:type="dxa"/>
              <w:bottom w:w="80" w:type="dxa"/>
              <w:end w:w="100" w:type="dxa"/>
            </w:tcMar>
            <w:vAlign w:val="center"/>
          </w:tcPr>
          <w:p>
            <w:r>
              <w:rPr>
                <w:b/>
                <w:color w:val="FFFFFF"/>
                <w:sz w:val="18"/>
              </w:rPr>
              <w:t>Service</w:t>
            </w:r>
          </w:p>
        </w:tc>
        <w:tc>
          <w:tcPr>
            <w:tcW w:type="dxa" w:w="3096"/>
            <w:shd w:fill="16181D"/>
            <w:tcMar>
              <w:top w:w="80" w:type="dxa"/>
              <w:start w:w="100" w:type="dxa"/>
              <w:bottom w:w="80" w:type="dxa"/>
              <w:end w:w="100" w:type="dxa"/>
            </w:tcMar>
            <w:vAlign w:val="center"/>
          </w:tcPr>
          <w:p>
            <w:r>
              <w:rPr>
                <w:b/>
                <w:color w:val="FFFFFF"/>
                <w:sz w:val="18"/>
              </w:rPr>
              <w:t>Responsibility</w:t>
            </w:r>
          </w:p>
        </w:tc>
        <w:tc>
          <w:tcPr>
            <w:tcW w:type="dxa" w:w="4320"/>
            <w:shd w:fill="16181D"/>
            <w:tcMar>
              <w:top w:w="80" w:type="dxa"/>
              <w:start w:w="100" w:type="dxa"/>
              <w:bottom w:w="80" w:type="dxa"/>
              <w:end w:w="100" w:type="dxa"/>
            </w:tcMar>
            <w:vAlign w:val="center"/>
          </w:tcPr>
          <w:p>
            <w:r>
              <w:rPr>
                <w:b/>
                <w:color w:val="FFFFFF"/>
                <w:sz w:val="18"/>
              </w:rPr>
              <w:t>Critical design point</w:t>
            </w:r>
          </w:p>
        </w:tc>
      </w:tr>
      <w:tr>
        <w:tc>
          <w:tcPr>
            <w:tcW w:type="dxa" w:w="1800"/>
            <w:tcMar>
              <w:top w:w="80" w:type="dxa"/>
              <w:start w:w="100" w:type="dxa"/>
              <w:bottom w:w="80" w:type="dxa"/>
              <w:end w:w="100" w:type="dxa"/>
            </w:tcMar>
          </w:tcPr>
          <w:p>
            <w:r>
              <w:rPr>
                <w:sz w:val="17"/>
              </w:rPr>
              <w:t>Game integration</w:t>
            </w:r>
          </w:p>
        </w:tc>
        <w:tc>
          <w:tcPr>
            <w:tcW w:type="dxa" w:w="3096"/>
            <w:tcMar>
              <w:top w:w="80" w:type="dxa"/>
              <w:start w:w="100" w:type="dxa"/>
              <w:bottom w:w="80" w:type="dxa"/>
              <w:end w:w="100" w:type="dxa"/>
            </w:tcMar>
          </w:tcPr>
          <w:p>
            <w:r>
              <w:rPr>
                <w:sz w:val="17"/>
              </w:rPr>
              <w:t>Session + reward events</w:t>
            </w:r>
          </w:p>
        </w:tc>
        <w:tc>
          <w:tcPr>
            <w:tcW w:type="dxa" w:w="4320"/>
            <w:tcMar>
              <w:top w:w="80" w:type="dxa"/>
              <w:start w:w="100" w:type="dxa"/>
              <w:bottom w:w="80" w:type="dxa"/>
              <w:end w:w="100" w:type="dxa"/>
            </w:tcMar>
          </w:tcPr>
          <w:p>
            <w:r>
              <w:rPr>
                <w:sz w:val="17"/>
              </w:rPr>
              <w:t>Server-authorised event payloads.</w:t>
            </w:r>
          </w:p>
        </w:tc>
      </w:tr>
      <w:tr>
        <w:tc>
          <w:tcPr>
            <w:tcW w:type="dxa" w:w="1800"/>
            <w:tcMar>
              <w:top w:w="80" w:type="dxa"/>
              <w:start w:w="100" w:type="dxa"/>
              <w:bottom w:w="80" w:type="dxa"/>
              <w:end w:w="100" w:type="dxa"/>
            </w:tcMar>
          </w:tcPr>
          <w:p>
            <w:r>
              <w:rPr>
                <w:sz w:val="17"/>
              </w:rPr>
              <w:t>Earn Attribution</w:t>
            </w:r>
          </w:p>
        </w:tc>
        <w:tc>
          <w:tcPr>
            <w:tcW w:type="dxa" w:w="3096"/>
            <w:tcMar>
              <w:top w:w="80" w:type="dxa"/>
              <w:start w:w="100" w:type="dxa"/>
              <w:bottom w:w="80" w:type="dxa"/>
              <w:end w:w="100" w:type="dxa"/>
            </w:tcMar>
          </w:tcPr>
          <w:p>
            <w:r>
              <w:rPr>
                <w:sz w:val="17"/>
              </w:rPr>
              <w:t>Validate gameplay/ad completion + caps</w:t>
            </w:r>
          </w:p>
        </w:tc>
        <w:tc>
          <w:tcPr>
            <w:tcW w:type="dxa" w:w="4320"/>
            <w:tcMar>
              <w:top w:w="80" w:type="dxa"/>
              <w:start w:w="100" w:type="dxa"/>
              <w:bottom w:w="80" w:type="dxa"/>
              <w:end w:w="100" w:type="dxa"/>
            </w:tcMar>
          </w:tcPr>
          <w:p>
            <w:r>
              <w:rPr>
                <w:sz w:val="17"/>
              </w:rPr>
              <w:t>Fraud controls before credit.</w:t>
            </w:r>
          </w:p>
        </w:tc>
      </w:tr>
      <w:tr>
        <w:tc>
          <w:tcPr>
            <w:tcW w:type="dxa" w:w="1800"/>
            <w:tcMar>
              <w:top w:w="80" w:type="dxa"/>
              <w:start w:w="100" w:type="dxa"/>
              <w:bottom w:w="80" w:type="dxa"/>
              <w:end w:w="100" w:type="dxa"/>
            </w:tcMar>
          </w:tcPr>
          <w:p>
            <w:r>
              <w:rPr>
                <w:sz w:val="17"/>
              </w:rPr>
              <w:t>Spark Ledger</w:t>
            </w:r>
          </w:p>
        </w:tc>
        <w:tc>
          <w:tcPr>
            <w:tcW w:type="dxa" w:w="3096"/>
            <w:tcMar>
              <w:top w:w="80" w:type="dxa"/>
              <w:start w:w="100" w:type="dxa"/>
              <w:bottom w:w="80" w:type="dxa"/>
              <w:end w:w="100" w:type="dxa"/>
            </w:tcMar>
          </w:tcPr>
          <w:p>
            <w:r>
              <w:rPr>
                <w:sz w:val="17"/>
              </w:rPr>
              <w:t>Balance, lots, reservations, reversals</w:t>
            </w:r>
          </w:p>
        </w:tc>
        <w:tc>
          <w:tcPr>
            <w:tcW w:type="dxa" w:w="4320"/>
            <w:tcMar>
              <w:top w:w="80" w:type="dxa"/>
              <w:start w:w="100" w:type="dxa"/>
              <w:bottom w:w="80" w:type="dxa"/>
              <w:end w:w="100" w:type="dxa"/>
            </w:tcMar>
          </w:tcPr>
          <w:p>
            <w:r>
              <w:rPr>
                <w:sz w:val="17"/>
              </w:rPr>
              <w:t>Append-only, idempotent, auditable.</w:t>
            </w:r>
          </w:p>
        </w:tc>
      </w:tr>
      <w:tr>
        <w:tc>
          <w:tcPr>
            <w:tcW w:type="dxa" w:w="1800"/>
            <w:tcMar>
              <w:top w:w="80" w:type="dxa"/>
              <w:start w:w="100" w:type="dxa"/>
              <w:bottom w:w="80" w:type="dxa"/>
              <w:end w:w="100" w:type="dxa"/>
            </w:tcMar>
          </w:tcPr>
          <w:p>
            <w:r>
              <w:rPr>
                <w:sz w:val="17"/>
              </w:rPr>
              <w:t>Store BFF</w:t>
            </w:r>
          </w:p>
        </w:tc>
        <w:tc>
          <w:tcPr>
            <w:tcW w:type="dxa" w:w="3096"/>
            <w:tcMar>
              <w:top w:w="80" w:type="dxa"/>
              <w:start w:w="100" w:type="dxa"/>
              <w:bottom w:w="80" w:type="dxa"/>
              <w:end w:w="100" w:type="dxa"/>
            </w:tcMar>
          </w:tcPr>
          <w:p>
            <w:r>
              <w:rPr>
                <w:sz w:val="17"/>
              </w:rPr>
              <w:t>Compose catalogue + Spark affordability</w:t>
            </w:r>
          </w:p>
        </w:tc>
        <w:tc>
          <w:tcPr>
            <w:tcW w:type="dxa" w:w="4320"/>
            <w:tcMar>
              <w:top w:w="80" w:type="dxa"/>
              <w:start w:w="100" w:type="dxa"/>
              <w:bottom w:w="80" w:type="dxa"/>
              <w:end w:w="100" w:type="dxa"/>
            </w:tcMar>
          </w:tcPr>
          <w:p>
            <w:r>
              <w:rPr>
                <w:sz w:val="17"/>
              </w:rPr>
              <w:t>Do not create a separate catalogue.</w:t>
            </w:r>
          </w:p>
        </w:tc>
      </w:tr>
      <w:tr>
        <w:tc>
          <w:tcPr>
            <w:tcW w:type="dxa" w:w="1800"/>
            <w:tcMar>
              <w:top w:w="80" w:type="dxa"/>
              <w:start w:w="100" w:type="dxa"/>
              <w:bottom w:w="80" w:type="dxa"/>
              <w:end w:w="100" w:type="dxa"/>
            </w:tcMar>
          </w:tcPr>
          <w:p>
            <w:r>
              <w:rPr>
                <w:sz w:val="17"/>
              </w:rPr>
              <w:t>Checkout</w:t>
            </w:r>
          </w:p>
        </w:tc>
        <w:tc>
          <w:tcPr>
            <w:tcW w:type="dxa" w:w="3096"/>
            <w:tcMar>
              <w:top w:w="80" w:type="dxa"/>
              <w:start w:w="100" w:type="dxa"/>
              <w:bottom w:w="80" w:type="dxa"/>
              <w:end w:w="100" w:type="dxa"/>
            </w:tcMar>
          </w:tcPr>
          <w:p>
            <w:r>
              <w:rPr>
                <w:sz w:val="17"/>
              </w:rPr>
              <w:t>Payment + order saga</w:t>
            </w:r>
          </w:p>
        </w:tc>
        <w:tc>
          <w:tcPr>
            <w:tcW w:type="dxa" w:w="4320"/>
            <w:tcMar>
              <w:top w:w="80" w:type="dxa"/>
              <w:start w:w="100" w:type="dxa"/>
              <w:bottom w:w="80" w:type="dxa"/>
              <w:end w:w="100" w:type="dxa"/>
            </w:tcMar>
          </w:tcPr>
          <w:p>
            <w:r>
              <w:rPr>
                <w:sz w:val="17"/>
              </w:rPr>
              <w:t>Compensating transaction for Spark reservation/debit.</w:t>
            </w:r>
          </w:p>
        </w:tc>
      </w:tr>
      <w:tr>
        <w:tc>
          <w:tcPr>
            <w:tcW w:type="dxa" w:w="1800"/>
            <w:tcMar>
              <w:top w:w="80" w:type="dxa"/>
              <w:start w:w="100" w:type="dxa"/>
              <w:bottom w:w="80" w:type="dxa"/>
              <w:end w:w="100" w:type="dxa"/>
            </w:tcMar>
          </w:tcPr>
          <w:p>
            <w:r>
              <w:rPr>
                <w:sz w:val="17"/>
              </w:rPr>
              <w:t>Economy Config</w:t>
            </w:r>
          </w:p>
        </w:tc>
        <w:tc>
          <w:tcPr>
            <w:tcW w:type="dxa" w:w="3096"/>
            <w:tcMar>
              <w:top w:w="80" w:type="dxa"/>
              <w:start w:w="100" w:type="dxa"/>
              <w:bottom w:w="80" w:type="dxa"/>
              <w:end w:w="100" w:type="dxa"/>
            </w:tcMar>
          </w:tcPr>
          <w:p>
            <w:r>
              <w:rPr>
                <w:sz w:val="17"/>
              </w:rPr>
              <w:t>Rates, caps, expiry, campaign rules</w:t>
            </w:r>
          </w:p>
        </w:tc>
        <w:tc>
          <w:tcPr>
            <w:tcW w:type="dxa" w:w="4320"/>
            <w:tcMar>
              <w:top w:w="80" w:type="dxa"/>
              <w:start w:w="100" w:type="dxa"/>
              <w:bottom w:w="80" w:type="dxa"/>
              <w:end w:w="100" w:type="dxa"/>
            </w:tcMar>
          </w:tcPr>
          <w:p>
            <w:r>
              <w:rPr>
                <w:sz w:val="17"/>
              </w:rPr>
              <w:t>Versioned config + two-person approval for material changes.</w:t>
            </w:r>
          </w:p>
        </w:tc>
      </w:tr>
      <w:tr>
        <w:tc>
          <w:tcPr>
            <w:tcW w:type="dxa" w:w="1800"/>
            <w:tcMar>
              <w:top w:w="80" w:type="dxa"/>
              <w:start w:w="100" w:type="dxa"/>
              <w:bottom w:w="80" w:type="dxa"/>
              <w:end w:w="100" w:type="dxa"/>
            </w:tcMar>
          </w:tcPr>
          <w:p>
            <w:r>
              <w:rPr>
                <w:sz w:val="17"/>
              </w:rPr>
              <w:t>T&amp;S / Risk</w:t>
            </w:r>
          </w:p>
        </w:tc>
        <w:tc>
          <w:tcPr>
            <w:tcW w:type="dxa" w:w="3096"/>
            <w:tcMar>
              <w:top w:w="80" w:type="dxa"/>
              <w:start w:w="100" w:type="dxa"/>
              <w:bottom w:w="80" w:type="dxa"/>
              <w:end w:w="100" w:type="dxa"/>
            </w:tcMar>
          </w:tcPr>
          <w:p>
            <w:r>
              <w:rPr>
                <w:sz w:val="17"/>
              </w:rPr>
              <w:t>Velocity + anomaly detection</w:t>
            </w:r>
          </w:p>
        </w:tc>
        <w:tc>
          <w:tcPr>
            <w:tcW w:type="dxa" w:w="4320"/>
            <w:tcMar>
              <w:top w:w="80" w:type="dxa"/>
              <w:start w:w="100" w:type="dxa"/>
              <w:bottom w:w="80" w:type="dxa"/>
              <w:end w:w="100" w:type="dxa"/>
            </w:tcMar>
          </w:tcPr>
          <w:p>
            <w:r>
              <w:rPr>
                <w:sz w:val="17"/>
              </w:rPr>
              <w:t>Device/payment/address graph signals.</w:t>
            </w:r>
          </w:p>
        </w:tc>
      </w:tr>
    </w:tbl>
    <w:p>
      <w:pPr>
        <w:spacing w:after="60"/>
      </w:pPr>
      <w:r>
        <w:rPr>
          <w:b/>
          <w:color w:val="78746C"/>
          <w:sz w:val="18"/>
        </w:rPr>
        <w:t>OPERATIONAL RUNBOOKS TO HAVE BEFORE BETA</w:t>
      </w:r>
    </w:p>
    <w:p>
      <w:pPr>
        <w:pStyle w:val="ListBullet"/>
        <w:spacing w:after="60"/>
      </w:pPr>
      <w:r>
        <w:t>Ledger reconciliation mismatch.</w:t>
      </w:r>
    </w:p>
    <w:p>
      <w:pPr>
        <w:pStyle w:val="ListBullet"/>
        <w:spacing w:after="60"/>
      </w:pPr>
      <w:r>
        <w:t>Payment succeeds / Spark commit fails.</w:t>
      </w:r>
    </w:p>
    <w:p>
      <w:pPr>
        <w:pStyle w:val="ListBullet"/>
        <w:spacing w:after="60"/>
      </w:pPr>
      <w:r>
        <w:t>Voucher inventory exhausts after Spark reservation.</w:t>
      </w:r>
    </w:p>
    <w:p>
      <w:pPr>
        <w:pStyle w:val="ListBullet"/>
        <w:spacing w:after="60"/>
      </w:pPr>
      <w:r>
        <w:t>Return after Spark lot expiry.</w:t>
      </w:r>
    </w:p>
    <w:p>
      <w:pPr>
        <w:pStyle w:val="ListBullet"/>
        <w:spacing w:after="60"/>
      </w:pPr>
      <w:r>
        <w:t>Fraud spike or emulator farm.</w:t>
      </w:r>
    </w:p>
    <w:p>
      <w:pPr>
        <w:pStyle w:val="ListBullet"/>
        <w:spacing w:after="60"/>
      </w:pPr>
      <w:r>
        <w:t>Support manual adjustment and approval.</w:t>
      </w:r>
    </w:p>
    <w:p>
      <w:pPr>
        <w:pStyle w:val="ListBullet"/>
        <w:spacing w:after="60"/>
      </w:pPr>
      <w:r>
        <w:t>Global issuance throttle.</w:t>
      </w:r>
    </w:p>
    <w:p>
      <w:pPr>
        <w:spacing w:after="60"/>
      </w:pPr>
      <w:r>
        <w:rPr>
          <w:b/>
          <w:color w:val="78746C"/>
          <w:sz w:val="18"/>
        </w:rPr>
        <w:t>DEFINITION OF DONE</w:t>
      </w:r>
    </w:p>
    <w:p>
      <w:pPr>
        <w:spacing w:after="120" w:line="259" w:lineRule="auto"/>
      </w:pPr>
      <w:r>
        <w:t>No P0 ledger issue; end-to-end reconciliation passes; refunds work; analytics arrive in dashboards; fraud controls are live; Legal/Tax/Payments sign-offs are recorded; and the cash-only fallback is tested under failure.</w:t>
      </w:r>
    </w:p>
    <w:p>
      <w:pPr>
        <w:pageBreakBefore/>
      </w:pPr>
      <w:r>
        <w:rPr>
          <w:b/>
        </w:rPr>
        <w:t>8. Legal / compliance design notes</w:t>
      </w:r>
    </w:p>
    <w:p>
      <w:pPr>
        <w:spacing w:after="60"/>
      </w:pPr>
      <w:r>
        <w:rPr>
          <w:b/>
          <w:color w:val="78746C"/>
          <w:sz w:val="18"/>
        </w:rPr>
        <w:t>IMPORTANT FRAMING</w:t>
      </w:r>
    </w:p>
    <w:p>
      <w:pPr>
        <w:spacing w:after="120" w:line="259" w:lineRule="auto"/>
      </w:pPr>
      <w:r>
        <w:t>These are product-design constraints and diligence questions—not a substitute for formal Indian legal, tax or payments advice. The PRD should show that the team identified the risks early and routed the final classification to the relevant functions.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6181D"/>
            <w:tcMar>
              <w:top w:w="80" w:type="dxa"/>
              <w:start w:w="100" w:type="dxa"/>
              <w:bottom w:w="80" w:type="dxa"/>
              <w:end w:w="100" w:type="dxa"/>
            </w:tcMar>
            <w:vAlign w:val="center"/>
          </w:tcPr>
          <w:p>
            <w:r>
              <w:rPr>
                <w:b/>
                <w:color w:val="FFFFFF"/>
                <w:sz w:val="18"/>
              </w:rPr>
              <w:t>Area</w:t>
            </w:r>
          </w:p>
        </w:tc>
        <w:tc>
          <w:tcPr>
            <w:tcW w:type="dxa" w:w="5256"/>
            <w:shd w:fill="16181D"/>
            <w:tcMar>
              <w:top w:w="80" w:type="dxa"/>
              <w:start w:w="100" w:type="dxa"/>
              <w:bottom w:w="80" w:type="dxa"/>
              <w:end w:w="100" w:type="dxa"/>
            </w:tcMar>
            <w:vAlign w:val="center"/>
          </w:tcPr>
          <w:p>
            <w:r>
              <w:rPr>
                <w:b/>
                <w:color w:val="FFFFFF"/>
                <w:sz w:val="18"/>
              </w:rPr>
              <w:t>Design implication</w:t>
            </w:r>
          </w:p>
        </w:tc>
        <w:tc>
          <w:tcPr>
            <w:tcW w:type="dxa" w:w="1728"/>
            <w:shd w:fill="16181D"/>
            <w:tcMar>
              <w:top w:w="80" w:type="dxa"/>
              <w:start w:w="100" w:type="dxa"/>
              <w:bottom w:w="80" w:type="dxa"/>
              <w:end w:w="100" w:type="dxa"/>
            </w:tcMar>
            <w:vAlign w:val="center"/>
          </w:tcPr>
          <w:p>
            <w:r>
              <w:rPr>
                <w:b/>
                <w:color w:val="FFFFFF"/>
                <w:sz w:val="18"/>
              </w:rPr>
              <w:t>Gate</w:t>
            </w:r>
          </w:p>
        </w:tc>
      </w:tr>
      <w:tr>
        <w:tc>
          <w:tcPr>
            <w:tcW w:type="dxa" w:w="2304"/>
            <w:tcMar>
              <w:top w:w="80" w:type="dxa"/>
              <w:start w:w="100" w:type="dxa"/>
              <w:bottom w:w="80" w:type="dxa"/>
              <w:end w:w="100" w:type="dxa"/>
            </w:tcMar>
          </w:tcPr>
          <w:p>
            <w:r>
              <w:rPr>
                <w:sz w:val="17"/>
              </w:rPr>
              <w:t>Online gaming regulation</w:t>
            </w:r>
          </w:p>
        </w:tc>
        <w:tc>
          <w:tcPr>
            <w:tcW w:type="dxa" w:w="5256"/>
            <w:tcMar>
              <w:top w:w="80" w:type="dxa"/>
              <w:start w:w="100" w:type="dxa"/>
              <w:bottom w:w="80" w:type="dxa"/>
              <w:end w:w="100" w:type="dxa"/>
            </w:tcMar>
          </w:tcPr>
          <w:p>
            <w:r>
              <w:rPr>
                <w:sz w:val="17"/>
              </w:rPr>
              <w:t>Avoid paid entry/staking/cash-out mechanics; formally classify the game/reward model before launch.</w:t>
            </w:r>
          </w:p>
        </w:tc>
        <w:tc>
          <w:tcPr>
            <w:tcW w:type="dxa" w:w="1728"/>
            <w:tcMar>
              <w:top w:w="80" w:type="dxa"/>
              <w:start w:w="100" w:type="dxa"/>
              <w:bottom w:w="80" w:type="dxa"/>
              <w:end w:w="100" w:type="dxa"/>
            </w:tcMar>
          </w:tcPr>
          <w:p>
            <w:r>
              <w:rPr>
                <w:sz w:val="17"/>
              </w:rPr>
              <w:t>Legal sign-off</w:t>
            </w:r>
          </w:p>
        </w:tc>
      </w:tr>
      <w:tr>
        <w:tc>
          <w:tcPr>
            <w:tcW w:type="dxa" w:w="2304"/>
            <w:tcMar>
              <w:top w:w="80" w:type="dxa"/>
              <w:start w:w="100" w:type="dxa"/>
              <w:bottom w:w="80" w:type="dxa"/>
              <w:end w:w="100" w:type="dxa"/>
            </w:tcMar>
          </w:tcPr>
          <w:p>
            <w:r>
              <w:rPr>
                <w:sz w:val="17"/>
              </w:rPr>
              <w:t>Payments / stored value</w:t>
            </w:r>
          </w:p>
        </w:tc>
        <w:tc>
          <w:tcPr>
            <w:tcW w:type="dxa" w:w="5256"/>
            <w:tcMar>
              <w:top w:w="80" w:type="dxa"/>
              <w:start w:w="100" w:type="dxa"/>
              <w:bottom w:w="80" w:type="dxa"/>
              <w:end w:w="100" w:type="dxa"/>
            </w:tcMar>
          </w:tcPr>
          <w:p>
            <w:r>
              <w:rPr>
                <w:sz w:val="17"/>
              </w:rPr>
              <w:t>Do not assume third-party reward acceptance is equivalent to first-party closed-system use. Validate architecture with Payments/Legal.</w:t>
            </w:r>
          </w:p>
        </w:tc>
        <w:tc>
          <w:tcPr>
            <w:tcW w:type="dxa" w:w="1728"/>
            <w:tcMar>
              <w:top w:w="80" w:type="dxa"/>
              <w:start w:w="100" w:type="dxa"/>
              <w:bottom w:w="80" w:type="dxa"/>
              <w:end w:w="100" w:type="dxa"/>
            </w:tcMar>
          </w:tcPr>
          <w:p>
            <w:r>
              <w:rPr>
                <w:sz w:val="17"/>
              </w:rPr>
              <w:t>Payments + Legal</w:t>
            </w:r>
          </w:p>
        </w:tc>
      </w:tr>
      <w:tr>
        <w:tc>
          <w:tcPr>
            <w:tcW w:type="dxa" w:w="2304"/>
            <w:tcMar>
              <w:top w:w="80" w:type="dxa"/>
              <w:start w:w="100" w:type="dxa"/>
              <w:bottom w:w="80" w:type="dxa"/>
              <w:end w:w="100" w:type="dxa"/>
            </w:tcMar>
          </w:tcPr>
          <w:p>
            <w:r>
              <w:rPr>
                <w:sz w:val="17"/>
              </w:rPr>
              <w:t>Data protection</w:t>
            </w:r>
          </w:p>
        </w:tc>
        <w:tc>
          <w:tcPr>
            <w:tcW w:type="dxa" w:w="5256"/>
            <w:tcMar>
              <w:top w:w="80" w:type="dxa"/>
              <w:start w:w="100" w:type="dxa"/>
              <w:bottom w:w="80" w:type="dxa"/>
              <w:end w:w="100" w:type="dxa"/>
            </w:tcMar>
          </w:tcPr>
          <w:p>
            <w:r>
              <w:rPr>
                <w:sz w:val="17"/>
              </w:rPr>
              <w:t>Use age-aware, data-minimised merchandising; avoid behavioural personalisation for users where prohibited.</w:t>
            </w:r>
          </w:p>
        </w:tc>
        <w:tc>
          <w:tcPr>
            <w:tcW w:type="dxa" w:w="1728"/>
            <w:tcMar>
              <w:top w:w="80" w:type="dxa"/>
              <w:start w:w="100" w:type="dxa"/>
              <w:bottom w:w="80" w:type="dxa"/>
              <w:end w:w="100" w:type="dxa"/>
            </w:tcMar>
          </w:tcPr>
          <w:p>
            <w:r>
              <w:rPr>
                <w:sz w:val="17"/>
              </w:rPr>
              <w:t>Privacy/Legal</w:t>
            </w:r>
          </w:p>
        </w:tc>
      </w:tr>
      <w:tr>
        <w:tc>
          <w:tcPr>
            <w:tcW w:type="dxa" w:w="2304"/>
            <w:tcMar>
              <w:top w:w="80" w:type="dxa"/>
              <w:start w:w="100" w:type="dxa"/>
              <w:bottom w:w="80" w:type="dxa"/>
              <w:end w:w="100" w:type="dxa"/>
            </w:tcMar>
          </w:tcPr>
          <w:p>
            <w:r>
              <w:rPr>
                <w:sz w:val="17"/>
              </w:rPr>
              <w:t>Consumer protection / dark patterns</w:t>
            </w:r>
          </w:p>
        </w:tc>
        <w:tc>
          <w:tcPr>
            <w:tcW w:type="dxa" w:w="5256"/>
            <w:tcMar>
              <w:top w:w="80" w:type="dxa"/>
              <w:start w:w="100" w:type="dxa"/>
              <w:bottom w:w="80" w:type="dxa"/>
              <w:end w:w="100" w:type="dxa"/>
            </w:tcMar>
          </w:tcPr>
          <w:p>
            <w:r>
              <w:rPr>
                <w:sz w:val="17"/>
              </w:rPr>
              <w:t>No false urgency, hidden price components, forced action or misleading defaults.</w:t>
            </w:r>
          </w:p>
        </w:tc>
        <w:tc>
          <w:tcPr>
            <w:tcW w:type="dxa" w:w="1728"/>
            <w:tcMar>
              <w:top w:w="80" w:type="dxa"/>
              <w:start w:w="100" w:type="dxa"/>
              <w:bottom w:w="80" w:type="dxa"/>
              <w:end w:w="100" w:type="dxa"/>
            </w:tcMar>
          </w:tcPr>
          <w:p>
            <w:r>
              <w:rPr>
                <w:sz w:val="17"/>
              </w:rPr>
              <w:t>UX + Legal</w:t>
            </w:r>
          </w:p>
        </w:tc>
      </w:tr>
      <w:tr>
        <w:tc>
          <w:tcPr>
            <w:tcW w:type="dxa" w:w="2304"/>
            <w:tcMar>
              <w:top w:w="80" w:type="dxa"/>
              <w:start w:w="100" w:type="dxa"/>
              <w:bottom w:w="80" w:type="dxa"/>
              <w:end w:w="100" w:type="dxa"/>
            </w:tcMar>
          </w:tcPr>
          <w:p>
            <w:r>
              <w:rPr>
                <w:sz w:val="17"/>
              </w:rPr>
              <w:t>Tax / invoicing</w:t>
            </w:r>
          </w:p>
        </w:tc>
        <w:tc>
          <w:tcPr>
            <w:tcW w:type="dxa" w:w="5256"/>
            <w:tcMar>
              <w:top w:w="80" w:type="dxa"/>
              <w:start w:w="100" w:type="dxa"/>
              <w:bottom w:w="80" w:type="dxa"/>
              <w:end w:w="100" w:type="dxa"/>
            </w:tcMar>
          </w:tcPr>
          <w:p>
            <w:r>
              <w:rPr>
                <w:sz w:val="17"/>
              </w:rPr>
              <w:t>Determine whether Sparks operate as tender, discount, or another mechanism per transaction structure.</w:t>
            </w:r>
          </w:p>
        </w:tc>
        <w:tc>
          <w:tcPr>
            <w:tcW w:type="dxa" w:w="1728"/>
            <w:tcMar>
              <w:top w:w="80" w:type="dxa"/>
              <w:start w:w="100" w:type="dxa"/>
              <w:bottom w:w="80" w:type="dxa"/>
              <w:end w:w="100" w:type="dxa"/>
            </w:tcMar>
          </w:tcPr>
          <w:p>
            <w:r>
              <w:rPr>
                <w:sz w:val="17"/>
              </w:rPr>
              <w:t>Tax sign-off</w:t>
            </w:r>
          </w:p>
        </w:tc>
      </w:tr>
      <w:tr>
        <w:tc>
          <w:tcPr>
            <w:tcW w:type="dxa" w:w="2304"/>
            <w:tcMar>
              <w:top w:w="80" w:type="dxa"/>
              <w:start w:w="100" w:type="dxa"/>
              <w:bottom w:w="80" w:type="dxa"/>
              <w:end w:w="100" w:type="dxa"/>
            </w:tcMar>
          </w:tcPr>
          <w:p>
            <w:r>
              <w:rPr>
                <w:sz w:val="17"/>
              </w:rPr>
              <w:t>Accounting</w:t>
            </w:r>
          </w:p>
        </w:tc>
        <w:tc>
          <w:tcPr>
            <w:tcW w:type="dxa" w:w="5256"/>
            <w:tcMar>
              <w:top w:w="80" w:type="dxa"/>
              <w:start w:w="100" w:type="dxa"/>
              <w:bottom w:w="80" w:type="dxa"/>
              <w:end w:w="100" w:type="dxa"/>
            </w:tcMar>
          </w:tcPr>
          <w:p>
            <w:r>
              <w:rPr>
                <w:sz w:val="17"/>
              </w:rPr>
              <w:t>Model outstanding reward obligations, breakage and redemption coherently with Finance.</w:t>
            </w:r>
          </w:p>
        </w:tc>
        <w:tc>
          <w:tcPr>
            <w:tcW w:type="dxa" w:w="1728"/>
            <w:tcMar>
              <w:top w:w="80" w:type="dxa"/>
              <w:start w:w="100" w:type="dxa"/>
              <w:bottom w:w="80" w:type="dxa"/>
              <w:end w:w="100" w:type="dxa"/>
            </w:tcMar>
          </w:tcPr>
          <w:p>
            <w:r>
              <w:rPr>
                <w:sz w:val="17"/>
              </w:rPr>
              <w:t>Finance</w:t>
            </w:r>
          </w:p>
        </w:tc>
      </w:tr>
    </w:tbl>
    <w:p>
      <w:pPr>
        <w:spacing w:after="60"/>
      </w:pPr>
      <w:r>
        <w:rPr>
          <w:b/>
          <w:color w:val="78746C"/>
          <w:sz w:val="18"/>
        </w:rPr>
        <w:t>CURRENT AUTHORITATIVE SOURCES REVIEWED</w:t>
      </w:r>
    </w:p>
    <w:p>
      <w:pPr>
        <w:spacing w:after="120" w:line="259" w:lineRule="auto"/>
      </w:pPr>
      <w:r>
        <w:t>MeitY: Promotion and Regulation of Online Gaming Act / 2026 rules page. RBI: Master Directions on Prepaid Payment Instruments. MeitY: Digital Personal Data Protection Act / 2025 Rules materials. Department of Consumer Affairs: Guidelines for Prevention and Regulation of Dark Patterns, 2023.</w:t>
      </w:r>
    </w:p>
    <w:p>
      <w:pPr>
        <w:spacing w:after="40"/>
      </w:pPr>
      <w:r>
        <w:rPr>
          <w:color w:val="555555"/>
          <w:sz w:val="14"/>
        </w:rPr>
        <w:t>https://www.meity.gov.in/documents/act-and-policies/promotion-andregulation-of-online-gaming-act-2025-and-its-corrigenda-kTMxQjMtQWa</w:t>
      </w:r>
    </w:p>
    <w:p>
      <w:pPr>
        <w:spacing w:after="40"/>
      </w:pPr>
      <w:r>
        <w:rPr>
          <w:color w:val="555555"/>
          <w:sz w:val="14"/>
        </w:rPr>
        <w:t>https://www.rbi.org.in/Scripts/NotificationUser.aspx/NotificationUser.aspx?Id=12156</w:t>
      </w:r>
    </w:p>
    <w:p>
      <w:pPr>
        <w:spacing w:after="40"/>
      </w:pPr>
      <w:r>
        <w:rPr>
          <w:color w:val="555555"/>
          <w:sz w:val="14"/>
        </w:rPr>
        <w:t>https://www.meity.gov.in/digital-personal-data-protection-act-2023</w:t>
      </w:r>
    </w:p>
    <w:p>
      <w:pPr>
        <w:spacing w:after="40"/>
      </w:pPr>
      <w:r>
        <w:rPr>
          <w:color w:val="555555"/>
          <w:sz w:val="14"/>
        </w:rPr>
        <w:t>https://consumeraffairs.nic.in/acts-and-rules/consumer-protection/consumer-protection</w:t>
      </w:r>
    </w:p>
    <w:p>
      <w:pPr>
        <w:pageBreakBefore/>
      </w:pPr>
      <w:r>
        <w:rPr>
          <w:b/>
        </w:rPr>
        <w:t>9. Launch plan, submission strategy &amp; decision</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6181D"/>
            <w:tcMar>
              <w:top w:w="80" w:type="dxa"/>
              <w:start w:w="100" w:type="dxa"/>
              <w:bottom w:w="80" w:type="dxa"/>
              <w:end w:w="100" w:type="dxa"/>
            </w:tcMar>
            <w:vAlign w:val="center"/>
          </w:tcPr>
          <w:p>
            <w:r>
              <w:rPr>
                <w:b/>
                <w:color w:val="FFFFFF"/>
                <w:sz w:val="18"/>
              </w:rPr>
              <w:t>Phase</w:t>
            </w:r>
          </w:p>
        </w:tc>
        <w:tc>
          <w:tcPr>
            <w:tcW w:type="dxa" w:w="1656"/>
            <w:shd w:fill="16181D"/>
            <w:tcMar>
              <w:top w:w="80" w:type="dxa"/>
              <w:start w:w="100" w:type="dxa"/>
              <w:bottom w:w="80" w:type="dxa"/>
              <w:end w:w="100" w:type="dxa"/>
            </w:tcMar>
            <w:vAlign w:val="center"/>
          </w:tcPr>
          <w:p>
            <w:r>
              <w:rPr>
                <w:b/>
                <w:color w:val="FFFFFF"/>
                <w:sz w:val="18"/>
              </w:rPr>
              <w:t>Timeline</w:t>
            </w:r>
          </w:p>
        </w:tc>
        <w:tc>
          <w:tcPr>
            <w:tcW w:type="dxa" w:w="5832"/>
            <w:shd w:fill="16181D"/>
            <w:tcMar>
              <w:top w:w="80" w:type="dxa"/>
              <w:start w:w="100" w:type="dxa"/>
              <w:bottom w:w="80" w:type="dxa"/>
              <w:end w:w="100" w:type="dxa"/>
            </w:tcMar>
            <w:vAlign w:val="center"/>
          </w:tcPr>
          <w:p>
            <w:r>
              <w:rPr>
                <w:b/>
                <w:color w:val="FFFFFF"/>
                <w:sz w:val="18"/>
              </w:rPr>
              <w:t>Exit criteria</w:t>
            </w:r>
          </w:p>
        </w:tc>
      </w:tr>
      <w:tr>
        <w:tc>
          <w:tcPr>
            <w:tcW w:type="dxa" w:w="1800"/>
            <w:tcMar>
              <w:top w:w="80" w:type="dxa"/>
              <w:start w:w="100" w:type="dxa"/>
              <w:bottom w:w="80" w:type="dxa"/>
              <w:end w:w="100" w:type="dxa"/>
            </w:tcMar>
          </w:tcPr>
          <w:p>
            <w:r>
              <w:rPr>
                <w:sz w:val="17"/>
              </w:rPr>
              <w:t>0. Discovery</w:t>
            </w:r>
          </w:p>
        </w:tc>
        <w:tc>
          <w:tcPr>
            <w:tcW w:type="dxa" w:w="1656"/>
            <w:tcMar>
              <w:top w:w="80" w:type="dxa"/>
              <w:start w:w="100" w:type="dxa"/>
              <w:bottom w:w="80" w:type="dxa"/>
              <w:end w:w="100" w:type="dxa"/>
            </w:tcMar>
          </w:tcPr>
          <w:p>
            <w:r>
              <w:rPr>
                <w:sz w:val="17"/>
              </w:rPr>
              <w:t>Weeks 1–4</w:t>
            </w:r>
          </w:p>
        </w:tc>
        <w:tc>
          <w:tcPr>
            <w:tcW w:type="dxa" w:w="5832"/>
            <w:tcMar>
              <w:top w:w="80" w:type="dxa"/>
              <w:start w:w="100" w:type="dxa"/>
              <w:bottom w:w="80" w:type="dxa"/>
              <w:end w:w="100" w:type="dxa"/>
            </w:tcMar>
          </w:tcPr>
          <w:p>
            <w:r>
              <w:rPr>
                <w:sz w:val="17"/>
              </w:rPr>
              <w:t>User demand, fake-door signal, seller willingness, economy model, Legal/Tax/Payments path.</w:t>
            </w:r>
          </w:p>
        </w:tc>
      </w:tr>
      <w:tr>
        <w:tc>
          <w:tcPr>
            <w:tcW w:type="dxa" w:w="1800"/>
            <w:tcMar>
              <w:top w:w="80" w:type="dxa"/>
              <w:start w:w="100" w:type="dxa"/>
              <w:bottom w:w="80" w:type="dxa"/>
              <w:end w:w="100" w:type="dxa"/>
            </w:tcMar>
          </w:tcPr>
          <w:p>
            <w:r>
              <w:rPr>
                <w:sz w:val="17"/>
              </w:rPr>
              <w:t>1. Alpha</w:t>
            </w:r>
          </w:p>
        </w:tc>
        <w:tc>
          <w:tcPr>
            <w:tcW w:type="dxa" w:w="1656"/>
            <w:tcMar>
              <w:top w:w="80" w:type="dxa"/>
              <w:start w:w="100" w:type="dxa"/>
              <w:bottom w:w="80" w:type="dxa"/>
              <w:end w:w="100" w:type="dxa"/>
            </w:tcMar>
          </w:tcPr>
          <w:p>
            <w:r>
              <w:rPr>
                <w:sz w:val="17"/>
              </w:rPr>
              <w:t>Weeks 5–12</w:t>
            </w:r>
          </w:p>
        </w:tc>
        <w:tc>
          <w:tcPr>
            <w:tcW w:type="dxa" w:w="5832"/>
            <w:tcMar>
              <w:top w:w="80" w:type="dxa"/>
              <w:start w:w="100" w:type="dxa"/>
              <w:bottom w:w="80" w:type="dxa"/>
              <w:end w:w="100" w:type="dxa"/>
            </w:tcMar>
          </w:tcPr>
          <w:p>
            <w:r>
              <w:rPr>
                <w:sz w:val="17"/>
              </w:rPr>
              <w:t>One game, digital rewards, zero unreconciled balances.</w:t>
            </w:r>
          </w:p>
        </w:tc>
      </w:tr>
      <w:tr>
        <w:tc>
          <w:tcPr>
            <w:tcW w:type="dxa" w:w="1800"/>
            <w:tcMar>
              <w:top w:w="80" w:type="dxa"/>
              <w:start w:w="100" w:type="dxa"/>
              <w:bottom w:w="80" w:type="dxa"/>
              <w:end w:w="100" w:type="dxa"/>
            </w:tcMar>
          </w:tcPr>
          <w:p>
            <w:r>
              <w:rPr>
                <w:sz w:val="17"/>
              </w:rPr>
              <w:t>2. Closed beta</w:t>
            </w:r>
          </w:p>
        </w:tc>
        <w:tc>
          <w:tcPr>
            <w:tcW w:type="dxa" w:w="1656"/>
            <w:tcMar>
              <w:top w:w="80" w:type="dxa"/>
              <w:start w:w="100" w:type="dxa"/>
              <w:bottom w:w="80" w:type="dxa"/>
              <w:end w:w="100" w:type="dxa"/>
            </w:tcMar>
          </w:tcPr>
          <w:p>
            <w:r>
              <w:rPr>
                <w:sz w:val="17"/>
              </w:rPr>
              <w:t>Weeks 13–20</w:t>
            </w:r>
          </w:p>
        </w:tc>
        <w:tc>
          <w:tcPr>
            <w:tcW w:type="dxa" w:w="5832"/>
            <w:tcMar>
              <w:top w:w="80" w:type="dxa"/>
              <w:start w:w="100" w:type="dxa"/>
              <w:bottom w:w="80" w:type="dxa"/>
              <w:end w:w="100" w:type="dxa"/>
            </w:tcMar>
          </w:tcPr>
          <w:p>
            <w:r>
              <w:rPr>
                <w:sz w:val="17"/>
              </w:rPr>
              <w:t>Small audience, physical products, full checkout, fraud + refund paths.</w:t>
            </w:r>
          </w:p>
        </w:tc>
      </w:tr>
      <w:tr>
        <w:tc>
          <w:tcPr>
            <w:tcW w:type="dxa" w:w="1800"/>
            <w:tcMar>
              <w:top w:w="80" w:type="dxa"/>
              <w:start w:w="100" w:type="dxa"/>
              <w:bottom w:w="80" w:type="dxa"/>
              <w:end w:w="100" w:type="dxa"/>
            </w:tcMar>
          </w:tcPr>
          <w:p>
            <w:r>
              <w:rPr>
                <w:sz w:val="17"/>
              </w:rPr>
              <w:t>3. Scaled beta</w:t>
            </w:r>
          </w:p>
        </w:tc>
        <w:tc>
          <w:tcPr>
            <w:tcW w:type="dxa" w:w="1656"/>
            <w:tcMar>
              <w:top w:w="80" w:type="dxa"/>
              <w:start w:w="100" w:type="dxa"/>
              <w:bottom w:w="80" w:type="dxa"/>
              <w:end w:w="100" w:type="dxa"/>
            </w:tcMar>
          </w:tcPr>
          <w:p>
            <w:r>
              <w:rPr>
                <w:sz w:val="17"/>
              </w:rPr>
              <w:t>Weeks 21–30</w:t>
            </w:r>
          </w:p>
        </w:tc>
        <w:tc>
          <w:tcPr>
            <w:tcW w:type="dxa" w:w="5832"/>
            <w:tcMar>
              <w:top w:w="80" w:type="dxa"/>
              <w:start w:w="100" w:type="dxa"/>
              <w:bottom w:w="80" w:type="dxa"/>
              <w:end w:w="100" w:type="dxa"/>
            </w:tcMar>
          </w:tcPr>
          <w:p>
            <w:r>
              <w:rPr>
                <w:sz w:val="17"/>
              </w:rPr>
              <w:t>Multiple games, national cohort, seller campaigns, incremental economics.</w:t>
            </w:r>
          </w:p>
        </w:tc>
      </w:tr>
      <w:tr>
        <w:tc>
          <w:tcPr>
            <w:tcW w:type="dxa" w:w="1800"/>
            <w:tcMar>
              <w:top w:w="80" w:type="dxa"/>
              <w:start w:w="100" w:type="dxa"/>
              <w:bottom w:w="80" w:type="dxa"/>
              <w:end w:w="100" w:type="dxa"/>
            </w:tcMar>
          </w:tcPr>
          <w:p>
            <w:r>
              <w:rPr>
                <w:sz w:val="17"/>
              </w:rPr>
              <w:t>4. GA</w:t>
            </w:r>
          </w:p>
        </w:tc>
        <w:tc>
          <w:tcPr>
            <w:tcW w:type="dxa" w:w="1656"/>
            <w:tcMar>
              <w:top w:w="80" w:type="dxa"/>
              <w:start w:w="100" w:type="dxa"/>
              <w:bottom w:w="80" w:type="dxa"/>
              <w:end w:w="100" w:type="dxa"/>
            </w:tcMar>
          </w:tcPr>
          <w:p>
            <w:r>
              <w:rPr>
                <w:sz w:val="17"/>
              </w:rPr>
              <w:t>Weeks 31–40</w:t>
            </w:r>
          </w:p>
        </w:tc>
        <w:tc>
          <w:tcPr>
            <w:tcW w:type="dxa" w:w="5832"/>
            <w:tcMar>
              <w:top w:w="80" w:type="dxa"/>
              <w:start w:w="100" w:type="dxa"/>
              <w:bottom w:w="80" w:type="dxa"/>
              <w:end w:w="100" w:type="dxa"/>
            </w:tcMar>
          </w:tcPr>
          <w:p>
            <w:r>
              <w:rPr>
                <w:sz w:val="17"/>
              </w:rPr>
              <w:t>Scale with holdout, seller tooling and economy governance.</w:t>
            </w:r>
          </w:p>
        </w:tc>
      </w:tr>
    </w:tbl>
    <w:p>
      <w:pPr>
        <w:spacing w:after="60"/>
      </w:pPr>
      <w:r>
        <w:rPr>
          <w:b/>
          <w:color w:val="78746C"/>
          <w:sz w:val="18"/>
        </w:rPr>
        <w:t>SUBMISSION: WHAT THE HIRING MANAGER ACTUALLY NEEDS</w:t>
      </w:r>
    </w:p>
    <w:p>
      <w:pPr>
        <w:pStyle w:val="ListBullet"/>
        <w:spacing w:after="60"/>
      </w:pPr>
      <w:r>
        <w:t>Primary: a working/shareable prototype that tells one coherent story.</w:t>
      </w:r>
    </w:p>
    <w:p>
      <w:pPr>
        <w:pStyle w:val="ListBullet"/>
        <w:spacing w:after="60"/>
      </w:pPr>
      <w:r>
        <w:t>Secondary: a short case study explaining assumptions, product decisions, trade-offs and what you would test next.</w:t>
      </w:r>
    </w:p>
    <w:p>
      <w:pPr>
        <w:pStyle w:val="ListBullet"/>
        <w:spacing w:after="60"/>
      </w:pPr>
      <w:r>
        <w:t>Appendix: this deeper PRD, economy model, event taxonomy, technical/operational notes and legal diligence.</w:t>
      </w:r>
    </w:p>
    <w:p>
      <w:pPr>
        <w:pStyle w:val="ListBullet"/>
        <w:spacing w:after="60"/>
      </w:pPr>
      <w:r>
        <w:t>Tools disclosure: list the AI/vibe-coding tools used and what each accelerated.</w:t>
      </w:r>
    </w:p>
    <w:p>
      <w:pPr>
        <w:spacing w:after="60"/>
      </w:pPr>
      <w:r>
        <w:rPr>
          <w:b/>
          <w:color w:val="78746C"/>
          <w:sz w:val="18"/>
        </w:rPr>
        <w:t>PROTOTYPE DEMO SCRIPT — 90 SECONDS</w:t>
      </w:r>
    </w:p>
    <w:p>
      <w:pPr>
        <w:spacing w:after="120" w:line="259" w:lineRule="auto"/>
      </w:pPr>
      <w:r>
        <w:t>Start on Game Home → complete match → +150 Sparks → open Rewards → open earbuds → show full cash price + Spark split → add to cart → move Spark usage → checkout → order confirmed → show Sparks earned back → return to game → open Wallet → show transaction ledger. Mention the saved-goal concept as the next step.</w:t>
      </w:r>
    </w:p>
    <w:p>
      <w:pPr>
        <w:spacing w:after="60"/>
      </w:pPr>
      <w:r>
        <w:rPr>
          <w:b/>
          <w:color w:val="78746C"/>
          <w:sz w:val="18"/>
        </w:rPr>
        <w:t>FINAL PRODUCT JUDGMENT</w:t>
      </w:r>
    </w:p>
    <w:p>
      <w:pPr>
        <w:spacing w:after="120" w:line="259" w:lineRule="auto"/>
      </w:pPr>
      <w:r>
        <w:t>The assignment is not asking for a giant production architecture exercise. It is asking whether you can turn ambiguity into a compelling product. The best signal is a prototype that makes a sharp product thesis visible, supported by just enough PRD depth to show that the system can actually be built and measured.</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28B"/>
        <w:sz w:val="16"/>
      </w:rPr>
      <w:t>Product case study · Confidential hiring assignment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D7870"/>
        <w:sz w:val="16"/>
      </w:rPr>
      <w:t>PLAYSUPER · SPARKS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181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18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PlaySuper Sparks — Product Strategy, PRD &amp; Prototype Blueprint</dc:title>
  <dc:subject>Hiring assignment case study</dc:subject>
  <dc:creator>Product case study</dc:creator>
  <cp:keywords>PlaySuper, gaming commerce, rewards, product management, PRD</cp:keywords>
  <dc:description>generated by python-docx</dc:description>
  <cp:lastModifiedBy/>
  <cp:revision>1</cp:revision>
  <dcterms:created xsi:type="dcterms:W3CDTF">2013-12-23T23:15:00Z</dcterms:created>
  <dcterms:modified xsi:type="dcterms:W3CDTF">2013-12-23T23:15:00Z</dcterms:modified>
  <cp:category/>
</cp:coreProperties>
</file>