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 w:line="190" w:lineRule="auto"/>
        <w:keepNext/>
      </w:pPr>
      <w:r>
        <w:rPr>
          <w:rFonts w:ascii="Arial" w:hAnsi="Arial"/>
          <w:b/>
          <w:color w:val="12395B"/>
          <w:sz w:val="34"/>
          <w:szCs w:val="34"/>
        </w:rPr>
        <w:t xml:space="preserve">OpenAI Agent Architecture Review</w:t>
      </w:r>
    </w:p>
    <w:p>
      <w:pPr>
        <w:spacing w:before="25" w:after="35" w:line="190" w:lineRule="auto"/>
      </w:pPr>
      <w:r>
        <w:rPr>
          <w:b/>
          <w:rFonts w:ascii="Arial" w:hAnsi="Arial"/>
          <w:sz w:val="16"/>
          <w:szCs w:val="16"/>
        </w:rPr>
        <w:t xml:space="preserve">Enterprise internal support platform | Design review | 21 October 2026</w:t>
      </w:r>
    </w:p>
    <w:p>
      <w:pPr>
        <w:spacing w:before="100" w:after="45" w:line="190" w:lineRule="auto"/>
        <w:keepNext/>
      </w:pPr>
      <w:r>
        <w:rPr>
          <w:rFonts w:ascii="Arial" w:hAnsi="Arial"/>
          <w:b/>
          <w:color w:val="1769AA"/>
          <w:sz w:val="24"/>
          <w:szCs w:val="24"/>
        </w:rPr>
        <w:t xml:space="preserve">1. Recommended architecture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Use the </w:t>
      </w:r>
      <w:r>
        <w:rPr>
          <w:b/>
          <w:rFonts w:ascii="Arial" w:hAnsi="Arial"/>
          <w:sz w:val="16"/>
          <w:szCs w:val="16"/>
        </w:rPr>
        <w:t xml:space="preserve">OpenAI Agents SDK in the enterprise application runtime</w:t>
      </w:r>
      <w:r>
        <w:rPr>
          <w:rFonts w:ascii="Arial" w:hAnsi="Arial"/>
          <w:sz w:val="16"/>
          <w:szCs w:val="16"/>
        </w:rPr>
        <w:t xml:space="preserve"> as the orchestrator. Keep identity, authorization, workflow persistence, tool execution, approvals, and audit ownership in enterprise services. Use Responses through the SDK for model interaction; do not let the model directly access internal systems or make authorization decisions.</w:t>
      </w:r>
    </w:p>
    <w:p>
      <w:pPr>
        <w:spacing w:before="45" w:after="45" w:line="220" w:lineRule="auto"/>
        <w:shd w:fill="F3F6F9"/>
        <w:ind w:left="100"/>
      </w:pPr>
      <w:r>
        <w:rPr>
          <w:rFonts w:ascii="Consolas" w:hAnsi="Consolas"/>
          <w:sz w:val="14"/>
          <w:szCs w:val="14"/>
        </w:rPr>
        <w:t xml:space="preserve"> Employee</w:t>
        <w:br/>
        <w:t xml:space="preserve">    │ SSO; authenticated support UI</w:t>
        <w:br/>
        <w:t xml:space="preserve">    ▼</w:t>
        <w:br/>
        <w:t xml:space="preserve"> Support API ── identity / tenant scope / rate limits / input checks</w:t>
        <w:br/>
        <w:t xml:space="preserve">    │</w:t>
        <w:br/>
        <w:t xml:space="preserve">    ▼</w:t>
        <w:br/>
        <w:t xml:space="preserve"> Triage &amp; orchestrator (Agents SDK; policy-aware routing)</w:t>
        <w:br/>
        <w:t xml:space="preserve">    ├── Knowledge specialist ── ACL-filtered, read-only search</w:t>
        <w:br/>
        <w:t xml:space="preserve">    ├── ITSM specialist ─────── ticket lookup / draft / update tools</w:t>
        <w:br/>
        <w:t xml:space="preserve">    └── Identity specialist ─── account diagnostics / recovery tools</w:t>
        <w:br/>
        <w:t xml:space="preserve">              │ typed, least-privilege tool wrappers</w:t>
        <w:br/>
        <w:t xml:space="preserve">              ▼</w:t>
        <w:br/>
        <w:t xml:space="preserve">      Policy + tool gateway ── validation, authorization, idempotency</w:t>
        <w:br/>
        <w:t xml:space="preserve">        ├── KB / ITSM / CMDB / IAM connectors</w:t>
        <w:br/>
        <w:t xml:space="preserve">        └── approval-required action ── approval queue ── human reviewer</w:t>
        <w:br/>
        <w:t xml:space="preserve">                                                   │ approve / reject</w:t>
        <w:br/>
        <w:t xml:space="preserve">                                                   ▼</w:t>
        <w:br/>
        <w:t xml:space="preserve">                                         resume saved run; execute if approved</w:t>
        <w:br/>
        <w:t xml:space="preserve"/>
        <w:br/>
        <w:t xml:space="preserve"> App-owned encrypted workflow/session store ── run state, approval, ownership</w:t>
        <w:br/>
        <w:t xml:space="preserve"> SDK traces + app audit/metrics ── redacted observability and evaluation</w:t>
        <w:br/>
        <w:t xml:space="preserve"/>
      </w:r>
    </w:p>
    <w:tbl>
      <w:tblPr>
        <w:tblW w:w="10656" w:type="dxa"/>
        <w:tblLayout w:type="fixed"/>
        <w:tblBorders>
          <w:top w:val="single" w:sz="4" w:color="9AA9B8"/>
          <w:left w:val="single" w:sz="4" w:color="9AA9B8"/>
          <w:bottom w:val="single" w:sz="4" w:color="9AA9B8"/>
          <w:right w:val="single" w:sz="4" w:color="9AA9B8"/>
          <w:insideH w:val="single" w:sz="4" w:color="9AA9B8"/>
          <w:insideV w:val="single" w:sz="4" w:color="9AA9B8"/>
        </w:tblBorders>
        <w:tblCellMar>
          <w:top w:w="35" w:type="dxa"/>
          <w:left w:w="45" w:type="dxa"/>
          <w:bottom w:w="35" w:type="dxa"/>
          <w:right w:w="45" w:type="dxa"/>
        </w:tblCellMar>
      </w:tblPr>
      <w:tblGrid>
        <w:gridCol w:w="2100"/>
        <w:gridCol w:w="8556"/>
      </w:tblGrid>
      <w:tr>
        <w:trPr>
          <w:tblHeader/>
        </w:trPr>
        <w:tc>
          <w:tcPr>
            <w:tcW w:w="2100" w:type="dxa"/>
            <w:shd w:fill="E5F2FF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Agent</w:t>
            </w:r>
          </w:p>
        </w:tc>
        <w:tc>
          <w:tcPr>
            <w:tcW w:w="8556" w:type="dxa"/>
            <w:shd w:fill="E5F2FF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Responsibility and allowed capability</w:t>
            </w:r>
          </w:p>
        </w:tc>
      </w:tr>
      <w:tr>
        <w:tc>
          <w:tcPr>
            <w:tcW w:w="2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Triage/orchestrator</w:t>
            </w:r>
          </w:p>
        </w:tc>
        <w:tc>
          <w:tcPr>
            <w:tcW w:w="85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Classify intent and impact, select one specialist, retain final-answer ownership for routine requests, and enforce routing policy. No direct write tools.</w:t>
            </w:r>
          </w:p>
        </w:tc>
      </w:tr>
      <w:tr>
        <w:tc>
          <w:tcPr>
            <w:tcW w:w="2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Knowledge specialist</w:t>
            </w:r>
          </w:p>
        </w:tc>
        <w:tc>
          <w:tcPr>
            <w:tcW w:w="85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Answer from access-controlled internal knowledge; cite retrieved sources and say when evidence is insufficient. Read-only.</w:t>
            </w:r>
          </w:p>
        </w:tc>
      </w:tr>
      <w:tr>
        <w:tc>
          <w:tcPr>
            <w:tcW w:w="2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ITSM specialist</w:t>
            </w:r>
          </w:p>
        </w:tc>
        <w:tc>
          <w:tcPr>
            <w:tcW w:w="85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Retrieve tickets and prepare or perform scoped ticket actions through typed tools. Writes are approval-gated by policy.</w:t>
            </w:r>
          </w:p>
        </w:tc>
      </w:tr>
      <w:tr>
        <w:tc>
          <w:tcPr>
            <w:tcW w:w="2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Identity specialist</w:t>
            </w:r>
          </w:p>
        </w:tc>
        <w:tc>
          <w:tcPr>
            <w:tcW w:w="85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Diagnose account-access issues and propose recovery. Narrow identity tools only; credential, privilege, and MFA changes require explicit review.</w:t>
            </w:r>
          </w:p>
        </w:tc>
      </w:tr>
    </w:tbl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Start with these bounded roles; add a specialist only when its tool set, policy, or output contract materially differs. Use agents-as-tools when triage should synthesize the answer; hand off only when a specialist should own the next response. Define explicit maximum handoffs/tool steps and a safe escalation path.</w:t>
      </w:r>
    </w:p>
    <w:p>
      <w:pPr>
        <w:spacing w:before="80" w:after="35" w:line="190" w:lineRule="auto"/>
        <w:keepNext/>
      </w:pPr>
      <w:r>
        <w:rPr>
          <w:rFonts w:ascii="Arial" w:hAnsi="Arial"/>
          <w:b/>
          <w:color w:val="1769AA"/>
          <w:sz w:val="20"/>
          <w:szCs w:val="20"/>
        </w:rPr>
        <w:t xml:space="preserve">Routing and handoff logic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r>
        <w:rPr>
          <w:rFonts w:ascii="Arial" w:hAnsi="Arial"/>
          <w:sz w:val="16"/>
          <w:szCs w:val="16"/>
        </w:rPr>
        <w:t xml:space="preserve">Authenticate the caller and bind immutable user, tenant, role, and request IDs server-side. Reject unauthorized scope before model execution.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r>
        <w:rPr>
          <w:rFonts w:ascii="Arial" w:hAnsi="Arial"/>
          <w:sz w:val="16"/>
          <w:szCs w:val="16"/>
        </w:rPr>
        <w:t xml:space="preserve">Apply input checks; classify intent, urgency, sensitivity, and ambiguity. Use deterministic rules for known high-impact intents; otherwise let triage select among allowlisted specialists.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r>
        <w:rPr>
          <w:rFonts w:ascii="Arial" w:hAnsi="Arial"/>
          <w:sz w:val="16"/>
          <w:szCs w:val="16"/>
        </w:rPr>
        <w:t xml:space="preserve">Route knowledge questions to read-only retrieval; incident/ticket requests to ITSM; account recovery to Identity. Mixed requests can invoke bounded helpers, but authorization is rechecked for every tool.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r>
        <w:rPr>
          <w:rFonts w:ascii="Arial" w:hAnsi="Arial"/>
          <w:sz w:val="16"/>
          <w:szCs w:val="16"/>
        </w:rPr>
        <w:t xml:space="preserve">If confidence/evidence is inadequate, intent conflicts, permissions are missing, or risk is high, ask a clarifying question or escalate to a human—never guess or broaden access.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r>
        <w:rPr>
          <w:rFonts w:ascii="Arial" w:hAnsi="Arial"/>
          <w:sz w:val="16"/>
          <w:szCs w:val="16"/>
        </w:rPr>
        <w:t xml:space="preserve">Specialists return typed results and evidence. The orchestrator checks output policy, summarizes, and identifies any proposed action before responding.</w:t>
      </w:r>
    </w:p>
    <w:p>
      <w:pPr>
        <w:spacing w:before="80" w:after="35" w:line="190" w:lineRule="auto"/>
        <w:keepNext/>
      </w:pPr>
      <w:r>
        <w:rPr>
          <w:rFonts w:ascii="Arial" w:hAnsi="Arial"/>
          <w:b/>
          <w:color w:val="1769AA"/>
          <w:sz w:val="20"/>
          <w:szCs w:val="20"/>
        </w:rPr>
        <w:t xml:space="preserve">Guardrails and approval boundary</w:t>
      </w:r>
    </w:p>
    <w:p>
      <w:pPr>
        <w:spacing w:before="25" w:after="35" w:line="190" w:lineRule="auto"/>
      </w:pPr>
      <w:r>
        <w:rPr>
          <w:b/>
          <w:rFonts w:ascii="Arial" w:hAnsi="Arial"/>
          <w:sz w:val="16"/>
          <w:szCs w:val="16"/>
        </w:rPr>
        <w:t xml:space="preserve">Input:</w:t>
      </w:r>
      <w:r>
        <w:rPr>
          <w:rFonts w:ascii="Arial" w:hAnsi="Arial"/>
          <w:sz w:val="16"/>
          <w:szCs w:val="16"/>
        </w:rPr>
        <w:t xml:space="preserve"> authenticate/authorize, constrain length/type, detect secrets and prompt-injection attempts, classify sensitive content, and reject prohibited requests. Treat retrieved documents and tool results as untrusted data, not instructions. Block before costly or risky work where possible.</w:t>
      </w:r>
    </w:p>
    <w:p>
      <w:pPr>
        <w:spacing w:before="25" w:after="35" w:line="190" w:lineRule="auto"/>
      </w:pPr>
      <w:r>
        <w:rPr>
          <w:b/>
          <w:rFonts w:ascii="Arial" w:hAnsi="Arial"/>
          <w:sz w:val="16"/>
          <w:szCs w:val="16"/>
        </w:rPr>
        <w:t xml:space="preserve">Tools:</w:t>
      </w:r>
      <w:r>
        <w:rPr>
          <w:rFonts w:ascii="Arial" w:hAnsi="Arial"/>
          <w:sz w:val="16"/>
          <w:szCs w:val="16"/>
        </w:rPr>
        <w:t xml:space="preserve"> expose narrow server-side functions, not general-purpose credentials or arbitrary SQL/shell. Validate schema, tenant/resource ownership, caller authorization, allowed fields, and business invariants on every call. Use least-privilege service identities, timeouts, rate limits, audit events, and idempotency keys. Read-only operations may proceed automatically; all mutations pass through the same policy gateway.</w:t>
      </w:r>
    </w:p>
    <w:p>
      <w:pPr>
        <w:spacing w:before="25" w:after="35" w:line="190" w:lineRule="auto"/>
      </w:pPr>
      <w:r>
        <w:rPr>
          <w:b/>
          <w:rFonts w:ascii="Arial" w:hAnsi="Arial"/>
          <w:sz w:val="16"/>
          <w:szCs w:val="16"/>
        </w:rPr>
        <w:t xml:space="preserve">Output:</w:t>
      </w:r>
      <w:r>
        <w:rPr>
          <w:rFonts w:ascii="Arial" w:hAnsi="Arial"/>
          <w:sz w:val="16"/>
          <w:szCs w:val="16"/>
        </w:rPr>
        <w:t xml:space="preserve"> validate structured output, remove secrets/unauthorized data, verify citations against retrieved evidence, and avoid unsupported claims. Fail closed with a safe explanation or human escalation when validation fails.</w:t>
      </w:r>
    </w:p>
    <w:p>
      <w:pPr>
        <w:spacing w:before="25" w:after="35" w:line="190" w:lineRule="auto"/>
      </w:pPr>
      <w:r>
        <w:rPr>
          <w:b/>
          <w:rFonts w:ascii="Arial" w:hAnsi="Arial"/>
          <w:sz w:val="16"/>
          <w:szCs w:val="16"/>
        </w:rPr>
        <w:t xml:space="preserve">Human review:</w:t>
      </w:r>
      <w:r>
        <w:rPr>
          <w:rFonts w:ascii="Arial" w:hAnsi="Arial"/>
          <w:sz w:val="16"/>
          <w:szCs w:val="16"/>
        </w:rPr>
        <w:t xml:space="preserve"> pause before account unlock/reset or MFA/role changes; ticket closure, reassignment, or external communication; data export/deletion; and any ambiguous or high-impact mutation. Show reviewer the requester, target, exact arguments, rationale, evidence, and impact. Require an authenticated, authorized reviewer distinct from the requester for sensitive actions. Record approve/reject, actor, timestamp, and policy version. Approval is bound to the exact action and expires; revalidate authorization and current target state on resume. Never interpret model text as approval.</w:t>
      </w:r>
    </w:p>
    <w:p>
      <w:pPr>
        <w:pageBreakBefore/>
        <w:spacing w:before="100" w:after="45" w:line="190" w:lineRule="auto"/>
        <w:keepNext/>
      </w:pPr>
      <w:r>
        <w:rPr>
          <w:rFonts w:ascii="Arial" w:hAnsi="Arial"/>
          <w:b/>
          <w:color w:val="1769AA"/>
          <w:sz w:val="24"/>
          <w:szCs w:val="24"/>
        </w:rPr>
        <w:t xml:space="preserve">2. Workflow, operations, and risk</w:t>
      </w:r>
    </w:p>
    <w:p>
      <w:pPr>
        <w:spacing w:before="80" w:after="35" w:line="190" w:lineRule="auto"/>
        <w:keepNext/>
      </w:pPr>
      <w:r>
        <w:rPr>
          <w:rFonts w:ascii="Arial" w:hAnsi="Arial"/>
          <w:b/>
          <w:color w:val="1769AA"/>
          <w:sz w:val="20"/>
          <w:szCs w:val="20"/>
        </w:rPr>
        <w:t xml:space="preserve">Stateful workflow and recovery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Use an </w:t>
      </w:r>
      <w:r>
        <w:rPr>
          <w:b/>
          <w:rFonts w:ascii="Arial" w:hAnsi="Arial"/>
          <w:sz w:val="16"/>
          <w:szCs w:val="16"/>
        </w:rPr>
        <w:t xml:space="preserve">Agents SDK session</w:t>
      </w:r>
      <w:r>
        <w:rPr>
          <w:rFonts w:ascii="Arial" w:hAnsi="Arial"/>
          <w:sz w:val="16"/>
          <w:szCs w:val="16"/>
        </w:rPr>
        <w:t xml:space="preserve"> for conversational continuity, with a separate application-owned workflow record as the source of truth for enterprise identity, status, authorization context, tool idempotency, approval, and retention. Persist session/run state encrypted and access-controlled; key it by tenant, user, and conversation. Store references to source documents rather than unnecessary sensitive content. Apply retention/deletion policy and keep secrets out of prompts and session history.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Each turn creates a correlated workflow/run ID. On normal completion, persist the final response and session reference. On approval-required tool interruption, persist the resumable SDK state and a pending-approval record; show the reviewer the immutable proposed action. Resume the same saved run only after a recorded decision, then re-check authorization, action expiry, and resource version before executing. Reject stale, duplicate, or altered approvals; make side effects idempotent. On timeout, tool failure, or uncertain state, do not claim success—reconcile against the system of record and offer safe retry or human escalation.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If the Responses API is used directly instead, explicitly manage conversation state with Conversations or </w:t>
      </w:r>
      <w:r>
        <w:rPr>
          <w:rFonts w:ascii="Consolas" w:hAnsi="Consolas"/>
          <w:sz w:val="14"/>
          <w:szCs w:val="14"/>
        </w:rPr>
        <w:t xml:space="preserve">previous_response_id</w:t>
      </w:r>
      <w:r>
        <w:rPr>
          <w:rFonts w:ascii="Arial" w:hAnsi="Arial"/>
          <w:sz w:val="16"/>
          <w:szCs w:val="16"/>
        </w:rPr>
        <w:t xml:space="preserve">, plus the same application-owned workflow/approval state. Choose and document storage/retention behavior (</w:t>
      </w:r>
      <w:r>
        <w:rPr>
          <w:rFonts w:ascii="Consolas" w:hAnsi="Consolas"/>
          <w:sz w:val="14"/>
          <w:szCs w:val="14"/>
        </w:rPr>
        <w:t xml:space="preserve">store</w:t>
      </w:r>
      <w:r>
        <w:rPr>
          <w:rFonts w:ascii="Arial" w:hAnsi="Arial"/>
          <w:sz w:val="16"/>
          <w:szCs w:val="16"/>
        </w:rPr>
        <w:t xml:space="preserve"> settings) rather than assuming a model conversation is the business audit record.</w:t>
      </w:r>
    </w:p>
    <w:p>
      <w:pPr>
        <w:spacing w:before="80" w:after="35" w:line="190" w:lineRule="auto"/>
        <w:keepNext/>
      </w:pPr>
      <w:r>
        <w:rPr>
          <w:rFonts w:ascii="Arial" w:hAnsi="Arial"/>
          <w:b/>
          <w:color w:val="1769AA"/>
          <w:sz w:val="20"/>
          <w:szCs w:val="20"/>
        </w:rPr>
        <w:t xml:space="preserve">Tracing, observability, and quality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r>
        <w:rPr>
          <w:rFonts w:ascii="Arial" w:hAnsi="Arial"/>
          <w:sz w:val="16"/>
          <w:szCs w:val="16"/>
        </w:rPr>
        <w:t xml:space="preserve">Enable Agents SDK tracing for runs, model calls, tool calls/results, handoffs, guardrails, approvals, and custom spans. Correlate traces with application request, tenant, workflow, and approval IDs without putting raw secrets or full sensitive payloads in tags.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r>
        <w:rPr>
          <w:rFonts w:ascii="Arial" w:hAnsi="Arial"/>
          <w:sz w:val="16"/>
          <w:szCs w:val="16"/>
        </w:rPr>
        <w:t xml:space="preserve">Send structured, redacted audit events to the enterprise SIEM; protect trace access, define retention, and separate diagnostic traces from immutable business audit records.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r>
        <w:rPr>
          <w:rFonts w:ascii="Arial" w:hAnsi="Arial"/>
          <w:sz w:val="16"/>
          <w:szCs w:val="16"/>
        </w:rPr>
        <w:t xml:space="preserve">Dashboards/alerts: success and containment rates, correct routing, handoff/tool counts, approval wait and rejection rates, tool errors/timeouts, latency, token/cost, guardrail blocks, escalation, and user feedback. Alert on unusual write volume, denied access, repeated tool failures, or bypass attempts.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r>
        <w:rPr>
          <w:rFonts w:ascii="Arial" w:hAnsi="Arial"/>
          <w:sz w:val="16"/>
          <w:szCs w:val="16"/>
        </w:rPr>
        <w:t xml:space="preserve">Maintain versioned, privacy-reviewed evaluation sets for routing, groundedness/citations, refusal, authorization isolation, and prompt-injection resistance. Run regression tests before prompt/tool/model changes; sample production traces for review and feed approved findings into evaluations.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r>
        <w:rPr>
          <w:rFonts w:ascii="Arial" w:hAnsi="Arial"/>
          <w:sz w:val="16"/>
          <w:szCs w:val="16"/>
        </w:rPr>
        <w:t xml:space="preserve">Operational controls: staged rollout, kill switch for writes, per-tool quotas, fallback to human support, incident runbooks, and tested restore/reconciliation paths.</w:t>
      </w:r>
    </w:p>
    <w:p>
      <w:pPr>
        <w:spacing w:before="80" w:after="35" w:line="190" w:lineRule="auto"/>
        <w:keepNext/>
      </w:pPr>
      <w:r>
        <w:rPr>
          <w:rFonts w:ascii="Arial" w:hAnsi="Arial"/>
          <w:b/>
          <w:color w:val="1769AA"/>
          <w:sz w:val="20"/>
          <w:szCs w:val="20"/>
        </w:rPr>
        <w:t xml:space="preserve">Risk register and mitigation checklist</w:t>
      </w:r>
    </w:p>
    <w:tbl>
      <w:tblPr>
        <w:tblW w:w="10656" w:type="dxa"/>
        <w:tblLayout w:type="fixed"/>
        <w:tblBorders>
          <w:top w:val="single" w:sz="4" w:color="9AA9B8"/>
          <w:left w:val="single" w:sz="4" w:color="9AA9B8"/>
          <w:bottom w:val="single" w:sz="4" w:color="9AA9B8"/>
          <w:right w:val="single" w:sz="4" w:color="9AA9B8"/>
          <w:insideH w:val="single" w:sz="4" w:color="9AA9B8"/>
          <w:insideV w:val="single" w:sz="4" w:color="9AA9B8"/>
        </w:tblBorders>
        <w:tblCellMar>
          <w:top w:w="35" w:type="dxa"/>
          <w:left w:w="45" w:type="dxa"/>
          <w:bottom w:w="35" w:type="dxa"/>
          <w:right w:w="45" w:type="dxa"/>
        </w:tblCellMar>
      </w:tblPr>
      <w:tblGrid>
        <w:gridCol w:w="2100"/>
        <w:gridCol w:w="8556"/>
      </w:tblGrid>
      <w:tr>
        <w:trPr>
          <w:tblHeader/>
        </w:trPr>
        <w:tc>
          <w:tcPr>
            <w:tcW w:w="2100" w:type="dxa"/>
            <w:shd w:fill="E5F2FF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Risk</w:t>
            </w:r>
          </w:p>
        </w:tc>
        <w:tc>
          <w:tcPr>
            <w:tcW w:w="8556" w:type="dxa"/>
            <w:shd w:fill="E5F2FF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Required mitigation / release check</w:t>
            </w:r>
          </w:p>
        </w:tc>
      </w:tr>
      <w:tr>
        <w:tc>
          <w:tcPr>
            <w:tcW w:w="2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Cross-tenant disclosure or privilege escalation</w:t>
            </w:r>
          </w:p>
        </w:tc>
        <w:tc>
          <w:tcPr>
            <w:tcW w:w="85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Server-derived identity; ACL-filtered retrieval; per-tool authorization on every call; negative tests across users/tenants.</w:t>
            </w:r>
          </w:p>
        </w:tc>
      </w:tr>
      <w:tr>
        <w:tc>
          <w:tcPr>
            <w:tcW w:w="2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Prompt injection in user input or retrieved content</w:t>
            </w:r>
          </w:p>
        </w:tc>
        <w:tc>
          <w:tcPr>
            <w:tcW w:w="85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Treat content as data; isolate instructions; allowlist tools; validate arguments/results; adversarial test corpus.</w:t>
            </w:r>
          </w:p>
        </w:tc>
      </w:tr>
      <w:tr>
        <w:tc>
          <w:tcPr>
            <w:tcW w:w="2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Unauthorized or unintended side effect</w:t>
            </w:r>
          </w:p>
        </w:tc>
        <w:tc>
          <w:tcPr>
            <w:tcW w:w="85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Read/write separation; exact-action human approval; immutable audit; idempotency; concurrency/version checks; write kill switch.</w:t>
            </w:r>
          </w:p>
        </w:tc>
      </w:tr>
      <w:tr>
        <w:tc>
          <w:tcPr>
            <w:tcW w:w="2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Incorrect or fabricated support answer</w:t>
            </w:r>
          </w:p>
        </w:tc>
        <w:tc>
          <w:tcPr>
            <w:tcW w:w="85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Ground in approved sources; cite/check evidence; output validation; abstain/escalate; quality evaluations.</w:t>
            </w:r>
          </w:p>
        </w:tc>
      </w:tr>
      <w:tr>
        <w:tc>
          <w:tcPr>
            <w:tcW w:w="2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PII, credentials, or sensitive data exposure</w:t>
            </w:r>
          </w:p>
        </w:tc>
        <w:tc>
          <w:tcPr>
            <w:tcW w:w="85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Minimize and redact; no secrets in prompts/logs; encryption and access controls; defined retention and deletion.</w:t>
            </w:r>
          </w:p>
        </w:tc>
      </w:tr>
      <w:tr>
        <w:tc>
          <w:tcPr>
            <w:tcW w:w="2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Tool/API outage, duplicate retry, or partial completion</w:t>
            </w:r>
          </w:p>
        </w:tc>
        <w:tc>
          <w:tcPr>
            <w:tcW w:w="85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Timeouts/retries with limits; idempotency; reconciliation; explicit pending/failed status; human fallback.</w:t>
            </w:r>
          </w:p>
        </w:tc>
      </w:tr>
      <w:tr>
        <w:tc>
          <w:tcPr>
            <w:tcW w:w="2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Model/prompt drift, runaway cost, or loop</w:t>
            </w:r>
          </w:p>
        </w:tc>
        <w:tc>
          <w:tcPr>
            <w:tcW w:w="85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Pin/version configuration; bounded steps/tokens/time; quotas; trace/eval monitoring; rollback.</w:t>
            </w:r>
          </w:p>
        </w:tc>
      </w:tr>
      <w:tr>
        <w:tc>
          <w:tcPr>
            <w:tcW w:w="2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Approval fatigue or stale approval</w:t>
            </w:r>
          </w:p>
        </w:tc>
        <w:tc>
          <w:tcPr>
            <w:tcW w:w="855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after="15" w:line="180" w:lineRule="auto"/>
            </w:pPr>
            <w:r>
              <w:rPr>
                <w:rFonts w:ascii="Arial" w:hAnsi="Arial"/>
                <w:sz w:val="16"/>
                <w:szCs w:val="16"/>
              </w:rPr>
              <w:t xml:space="preserve">Risk-based thresholds; reviewer context; separation of duties; expiry; revalidation; periodic access review.</w:t>
            </w:r>
          </w:p>
        </w:tc>
      </w:tr>
    </w:tbl>
    <w:p>
      <w:pPr>
        <w:spacing w:before="25" w:after="35" w:line="190" w:lineRule="auto"/>
      </w:pPr>
      <w:r>
        <w:rPr>
          <w:b/>
          <w:rFonts w:ascii="Arial" w:hAnsi="Arial"/>
          <w:sz w:val="16"/>
          <w:szCs w:val="16"/>
        </w:rPr>
        <w:t xml:space="preserve">Go-live gate:</w:t>
      </w:r>
      <w:r>
        <w:rPr>
          <w:rFonts w:ascii="Arial" w:hAnsi="Arial"/>
          <w:sz w:val="16"/>
          <w:szCs w:val="16"/>
        </w:rPr>
        <w:t xml:space="preserve"> demonstrate tenant-isolation and authorization tests; approval pause/reject/resume and replay tests; side-effect idempotency and stale-state tests; prompt-injection and output-redaction tests; trace redaction/access/retention checks; evaluation baselines; operational kill switch and incident runbook. Assign a business owner for each mutation policy and review it periodically.</w:t>
      </w:r>
    </w:p>
    <w:p>
      <w:pPr>
        <w:spacing w:before="80" w:after="35" w:line="190" w:lineRule="auto"/>
        <w:keepNext/>
      </w:pPr>
      <w:r>
        <w:rPr>
          <w:rFonts w:ascii="Arial" w:hAnsi="Arial"/>
          <w:b/>
          <w:color w:val="1769AA"/>
          <w:sz w:val="20"/>
          <w:szCs w:val="20"/>
        </w:rPr>
        <w:t xml:space="preserve">Source documentation</w:t>
      </w:r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hyperlink r:id="rId1" w:history="1">
        <w:r>
          <w:rPr>
            <w:rFonts w:ascii="Arial" w:hAnsi="Arial"/>
            <w:sz w:val="16"/>
            <w:szCs w:val="16"/>
          </w:rPr>
          <w:t xml:space="preserve">Agents SDK overview</w:t>
        </w:r>
      </w:hyperlink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hyperlink r:id="rId2" w:history="1">
        <w:r>
          <w:rPr>
            <w:rFonts w:ascii="Arial" w:hAnsi="Arial"/>
            <w:sz w:val="16"/>
            <w:szCs w:val="16"/>
          </w:rPr>
          <w:t xml:space="preserve">Orchestration and handoffs</w:t>
        </w:r>
      </w:hyperlink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hyperlink r:id="rId3" w:history="1">
        <w:r>
          <w:rPr>
            <w:rFonts w:ascii="Arial" w:hAnsi="Arial"/>
            <w:sz w:val="16"/>
            <w:szCs w:val="16"/>
          </w:rPr>
          <w:t xml:space="preserve">Guardrails and human review</w:t>
        </w:r>
      </w:hyperlink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hyperlink r:id="rId4" w:history="1">
        <w:r>
          <w:rPr>
            <w:rFonts w:ascii="Arial" w:hAnsi="Arial"/>
            <w:sz w:val="16"/>
            <w:szCs w:val="16"/>
          </w:rPr>
          <w:t xml:space="preserve">Responses API migration guide</w:t>
        </w:r>
      </w:hyperlink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hyperlink r:id="rId5" w:history="1">
        <w:r>
          <w:rPr>
            <w:rFonts w:ascii="Arial" w:hAnsi="Arial"/>
            <w:sz w:val="16"/>
            <w:szCs w:val="16"/>
          </w:rPr>
          <w:t xml:space="preserve">SDK results and state</w:t>
        </w:r>
      </w:hyperlink>
    </w:p>
    <w:p>
      <w:pPr>
        <w:spacing w:before="25" w:after="35" w:line="190" w:lineRule="auto"/>
      </w:pPr>
      <w:r>
        <w:rPr>
          <w:rFonts w:ascii="Arial" w:hAnsi="Arial"/>
          <w:sz w:val="16"/>
          <w:szCs w:val="16"/>
        </w:rPr>
        <w:t xml:space="preserve">• </w:t>
      </w:r>
      <w:hyperlink r:id="rId6" w:history="1">
        <w:r>
          <w:rPr>
            <w:rFonts w:ascii="Arial" w:hAnsi="Arial"/>
            <w:sz w:val="16"/>
            <w:szCs w:val="16"/>
          </w:rPr>
          <w:t xml:space="preserve">SDK integrations and observability</w:t>
        </w:r>
      </w:hyperlink>
    </w:p>
    <w:sectPr>
      <w:pgSz w:w="12240" w:h="15840"/>
      <w:pgMar w:top="540" w:right="720" w:bottom="540" w:left="720" w:header="300" w:footer="3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6"/>
        <w:szCs w:val="16"/>
      </w:rPr>
    </w:rPrDefault>
    <w:pPrDefault>
      <w:pPr>
        <w:spacing w:after="35" w:line="19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yperlink" Target="https://developers.openai.com/api/docs/guides/agents/sdk" TargetMode="External"/><Relationship Id="rId2" Type="http://schemas.openxmlformats.org/officeDocument/2006/relationships/hyperlink" Target="https://developers.openai.com/api/docs/guides/agents/orchestration" TargetMode="External"/><Relationship Id="rId3" Type="http://schemas.openxmlformats.org/officeDocument/2006/relationships/hyperlink" Target="https://developers.openai.com/api/docs/guides/agents/guardrails-approvals" TargetMode="External"/><Relationship Id="rId4" Type="http://schemas.openxmlformats.org/officeDocument/2006/relationships/hyperlink" Target="https://developers.openai.com/api/docs/guides/migrate-to-responses" TargetMode="External"/><Relationship Id="rId5" Type="http://schemas.openxmlformats.org/officeDocument/2006/relationships/hyperlink" Target="https://developers.openai.com/api/docs/guides/agents/results" TargetMode="External"/><Relationship Id="rId6" Type="http://schemas.openxmlformats.org/officeDocument/2006/relationships/hyperlink" Target="https://developers.openai.com/api/docs/guides/agents/integrations-observability" TargetMode="External"/></Relationships>
</file>