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3 Task: Unsupervised Learning and Clustering Analysis</w:t>
      </w:r>
    </w:p>
    <w:p>
      <w:pPr>
        <w:jc w:val="center"/>
      </w:pPr>
      <w:r>
        <w:rPr>
          <w:i/>
          <w:sz w:val="26"/>
        </w:rPr>
        <w:t>Customer Segmentation using K-Means Clustering on Online Retail Data</w:t>
      </w:r>
    </w:p>
    <w:p/>
    <w:p>
      <w:pPr>
        <w:pStyle w:val="Heading1"/>
      </w:pPr>
      <w:r>
        <w:t>1. Objective</w:t>
      </w:r>
    </w:p>
    <w:p>
      <w:r>
        <w:t>The objective of this analysis is to apply an unsupervised machine learning technique to identify meaningful customer segments in a publicly available Online Retail dataset. K-Means clustering is applied to customer-level Recency, Frequency, and Monetary (RFM) features. The analysis evaluates different cluster counts, visualizes the resulting groups, and interprets their business characteristics.</w:t>
      </w:r>
    </w:p>
    <w:p>
      <w:pPr>
        <w:pStyle w:val="Heading1"/>
      </w:pPr>
      <w:r>
        <w:t>2. Dataset Description</w:t>
      </w:r>
    </w:p>
    <w:p>
      <w:r>
        <w:t>The supplied cleaned Online Retail dataset contains 532,132 transaction records and 8 columns. The main fields include InvoiceNo, StockCode, Description, Quantity, InvoiceDate, UnitPrice, CustomerID, and Country. Customer-level segmentation is appropriate because the data records individual purchases while CustomerID allows transactions to be aggregated into behavioral profiles.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Variable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</w:tr>
      <w:tr>
        <w:tc>
          <w:tcPr>
            <w:tcW w:type="dxa" w:w="3312"/>
          </w:tcPr>
          <w:p>
            <w:r>
              <w:t>CustomerID</w:t>
            </w:r>
          </w:p>
        </w:tc>
        <w:tc>
          <w:tcPr>
            <w:tcW w:type="dxa" w:w="3312"/>
          </w:tcPr>
          <w:p>
            <w:r>
              <w:t>Unique customer identifier</w:t>
            </w:r>
          </w:p>
        </w:tc>
        <w:tc>
          <w:tcPr>
            <w:tcW w:type="dxa" w:w="3312"/>
          </w:tcPr>
          <w:p>
            <w:r>
              <w:t>Grouping</w:t>
            </w:r>
          </w:p>
        </w:tc>
      </w:tr>
      <w:tr>
        <w:tc>
          <w:tcPr>
            <w:tcW w:type="dxa" w:w="3312"/>
          </w:tcPr>
          <w:p>
            <w:r>
              <w:t>InvoiceDate</w:t>
            </w:r>
          </w:p>
        </w:tc>
        <w:tc>
          <w:tcPr>
            <w:tcW w:type="dxa" w:w="3312"/>
          </w:tcPr>
          <w:p>
            <w:r>
              <w:t>Date/time of transaction</w:t>
            </w:r>
          </w:p>
        </w:tc>
        <w:tc>
          <w:tcPr>
            <w:tcW w:type="dxa" w:w="3312"/>
          </w:tcPr>
          <w:p>
            <w:r>
              <w:t>Recency</w:t>
            </w:r>
          </w:p>
        </w:tc>
      </w:tr>
      <w:tr>
        <w:tc>
          <w:tcPr>
            <w:tcW w:type="dxa" w:w="3312"/>
          </w:tcPr>
          <w:p>
            <w:r>
              <w:t>InvoiceNo</w:t>
            </w:r>
          </w:p>
        </w:tc>
        <w:tc>
          <w:tcPr>
            <w:tcW w:type="dxa" w:w="3312"/>
          </w:tcPr>
          <w:p>
            <w:r>
              <w:t>Invoice/order identifier</w:t>
            </w:r>
          </w:p>
        </w:tc>
        <w:tc>
          <w:tcPr>
            <w:tcW w:type="dxa" w:w="3312"/>
          </w:tcPr>
          <w:p>
            <w:r>
              <w:t>Frequency</w:t>
            </w:r>
          </w:p>
        </w:tc>
      </w:tr>
      <w:tr>
        <w:tc>
          <w:tcPr>
            <w:tcW w:type="dxa" w:w="3312"/>
          </w:tcPr>
          <w:p>
            <w:r>
              <w:t>Quantity</w:t>
            </w:r>
          </w:p>
        </w:tc>
        <w:tc>
          <w:tcPr>
            <w:tcW w:type="dxa" w:w="3312"/>
          </w:tcPr>
          <w:p>
            <w:r>
              <w:t>Number of units purchased</w:t>
            </w:r>
          </w:p>
        </w:tc>
        <w:tc>
          <w:tcPr>
            <w:tcW w:type="dxa" w:w="3312"/>
          </w:tcPr>
          <w:p>
            <w:r>
              <w:t>Revenue calculation</w:t>
            </w:r>
          </w:p>
        </w:tc>
      </w:tr>
      <w:tr>
        <w:tc>
          <w:tcPr>
            <w:tcW w:type="dxa" w:w="3312"/>
          </w:tcPr>
          <w:p>
            <w:r>
              <w:t>UnitPrice</w:t>
            </w:r>
          </w:p>
        </w:tc>
        <w:tc>
          <w:tcPr>
            <w:tcW w:type="dxa" w:w="3312"/>
          </w:tcPr>
          <w:p>
            <w:r>
              <w:t>Price per unit</w:t>
            </w:r>
          </w:p>
        </w:tc>
        <w:tc>
          <w:tcPr>
            <w:tcW w:type="dxa" w:w="3312"/>
          </w:tcPr>
          <w:p>
            <w:r>
              <w:t>Revenue calculation</w:t>
            </w:r>
          </w:p>
        </w:tc>
      </w:tr>
    </w:tbl>
    <w:p>
      <w:pPr>
        <w:pStyle w:val="Heading1"/>
      </w:pPr>
      <w:r>
        <w:t>3. Data Preprocessing</w:t>
      </w:r>
    </w:p>
    <w:p>
      <w:r>
        <w:t>The raw supplied file contains 132,200 transactions without CustomerID. These records cannot be assigned to a customer and were excluded from customer-level segmentation. The analysis also excludes non-positive quantities and prices and invoice records beginning with 'C', which correspond to cancellations/returns in this dataset. There were 8,848 non-positive quantity records and 8,848 cancellation-marked invoices before filtering.</w:t>
      </w:r>
    </w:p>
    <w:p>
      <w:r>
        <w:t>After preprocessing, 391,298 valid purchase transactions remained, representing 4,335 unique customers.</w:t>
      </w:r>
    </w:p>
    <w:p>
      <w:pPr>
        <w:pStyle w:val="Heading1"/>
      </w:pPr>
      <w:r>
        <w:t>4. Feature Engineering: RFM Analysis</w:t>
      </w:r>
    </w:p>
    <w:p>
      <w:r>
        <w:t>Three behavioral features were created for every customer:</w:t>
      </w:r>
    </w:p>
    <w:p>
      <w:pPr>
        <w:pStyle w:val="ListBullet"/>
      </w:pPr>
      <w:r>
        <w:t>Recency: the number of days between the customer's most recent purchase and the day immediately after the latest transaction in the dataset.</w:t>
      </w:r>
    </w:p>
    <w:p>
      <w:pPr>
        <w:pStyle w:val="ListBullet"/>
      </w:pPr>
      <w:r>
        <w:t>Frequency: the number of unique invoices associated with the customer.</w:t>
      </w:r>
    </w:p>
    <w:p>
      <w:pPr>
        <w:pStyle w:val="ListBullet"/>
      </w:pPr>
      <w:r>
        <w:t>Monetary: the total purchase value, calculated as Quantity × UnitPrice and summed for each customer.</w:t>
      </w:r>
    </w:p>
    <w:p>
      <w:r>
        <w:t>RFM variables are highly right-skewed in retail data. Therefore, log1p transformation was applied before StandardScaler standardization. This prevents customers with extremely large spending or purchase counts from dominating Euclidean distance calculations.</w:t>
      </w:r>
    </w:p>
    <w:p>
      <w:pPr>
        <w:pStyle w:val="Heading1"/>
      </w:pPr>
      <w:r>
        <w:t>5. Choice of Clustering Technique</w:t>
      </w:r>
    </w:p>
    <w:p>
      <w:r>
        <w:t>K-Means was selected because it is a widely used, interpretable clustering algorithm for customer segmentation. It partitions observations into K groups by minimizing within-cluster squared distances to cluster centroids. Standardization is particularly important for K-Means because the algorithm is distance-based.</w:t>
      </w:r>
    </w:p>
    <w:p>
      <w:r>
        <w:t>The number of clusters was not selected arbitrarily. Candidate values from K=2 through K=8 were compared using the Elbow Method and Silhouette Score. The tested silhouette scores were: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K</w:t>
            </w:r>
          </w:p>
        </w:tc>
        <w:tc>
          <w:tcPr>
            <w:tcW w:type="dxa" w:w="3312"/>
          </w:tcPr>
          <w:p>
            <w:r>
              <w:t>Inertia</w:t>
            </w:r>
          </w:p>
        </w:tc>
        <w:tc>
          <w:tcPr>
            <w:tcW w:type="dxa" w:w="3312"/>
          </w:tcPr>
          <w:p>
            <w:r>
              <w:t>Silhouette Score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6,479.77</w:t>
            </w:r>
          </w:p>
        </w:tc>
        <w:tc>
          <w:tcPr>
            <w:tcW w:type="dxa" w:w="3312"/>
          </w:tcPr>
          <w:p>
            <w:r>
              <w:t>0.4329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4,864.79</w:t>
            </w:r>
          </w:p>
        </w:tc>
        <w:tc>
          <w:tcPr>
            <w:tcW w:type="dxa" w:w="3312"/>
          </w:tcPr>
          <w:p>
            <w:r>
              <w:t>0.3371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3,934.90</w:t>
            </w:r>
          </w:p>
        </w:tc>
        <w:tc>
          <w:tcPr>
            <w:tcW w:type="dxa" w:w="3312"/>
          </w:tcPr>
          <w:p>
            <w:r>
              <w:t>0.3367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3,291.85</w:t>
            </w:r>
          </w:p>
        </w:tc>
        <w:tc>
          <w:tcPr>
            <w:tcW w:type="dxa" w:w="3312"/>
          </w:tcPr>
          <w:p>
            <w:r>
              <w:t>0.3163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2,851.92</w:t>
            </w:r>
          </w:p>
        </w:tc>
        <w:tc>
          <w:tcPr>
            <w:tcW w:type="dxa" w:w="3312"/>
          </w:tcPr>
          <w:p>
            <w:r>
              <w:t>0.3134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2,549.01</w:t>
            </w:r>
          </w:p>
        </w:tc>
        <w:tc>
          <w:tcPr>
            <w:tcW w:type="dxa" w:w="3312"/>
          </w:tcPr>
          <w:p>
            <w:r>
              <w:t>0.3097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2,337.62</w:t>
            </w:r>
          </w:p>
        </w:tc>
        <w:tc>
          <w:tcPr>
            <w:tcW w:type="dxa" w:w="3312"/>
          </w:tcPr>
          <w:p>
            <w:r>
              <w:t>0.2973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77840" cy="3442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lbow_meth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Elbow Method for candidate cluster counts.</w:t>
      </w:r>
    </w:p>
    <w:p>
      <w:r>
        <w:drawing>
          <wp:inline xmlns:a="http://schemas.openxmlformats.org/drawingml/2006/main" xmlns:pic="http://schemas.openxmlformats.org/drawingml/2006/picture">
            <wp:extent cx="5577840" cy="3442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lhouette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Silhouette Scores for candidate cluster counts.</w:t>
      </w:r>
    </w:p>
    <w:p>
      <w:r>
        <w:t>K=2 was selected because it achieved the highest silhouette score among the tested values (0.4329). This indicates the clearest separation and internal cohesion under the selected RFM representation.</w:t>
      </w:r>
    </w:p>
    <w:p>
      <w:pPr>
        <w:pStyle w:val="Heading1"/>
      </w:pPr>
      <w:r>
        <w:t>6. K-Means Results</w:t>
      </w:r>
    </w:p>
    <w:p>
      <w:r>
        <w:t>The final K-Means model was fitted with K=2, random_state=42, and n_init=20. The random seed improves reproducibility, while multiple initializations reduce the risk of obtaining a poor solution from an unfavorable starting 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Cluster</w:t>
            </w:r>
          </w:p>
        </w:tc>
        <w:tc>
          <w:tcPr>
            <w:tcW w:type="dxa" w:w="1987"/>
          </w:tcPr>
          <w:p>
            <w:r>
              <w:t>Customers</w:t>
            </w:r>
          </w:p>
        </w:tc>
        <w:tc>
          <w:tcPr>
            <w:tcW w:type="dxa" w:w="1987"/>
          </w:tcPr>
          <w:p>
            <w:r>
              <w:t>Customer Share</w:t>
            </w:r>
          </w:p>
        </w:tc>
        <w:tc>
          <w:tcPr>
            <w:tcW w:type="dxa" w:w="1987"/>
          </w:tcPr>
          <w:p>
            <w:r>
              <w:t>Mean Recency</w:t>
            </w:r>
          </w:p>
        </w:tc>
        <w:tc>
          <w:tcPr>
            <w:tcW w:type="dxa" w:w="1987"/>
          </w:tcPr>
          <w:p>
            <w:r>
              <w:t>Mean Frequency</w:t>
            </w:r>
          </w:p>
        </w:tc>
      </w:tr>
      <w:tr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1,664</w:t>
            </w:r>
          </w:p>
        </w:tc>
        <w:tc>
          <w:tcPr>
            <w:tcW w:type="dxa" w:w="1987"/>
          </w:tcPr>
          <w:p>
            <w:r>
              <w:t>38.4%</w:t>
            </w:r>
          </w:p>
        </w:tc>
        <w:tc>
          <w:tcPr>
            <w:tcW w:type="dxa" w:w="1987"/>
          </w:tcPr>
          <w:p>
            <w:r>
              <w:t>25.81</w:t>
            </w:r>
          </w:p>
        </w:tc>
        <w:tc>
          <w:tcPr>
            <w:tcW w:type="dxa" w:w="1987"/>
          </w:tcPr>
          <w:p>
            <w:r>
              <w:t>8.40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2,671</w:t>
            </w:r>
          </w:p>
        </w:tc>
        <w:tc>
          <w:tcPr>
            <w:tcW w:type="dxa" w:w="1987"/>
          </w:tcPr>
          <w:p>
            <w:r>
              <w:t>61.6%</w:t>
            </w:r>
          </w:p>
        </w:tc>
        <w:tc>
          <w:tcPr>
            <w:tcW w:type="dxa" w:w="1987"/>
          </w:tcPr>
          <w:p>
            <w:r>
              <w:t>134.39</w:t>
            </w:r>
          </w:p>
        </w:tc>
        <w:tc>
          <w:tcPr>
            <w:tcW w:type="dxa" w:w="1987"/>
          </w:tcPr>
          <w:p>
            <w:r>
              <w:t>1.66</w:t>
            </w:r>
          </w:p>
        </w:tc>
      </w:tr>
    </w:tbl>
    <w:p/>
    <w:p>
      <w:r>
        <w:t>Detailed mean monetary values:</w:t>
      </w:r>
    </w:p>
    <w:p>
      <w:pPr>
        <w:pStyle w:val="ListBullet"/>
      </w:pPr>
      <w:r>
        <w:t>Cluster 0: mean Monetary value = ₹4,463.33.</w:t>
      </w:r>
    </w:p>
    <w:p>
      <w:pPr>
        <w:pStyle w:val="ListBullet"/>
      </w:pPr>
      <w:r>
        <w:t>Cluster 1: mean Monetary value = ₹493.11.</w:t>
      </w:r>
    </w:p>
    <w:p>
      <w:r>
        <w:drawing>
          <wp:inline xmlns:a="http://schemas.openxmlformats.org/drawingml/2006/main" xmlns:pic="http://schemas.openxmlformats.org/drawingml/2006/picture">
            <wp:extent cx="5669280" cy="3742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equency_vs_monet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Customer clusters based on purchase frequency and total spending.</w:t>
      </w:r>
    </w:p>
    <w:p>
      <w:r>
        <w:drawing>
          <wp:inline xmlns:a="http://schemas.openxmlformats.org/drawingml/2006/main" xmlns:pic="http://schemas.openxmlformats.org/drawingml/2006/picture">
            <wp:extent cx="5669280" cy="37452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ca_cluster_visu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Two-dimensional PCA representation of the RFM feature space.</w:t>
      </w:r>
    </w:p>
    <w:p>
      <w:pPr>
        <w:pStyle w:val="Heading1"/>
      </w:pPr>
      <w:r>
        <w:t>7. Cluster Interpretation</w:t>
      </w:r>
    </w:p>
    <w:p>
      <w:pPr>
        <w:pStyle w:val="Heading2"/>
      </w:pPr>
      <w:r>
        <w:t>Cluster 0 – Recent, Frequent, Higher-Value Customers</w:t>
      </w:r>
    </w:p>
    <w:p>
      <w:r>
        <w:t>This cluster contains approximately 38.4% of customers. Its mean Recency is 25.8 days, mean Frequency is 8.4 orders, and mean Monetary value is ₹4,463.33. The combination of more recent purchases, greater purchasing frequency, and higher spending indicates a highly engaged customer segment within this dataset.</w:t>
      </w:r>
    </w:p>
    <w:p>
      <w:pPr>
        <w:pStyle w:val="Heading2"/>
      </w:pPr>
      <w:r>
        <w:t>Cluster 1 – Less-Recent, Occasional, Lower-Value Customers</w:t>
      </w:r>
    </w:p>
    <w:p>
      <w:r>
        <w:t>This cluster contains approximately 61.6% of customers. Its mean Recency is 134.4 days, mean Frequency is 1.7 orders, and mean Monetary value is ₹493.11. These customers show less frequent and less recent purchasing behavior and lower aggregate spending.</w:t>
      </w:r>
    </w:p>
    <w:p>
      <w:pPr>
        <w:pStyle w:val="Heading1"/>
      </w:pPr>
      <w:r>
        <w:t>8. Business Implications</w:t>
      </w:r>
    </w:p>
    <w:p>
      <w:pPr>
        <w:pStyle w:val="ListBullet"/>
      </w:pPr>
      <w:r>
        <w:t>The more engaged segment can be analyzed for retention, loyalty, repeat-purchase, and personalized-offer strategies.</w:t>
      </w:r>
    </w:p>
    <w:p>
      <w:pPr>
        <w:pStyle w:val="ListBullet"/>
      </w:pPr>
      <w:r>
        <w:t>The less-engaged segment can be examined for re-engagement campaigns, reminders, targeted promotions, and customer lifecycle analysis.</w:t>
      </w:r>
    </w:p>
    <w:p>
      <w:pPr>
        <w:pStyle w:val="ListBullet"/>
      </w:pPr>
      <w:r>
        <w:t>The RFM framework provides a compact way to prioritize customer behavior for further business analytics.</w:t>
      </w:r>
    </w:p>
    <w:p>
      <w:pPr>
        <w:pStyle w:val="ListBullet"/>
      </w:pPr>
      <w:r>
        <w:t>The segments should be treated as behavioral groups rather than fixed customer identities; customer behavior can change over time.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K-Means assumes clusters are reasonably separable in the chosen transformed feature space and uses distance-based centroids.</w:t>
      </w:r>
    </w:p>
    <w:p>
      <w:pPr>
        <w:pStyle w:val="ListBullet"/>
      </w:pPr>
      <w:r>
        <w:t>Only RFM behavior was used for the final clustering, so product preferences, country, demographics, and category-level behavior were not included.</w:t>
      </w:r>
    </w:p>
    <w:p>
      <w:pPr>
        <w:pStyle w:val="ListBullet"/>
      </w:pPr>
      <w:r>
        <w:t>The dataset covers a historical transaction period, so the segments describe behavior within that observation window rather than current customer status.</w:t>
      </w:r>
    </w:p>
    <w:p>
      <w:pPr>
        <w:pStyle w:val="ListBullet"/>
      </w:pPr>
      <w:r>
        <w:t>The choice of K is sensitive to the features and preprocessing method; the reported K=2 result is specific to this analysis design.</w:t>
      </w:r>
    </w:p>
    <w:p>
      <w:pPr>
        <w:pStyle w:val="Heading1"/>
      </w:pPr>
      <w:r>
        <w:t>10. Conclusion</w:t>
      </w:r>
    </w:p>
    <w:p>
      <w:r>
        <w:t>This analysis demonstrates an end-to-end unsupervised learning workflow for customer segmentation. After preprocessing transaction data, customer-level RFM features were engineered, transformed, and standardized. K-Means clustering was evaluated across several candidate cluster counts. K=2 produced the highest silhouette score among the tested values, resulting in two distinguishable customer behavior segments. The cluster profiles provide a practical foundation for retention, re-engagement, and customer-value analysis.</w:t>
      </w:r>
    </w:p>
    <w:p>
      <w:pPr>
        <w:pStyle w:val="Heading1"/>
      </w:pPr>
      <w:r>
        <w:t>11. Tools and Libraries</w:t>
      </w:r>
    </w:p>
    <w:p>
      <w:r>
        <w:t>Python, Pandas, NumPy, Matplotlib, Scikit-learn, and Jupyter/Google Colab were used for the analysis.</w:t>
      </w:r>
    </w:p>
    <w:p>
      <w:pPr>
        <w:pStyle w:val="Heading1"/>
      </w:pPr>
      <w:r>
        <w:t>12. Reproducibility</w:t>
      </w:r>
    </w:p>
    <w:p>
      <w:r>
        <w:t>The accompanying Jupyter Notebook contains the complete implementation. The model uses random_state=42 and n_init=20 so that the K-Means procedure can be reproduced consistently.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