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onsolas" w:cs="Consolas" w:eastAsia="Consolas" w:hAnsi="Consolas"/>
          <w:b/>
          <w:bCs/>
          <w:color w:val="9A6B1E"/>
          <w:spacing w:val="30"/>
          <w:sz w:val="19"/>
          <w:szCs w:val="19"/>
        </w:rPr>
        <w:t xml:space="preserve">MEDIBOOK  ·  ENGINEERING PLAYBOOK</w:t>
      </w:r>
    </w:p>
    <w:p>
      <w:pPr>
        <w:spacing w:after="0" w:before="220"/>
      </w:pPr>
      <w:r>
        <w:rPr>
          <w:rFonts w:ascii="Calibri" w:cs="Calibri" w:eastAsia="Calibri" w:hAnsi="Calibri"/>
          <w:b/>
          <w:bCs/>
          <w:color w:val="101820"/>
          <w:sz w:val="64"/>
          <w:szCs w:val="64"/>
        </w:rPr>
        <w:t xml:space="preserve">Building with Claude Code</w:t>
      </w:r>
    </w:p>
    <w:p>
      <w:pPr>
        <w:pBdr>
          <w:bottom w:val="single" w:color="9A6B1E" w:sz="12" w:space="14"/>
        </w:pBdr>
        <w:spacing w:after="300" w:before="160"/>
      </w:pPr>
      <w:r>
        <w:rPr>
          <w:sz w:val="2"/>
          <w:szCs w:val="2"/>
        </w:rPr>
        <w:t xml:space="preserve"/>
      </w:r>
    </w:p>
    <w:p>
      <w:pPr>
        <w:spacing w:after="500" w:line="320"/>
      </w:pPr>
      <w:r>
        <w:rPr>
          <w:rFonts w:ascii="Calibri" w:cs="Calibri" w:eastAsia="Calibri" w:hAnsi="Calibri"/>
          <w:color w:val="4E5F68"/>
          <w:sz w:val="24"/>
          <w:szCs w:val="24"/>
        </w:rPr>
        <w:t xml:space="preserve">How our team turned an AI pair-programmer into a disciplined, traceable engineering process — for a multi-tenant healthcare platform where "probably fine" is not good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Subject</w:t>
            </w:r>
          </w:p>
        </w:tc>
        <w:tc>
          <w:tcPr>
            <w:tcW w:type="dxa" w:w="716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Detail</w:t>
            </w:r>
          </w:p>
        </w:tc>
      </w:tr>
      <w:tr>
        <w:tc>
          <w:tcPr>
            <w:tcW w:type="dxa" w:w="22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Platform</w:t>
            </w:r>
          </w:p>
        </w:tc>
        <w:tc>
          <w:tcPr>
            <w:tcW w:type="dxa" w:w="71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MediBook / HealthSync — multi-tenant appointment booking SaaS (India market)</w:t>
            </w:r>
          </w:p>
        </w:tc>
      </w:tr>
      <w:tr>
        <w:tc>
          <w:tcPr>
            <w:tcW w:type="dxa" w:w="22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Stack</w:t>
            </w:r>
          </w:p>
        </w:tc>
        <w:tc>
          <w:tcPr>
            <w:tcW w:type="dxa" w:w="71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NestJS · Apollo GraphQL · Prisma · PostgreSQL · Redis · React + MUI + Vite</w:t>
            </w:r>
          </w:p>
        </w:tc>
      </w:tr>
      <w:tr>
        <w:tc>
          <w:tcPr>
            <w:tcW w:type="dxa" w:w="22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Testing</w:t>
            </w:r>
          </w:p>
        </w:tc>
        <w:tc>
          <w:tcPr>
            <w:tcW w:type="dxa" w:w="71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Jest (unit) · Playwright (end-to-end, against the real backend)</w:t>
            </w:r>
          </w:p>
        </w:tc>
      </w:tr>
      <w:tr>
        <w:tc>
          <w:tcPr>
            <w:tcW w:type="dxa" w:w="22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Scale</w:t>
            </w:r>
          </w:p>
        </w:tc>
        <w:tc>
          <w:tcPr>
            <w:tcW w:type="dxa" w:w="71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22 backend domains · 43 test suites · 477 tests</w:t>
            </w:r>
          </w:p>
        </w:tc>
      </w:tr>
      <w:tr>
        <w:tc>
          <w:tcPr>
            <w:tcW w:type="dxa" w:w="22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Audience</w:t>
            </w:r>
          </w:p>
        </w:tc>
        <w:tc>
          <w:tcPr>
            <w:tcW w:type="dxa" w:w="71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Engineers adopting AI-assisted development on a real production codebase</w:t>
            </w:r>
          </w:p>
        </w:tc>
      </w:tr>
    </w:tbl>
    <w:p>
      <w:r>
        <w:br w:type="page"/>
      </w:r>
    </w:p>
    <w:p>
      <w:pPr>
        <w:pStyle w:val="Heading1"/>
        <w:spacing w:after="160" w:before="360"/>
      </w:pPr>
      <w:r>
        <w:rPr>
          <w:rFonts w:ascii="Calibri" w:cs="Calibri" w:eastAsia="Calibri" w:hAnsi="Calibri"/>
          <w:b/>
          <w:bCs/>
          <w:color w:val="101820"/>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01820"/>
          <w:sz w:val="32"/>
          <w:szCs w:val="32"/>
        </w:rPr>
        <w:t xml:space="preserve">1. Why we changed how we work</w:t>
      </w:r>
    </w:p>
    <w:p>
      <w:pPr>
        <w:spacing w:after="140" w:line="300"/>
      </w:pPr>
      <w:r>
        <w:rPr>
          <w:rFonts w:ascii="Calibri" w:cs="Calibri" w:eastAsia="Calibri" w:hAnsi="Calibri"/>
          <w:i w:val="false"/>
          <w:iCs w:val="false"/>
          <w:color w:val="101820"/>
          <w:sz w:val="21"/>
          <w:szCs w:val="21"/>
        </w:rPr>
        <w:t xml:space="preserve">AI writes code quickly. Left untracked, it writes code quickly in the wrong direction — and the cost of that only shows up weeks later, when nobody can reconstruct why a decision was made.</w:t>
      </w:r>
    </w:p>
    <w:p>
      <w:pPr>
        <w:spacing w:after="140" w:line="300"/>
      </w:pPr>
      <w:r>
        <w:rPr>
          <w:rFonts w:ascii="Calibri" w:cs="Calibri" w:eastAsia="Calibri" w:hAnsi="Calibri"/>
          <w:i w:val="false"/>
          <w:iCs w:val="false"/>
          <w:color w:val="101820"/>
          <w:sz w:val="21"/>
          <w:szCs w:val="21"/>
        </w:rPr>
        <w:t xml:space="preserve">Four failure modes drove this playbook. Each of them was something we actually hit, not a hypothetical:</w:t>
      </w:r>
    </w:p>
    <w:p>
      <w:pPr>
        <w:pStyle w:val="ListParagraph"/>
        <w:numPr>
          <w:ilvl w:val="0"/>
          <w:numId w:val="2"/>
        </w:numPr>
        <w:spacing w:after="80" w:line="290"/>
      </w:pPr>
      <w:r>
        <w:rPr>
          <w:rFonts w:ascii="Calibri" w:cs="Calibri" w:eastAsia="Calibri" w:hAnsi="Calibri"/>
          <w:b/>
          <w:bCs/>
          <w:i w:val="false"/>
          <w:iCs w:val="false"/>
          <w:color w:val="101820"/>
          <w:sz w:val="21"/>
          <w:szCs w:val="21"/>
        </w:rPr>
        <w:t xml:space="preserve">No memory between sessions. </w:t>
      </w:r>
      <w:r>
        <w:rPr>
          <w:rFonts w:ascii="Calibri" w:cs="Calibri" w:eastAsia="Calibri" w:hAnsi="Calibri"/>
          <w:b w:val="false"/>
          <w:bCs w:val="false"/>
          <w:i w:val="false"/>
          <w:iCs w:val="false"/>
          <w:color w:val="101820"/>
          <w:sz w:val="21"/>
          <w:szCs w:val="21"/>
        </w:rPr>
        <w:t xml:space="preserve">The same bug gets re-explained, re-found, and re-fixed differently each time. Context that lived only in a chat window is context that is gone tomorrow.</w:t>
      </w:r>
    </w:p>
    <w:p>
      <w:pPr>
        <w:pStyle w:val="ListParagraph"/>
        <w:numPr>
          <w:ilvl w:val="0"/>
          <w:numId w:val="2"/>
        </w:numPr>
        <w:spacing w:after="80" w:line="290"/>
      </w:pPr>
      <w:r>
        <w:rPr>
          <w:rFonts w:ascii="Calibri" w:cs="Calibri" w:eastAsia="Calibri" w:hAnsi="Calibri"/>
          <w:b/>
          <w:bCs/>
          <w:i w:val="false"/>
          <w:iCs w:val="false"/>
          <w:color w:val="101820"/>
          <w:sz w:val="21"/>
          <w:szCs w:val="21"/>
        </w:rPr>
        <w:t xml:space="preserve">"Looks done" is not done. </w:t>
      </w:r>
      <w:r>
        <w:rPr>
          <w:rFonts w:ascii="Calibri" w:cs="Calibri" w:eastAsia="Calibri" w:hAnsi="Calibri"/>
          <w:b w:val="false"/>
          <w:bCs w:val="false"/>
          <w:i w:val="false"/>
          <w:iCs w:val="false"/>
          <w:color w:val="101820"/>
          <w:sz w:val="21"/>
          <w:szCs w:val="21"/>
        </w:rPr>
        <w:t xml:space="preserve">Features shipped on the assumption they worked, with no artifact proving a test ever ran against them.</w:t>
      </w:r>
    </w:p>
    <w:p>
      <w:pPr>
        <w:pStyle w:val="ListParagraph"/>
        <w:numPr>
          <w:ilvl w:val="0"/>
          <w:numId w:val="2"/>
        </w:numPr>
        <w:spacing w:after="80" w:line="290"/>
      </w:pPr>
      <w:r>
        <w:rPr>
          <w:rFonts w:ascii="Calibri" w:cs="Calibri" w:eastAsia="Calibri" w:hAnsi="Calibri"/>
          <w:b/>
          <w:bCs/>
          <w:i w:val="false"/>
          <w:iCs w:val="false"/>
          <w:color w:val="101820"/>
          <w:sz w:val="21"/>
          <w:szCs w:val="21"/>
        </w:rPr>
        <w:t xml:space="preserve">Documentation drifts </w:t>
      </w:r>
      <w:r>
        <w:rPr>
          <w:rFonts w:ascii="Calibri" w:cs="Calibri" w:eastAsia="Calibri" w:hAnsi="Calibri"/>
          <w:b w:val="false"/>
          <w:bCs w:val="false"/>
          <w:i w:val="false"/>
          <w:iCs w:val="false"/>
          <w:color w:val="101820"/>
          <w:sz w:val="21"/>
          <w:szCs w:val="21"/>
        </w:rPr>
        <w:t xml:space="preserve">the moment the code underneath it changes, and a stale index is worse than no index — it actively misleads.</w:t>
      </w:r>
    </w:p>
    <w:p>
      <w:pPr>
        <w:pStyle w:val="ListParagraph"/>
        <w:numPr>
          <w:ilvl w:val="0"/>
          <w:numId w:val="2"/>
        </w:numPr>
        <w:spacing w:after="80" w:line="290"/>
      </w:pPr>
      <w:r>
        <w:rPr>
          <w:rFonts w:ascii="Calibri" w:cs="Calibri" w:eastAsia="Calibri" w:hAnsi="Calibri"/>
          <w:b/>
          <w:bCs/>
          <w:i w:val="false"/>
          <w:iCs w:val="false"/>
          <w:color w:val="101820"/>
          <w:sz w:val="21"/>
          <w:szCs w:val="21"/>
        </w:rPr>
        <w:t xml:space="preserve">Multi-tenant health data </w:t>
      </w:r>
      <w:r>
        <w:rPr>
          <w:rFonts w:ascii="Calibri" w:cs="Calibri" w:eastAsia="Calibri" w:hAnsi="Calibri"/>
          <w:b w:val="false"/>
          <w:bCs w:val="false"/>
          <w:i w:val="false"/>
          <w:iCs w:val="false"/>
          <w:color w:val="101820"/>
          <w:sz w:val="21"/>
          <w:szCs w:val="21"/>
        </w:rPr>
        <w:t xml:space="preserve">cannot run on a confident-sounding "yes, that query is scoped correctly." It needs a test that proves cross-tenant access is rejected.</w:t>
      </w:r>
    </w:p>
    <w:p>
      <w:pPr>
        <w:pBdr>
          <w:left w:val="single" w:color="9A6B1E" w:sz="18" w:space="10"/>
        </w:pBdr>
        <w:spacing w:after="180" w:before="140" w:line="290"/>
        <w:ind w:left="201"/>
      </w:pPr>
      <w:r>
        <w:rPr>
          <w:rFonts w:ascii="Calibri" w:cs="Calibri" w:eastAsia="Calibri" w:hAnsi="Calibri"/>
          <w:b/>
          <w:bCs/>
          <w:color w:val="9A6B1E"/>
          <w:sz w:val="20"/>
          <w:szCs w:val="20"/>
        </w:rPr>
        <w:t xml:space="preserve">The principle:  </w:t>
      </w:r>
      <w:r>
        <w:rPr>
          <w:rFonts w:ascii="Calibri" w:cs="Calibri" w:eastAsia="Calibri" w:hAnsi="Calibri"/>
          <w:color w:val="101820"/>
          <w:sz w:val="21"/>
          <w:szCs w:val="21"/>
        </w:rPr>
        <w:t xml:space="preserve">The discipline was always the right answer. What changed is that Claude Code makes it cheap enough to actually maintain.</w:t>
      </w:r>
    </w:p>
    <w:p>
      <w:pPr>
        <w:pStyle w:val="Heading1"/>
        <w:spacing w:after="160" w:before="360"/>
      </w:pPr>
      <w:r>
        <w:rPr>
          <w:rFonts w:ascii="Calibri" w:cs="Calibri" w:eastAsia="Calibri" w:hAnsi="Calibri"/>
          <w:b/>
          <w:bCs/>
          <w:color w:val="101820"/>
          <w:sz w:val="32"/>
          <w:szCs w:val="32"/>
        </w:rPr>
        <w:t xml:space="preserve">2. The core idea: one file the AI reads first</w:t>
      </w:r>
    </w:p>
    <w:p>
      <w:pPr>
        <w:spacing w:after="140" w:line="300"/>
      </w:pPr>
      <w:r>
        <w:rPr>
          <w:rFonts w:ascii="Calibri" w:cs="Calibri" w:eastAsia="Calibri" w:hAnsi="Calibri"/>
          <w:b w:val="false"/>
          <w:bCs w:val="false"/>
          <w:i w:val="false"/>
          <w:iCs w:val="false"/>
          <w:color w:val="101820"/>
          <w:sz w:val="21"/>
          <w:szCs w:val="21"/>
        </w:rPr>
        <w:t xml:space="preserve">Everything hangs off </w:t>
      </w:r>
      <w:r>
        <w:rPr>
          <w:rFonts w:ascii="Consolas" w:cs="Consolas" w:eastAsia="Consolas" w:hAnsi="Consolas"/>
          <w:b w:val="false"/>
          <w:bCs w:val="false"/>
          <w:i w:val="false"/>
          <w:iCs w:val="false"/>
          <w:color w:val="1B7A71"/>
          <w:sz w:val="19"/>
          <w:szCs w:val="19"/>
        </w:rPr>
        <w:t xml:space="preserve">CLAUDE.md</w:t>
      </w:r>
      <w:r>
        <w:rPr>
          <w:rFonts w:ascii="Calibri" w:cs="Calibri" w:eastAsia="Calibri" w:hAnsi="Calibri"/>
          <w:b w:val="false"/>
          <w:bCs w:val="false"/>
          <w:i w:val="false"/>
          <w:iCs w:val="false"/>
          <w:color w:val="101820"/>
          <w:sz w:val="21"/>
          <w:szCs w:val="21"/>
        </w:rPr>
        <w:t xml:space="preserve">, a single file at the repo root that Claude Code loads at the start of every session. Its job is deliberately narrow: it carries </w:t>
      </w:r>
      <w:r>
        <w:rPr>
          <w:rFonts w:ascii="Calibri" w:cs="Calibri" w:eastAsia="Calibri" w:hAnsi="Calibri"/>
          <w:b/>
          <w:bCs/>
          <w:i w:val="false"/>
          <w:iCs w:val="false"/>
          <w:color w:val="101820"/>
          <w:sz w:val="21"/>
          <w:szCs w:val="21"/>
        </w:rPr>
        <w:t xml:space="preserve">pointers and rules only</w:t>
      </w:r>
      <w:r>
        <w:rPr>
          <w:rFonts w:ascii="Calibri" w:cs="Calibri" w:eastAsia="Calibri" w:hAnsi="Calibri"/>
          <w:b w:val="false"/>
          <w:bCs w:val="false"/>
          <w:i w:val="false"/>
          <w:iCs w:val="false"/>
          <w:color w:val="101820"/>
          <w:sz w:val="21"/>
          <w:szCs w:val="21"/>
        </w:rPr>
        <w:t xml:space="preserve"> — never document content.</w:t>
      </w:r>
    </w:p>
    <w:p>
      <w:pPr>
        <w:spacing w:after="140" w:line="300"/>
      </w:pPr>
      <w:r>
        <w:rPr>
          <w:rFonts w:ascii="Calibri" w:cs="Calibri" w:eastAsia="Calibri" w:hAnsi="Calibri"/>
          <w:i w:val="false"/>
          <w:iCs w:val="false"/>
          <w:color w:val="101820"/>
          <w:sz w:val="21"/>
          <w:szCs w:val="21"/>
        </w:rPr>
        <w:t xml:space="preserve">It imports six indexes, so Claude starts each session with a map of the project instead of a blank slate:</w:t>
      </w:r>
    </w:p>
    <w:p>
      <w:pPr>
        <w:shd w:fill="F1F3F2" w:val="clear"/>
        <w:spacing w:after="0" w:line="260"/>
        <w:ind w:left="172" w:right="172"/>
      </w:pPr>
      <w:r>
        <w:rPr>
          <w:rFonts w:ascii="Consolas" w:cs="Consolas" w:eastAsia="Consolas" w:hAnsi="Consolas"/>
          <w:color w:val="101820"/>
          <w:sz w:val="18"/>
          <w:szCs w:val="18"/>
        </w:rPr>
        <w:t xml:space="preserve">@requirements/README.md</w:t>
      </w:r>
    </w:p>
    <w:p>
      <w:pPr>
        <w:shd w:fill="F1F3F2" w:val="clear"/>
        <w:spacing w:after="0" w:line="260"/>
        <w:ind w:left="172" w:right="172"/>
      </w:pPr>
      <w:r>
        <w:rPr>
          <w:rFonts w:ascii="Consolas" w:cs="Consolas" w:eastAsia="Consolas" w:hAnsi="Consolas"/>
          <w:color w:val="101820"/>
          <w:sz w:val="18"/>
          <w:szCs w:val="18"/>
        </w:rPr>
        <w:t xml:space="preserve">@implementation-plans/README.md</w:t>
      </w:r>
    </w:p>
    <w:p>
      <w:pPr>
        <w:shd w:fill="F1F3F2" w:val="clear"/>
        <w:spacing w:after="0" w:line="260"/>
        <w:ind w:left="172" w:right="172"/>
      </w:pPr>
      <w:r>
        <w:rPr>
          <w:rFonts w:ascii="Consolas" w:cs="Consolas" w:eastAsia="Consolas" w:hAnsi="Consolas"/>
          <w:color w:val="101820"/>
          <w:sz w:val="18"/>
          <w:szCs w:val="18"/>
        </w:rPr>
        <w:t xml:space="preserve">@test-plans/README.md</w:t>
      </w:r>
    </w:p>
    <w:p>
      <w:pPr>
        <w:shd w:fill="F1F3F2" w:val="clear"/>
        <w:spacing w:after="0" w:line="260"/>
        <w:ind w:left="172" w:right="172"/>
      </w:pPr>
      <w:r>
        <w:rPr>
          <w:rFonts w:ascii="Consolas" w:cs="Consolas" w:eastAsia="Consolas" w:hAnsi="Consolas"/>
          <w:color w:val="101820"/>
          <w:sz w:val="18"/>
          <w:szCs w:val="18"/>
        </w:rPr>
        <w:t xml:space="preserve">@test-results/README.md</w:t>
      </w:r>
    </w:p>
    <w:p>
      <w:pPr>
        <w:shd w:fill="F1F3F2" w:val="clear"/>
        <w:spacing w:after="0" w:line="260"/>
        <w:ind w:left="172" w:right="172"/>
      </w:pPr>
      <w:r>
        <w:rPr>
          <w:rFonts w:ascii="Consolas" w:cs="Consolas" w:eastAsia="Consolas" w:hAnsi="Consolas"/>
          <w:color w:val="101820"/>
          <w:sz w:val="18"/>
          <w:szCs w:val="18"/>
        </w:rPr>
        <w:t xml:space="preserve">@test-suggestions/README.md</w:t>
      </w:r>
    </w:p>
    <w:p>
      <w:pPr>
        <w:shd w:fill="F1F3F2" w:val="clear"/>
        <w:spacing w:after="160" w:line="260"/>
        <w:ind w:left="172" w:right="172"/>
      </w:pPr>
      <w:r>
        <w:rPr>
          <w:rFonts w:ascii="Consolas" w:cs="Consolas" w:eastAsia="Consolas" w:hAnsi="Consolas"/>
          <w:color w:val="101820"/>
          <w:sz w:val="18"/>
          <w:szCs w:val="18"/>
        </w:rPr>
        <w:t xml:space="preserve">@context/README.md</w:t>
      </w:r>
    </w:p>
    <w:p>
      <w:pPr>
        <w:spacing w:after="140" w:line="300"/>
      </w:pPr>
      <w:r>
        <w:rPr>
          <w:rFonts w:ascii="Calibri" w:cs="Calibri" w:eastAsia="Calibri" w:hAnsi="Calibri"/>
          <w:i w:val="false"/>
          <w:iCs w:val="false"/>
          <w:color w:val="101820"/>
          <w:sz w:val="21"/>
          <w:szCs w:val="21"/>
        </w:rPr>
        <w:t xml:space="preserve">Each index is counts plus links — cheap to load, fast to scan. Individual documents get opened on demand, only when the work actually needs them. That distinction is what keeps the context window useful on a large codebase.</w:t>
      </w:r>
    </w:p>
    <w:p>
      <w:pPr>
        <w:pStyle w:val="Heading1"/>
        <w:spacing w:after="160" w:before="360"/>
      </w:pPr>
      <w:r>
        <w:rPr>
          <w:rFonts w:ascii="Calibri" w:cs="Calibri" w:eastAsia="Calibri" w:hAnsi="Calibri"/>
          <w:b/>
          <w:bCs/>
          <w:color w:val="101820"/>
          <w:sz w:val="32"/>
          <w:szCs w:val="32"/>
        </w:rPr>
        <w:t xml:space="preserve">3. The documentation architecture</w:t>
      </w:r>
    </w:p>
    <w:p>
      <w:pPr>
        <w:spacing w:after="140" w:line="300"/>
      </w:pPr>
      <w:r>
        <w:rPr>
          <w:rFonts w:ascii="Calibri" w:cs="Calibri" w:eastAsia="Calibri" w:hAnsi="Calibri"/>
          <w:i w:val="false"/>
          <w:iCs w:val="false"/>
          <w:color w:val="101820"/>
          <w:sz w:val="21"/>
          <w:szCs w:val="21"/>
        </w:rPr>
        <w:t xml:space="preserve">Five documentation roots, each with an identical internal shape, plus a context layer that links a single work item end to end.</w:t>
      </w:r>
    </w:p>
    <w:p>
      <w:pPr>
        <w:shd w:fill="F1F3F2" w:val="clear"/>
        <w:spacing w:after="0" w:line="260"/>
        <w:ind w:left="172" w:right="172"/>
      </w:pPr>
      <w:r>
        <w:rPr>
          <w:rFonts w:ascii="Consolas" w:cs="Consolas" w:eastAsia="Consolas" w:hAnsi="Consolas"/>
          <w:color w:val="101820"/>
          <w:sz w:val="18"/>
          <w:szCs w:val="18"/>
        </w:rPr>
        <w:t xml:space="preserve">requirements/</w:t>
      </w:r>
    </w:p>
    <w:p>
      <w:pPr>
        <w:shd w:fill="F1F3F2" w:val="clear"/>
        <w:spacing w:after="0" w:line="260"/>
        <w:ind w:left="172" w:right="172"/>
      </w:pPr>
      <w:r>
        <w:rPr>
          <w:rFonts w:ascii="Consolas" w:cs="Consolas" w:eastAsia="Consolas" w:hAnsi="Consolas"/>
          <w:color w:val="101820"/>
          <w:sz w:val="18"/>
          <w:szCs w:val="18"/>
        </w:rPr>
        <w:t xml:space="preserve">├── README.md              ← index</w:t>
      </w:r>
    </w:p>
    <w:p>
      <w:pPr>
        <w:shd w:fill="F1F3F2" w:val="clear"/>
        <w:spacing w:after="0" w:line="260"/>
        <w:ind w:left="172" w:right="172"/>
      </w:pPr>
      <w:r>
        <w:rPr>
          <w:rFonts w:ascii="Consolas" w:cs="Consolas" w:eastAsia="Consolas" w:hAnsi="Consolas"/>
          <w:color w:val="101820"/>
          <w:sz w:val="18"/>
          <w:szCs w:val="18"/>
        </w:rPr>
        <w:t xml:space="preserve">├── &lt;feature-name&gt;/</w:t>
      </w:r>
    </w:p>
    <w:p>
      <w:pPr>
        <w:shd w:fill="F1F3F2" w:val="clear"/>
        <w:spacing w:after="0" w:line="260"/>
        <w:ind w:left="172" w:right="172"/>
      </w:pPr>
      <w:r>
        <w:rPr>
          <w:rFonts w:ascii="Consolas" w:cs="Consolas" w:eastAsia="Consolas" w:hAnsi="Consolas"/>
          <w:color w:val="101820"/>
          <w:sz w:val="18"/>
          <w:szCs w:val="18"/>
        </w:rPr>
        <w:t xml:space="preserve">│   ├── README.md          ← index</w:t>
      </w:r>
    </w:p>
    <w:p>
      <w:pPr>
        <w:shd w:fill="F1F3F2" w:val="clear"/>
        <w:spacing w:after="0" w:line="260"/>
        <w:ind w:left="172" w:right="172"/>
      </w:pPr>
      <w:r>
        <w:rPr>
          <w:rFonts w:ascii="Consolas" w:cs="Consolas" w:eastAsia="Consolas" w:hAnsi="Consolas"/>
          <w:color w:val="101820"/>
          <w:sz w:val="18"/>
          <w:szCs w:val="18"/>
        </w:rPr>
        <w:t xml:space="preserve">│   ├── requirement/  *.md</w:t>
      </w:r>
    </w:p>
    <w:p>
      <w:pPr>
        <w:shd w:fill="F1F3F2" w:val="clear"/>
        <w:spacing w:after="0" w:line="260"/>
        <w:ind w:left="172" w:right="172"/>
      </w:pPr>
      <w:r>
        <w:rPr>
          <w:rFonts w:ascii="Consolas" w:cs="Consolas" w:eastAsia="Consolas" w:hAnsi="Consolas"/>
          <w:color w:val="101820"/>
          <w:sz w:val="18"/>
          <w:szCs w:val="18"/>
        </w:rPr>
        <w:t xml:space="preserve">│   ├── improvement/  *.md</w:t>
      </w:r>
    </w:p>
    <w:p>
      <w:pPr>
        <w:shd w:fill="F1F3F2" w:val="clear"/>
        <w:spacing w:after="0" w:line="260"/>
        <w:ind w:left="172" w:right="172"/>
      </w:pPr>
      <w:r>
        <w:rPr>
          <w:rFonts w:ascii="Consolas" w:cs="Consolas" w:eastAsia="Consolas" w:hAnsi="Consolas"/>
          <w:color w:val="101820"/>
          <w:sz w:val="18"/>
          <w:szCs w:val="18"/>
        </w:rPr>
        <w:t xml:space="preserve">│   └── bug/          *.md</w:t>
      </w:r>
    </w:p>
    <w:p>
      <w:pPr>
        <w:shd w:fill="F1F3F2" w:val="clear"/>
        <w:spacing w:after="0" w:line="260"/>
        <w:ind w:left="172" w:right="172"/>
      </w:pPr>
      <w:r>
        <w:rPr>
          <w:rFonts w:ascii="Consolas" w:cs="Consolas" w:eastAsia="Consolas" w:hAnsi="Consolas"/>
          <w:color w:val="101820"/>
          <w:sz w:val="18"/>
          <w:szCs w:val="18"/>
        </w:rPr>
        <w:t xml:space="preserve">└── ...</w:t>
      </w:r>
    </w:p>
    <w:p>
      <w:pPr>
        <w:shd w:fill="F1F3F2" w:val="clear"/>
        <w:spacing w:after="0" w:line="260"/>
        <w:ind w:left="172" w:right="172"/>
      </w:pPr>
      <w:r>
        <w:rPr>
          <w:rFonts w:ascii="Consolas" w:cs="Consolas" w:eastAsia="Consolas" w:hAnsi="Consolas"/>
          <w:color w:val="101820"/>
          <w:sz w:val="18"/>
          <w:szCs w:val="18"/>
        </w:rPr>
        <w:t xml:space="preserve"> </w:t>
      </w:r>
    </w:p>
    <w:p>
      <w:pPr>
        <w:shd w:fill="F1F3F2" w:val="clear"/>
        <w:spacing w:after="0" w:line="260"/>
        <w:ind w:left="172" w:right="172"/>
      </w:pPr>
      <w:r>
        <w:rPr>
          <w:rFonts w:ascii="Consolas" w:cs="Consolas" w:eastAsia="Consolas" w:hAnsi="Consolas"/>
          <w:color w:val="101820"/>
          <w:sz w:val="18"/>
          <w:szCs w:val="18"/>
        </w:rPr>
        <w:t xml:space="preserve">implementation-plans/      same shape</w:t>
      </w:r>
    </w:p>
    <w:p>
      <w:pPr>
        <w:shd w:fill="F1F3F2" w:val="clear"/>
        <w:spacing w:after="0" w:line="260"/>
        <w:ind w:left="172" w:right="172"/>
      </w:pPr>
      <w:r>
        <w:rPr>
          <w:rFonts w:ascii="Consolas" w:cs="Consolas" w:eastAsia="Consolas" w:hAnsi="Consolas"/>
          <w:color w:val="101820"/>
          <w:sz w:val="18"/>
          <w:szCs w:val="18"/>
        </w:rPr>
        <w:t xml:space="preserve">test-plans/                same shape</w:t>
      </w:r>
    </w:p>
    <w:p>
      <w:pPr>
        <w:shd w:fill="F1F3F2" w:val="clear"/>
        <w:spacing w:after="0" w:line="260"/>
        <w:ind w:left="172" w:right="172"/>
      </w:pPr>
      <w:r>
        <w:rPr>
          <w:rFonts w:ascii="Consolas" w:cs="Consolas" w:eastAsia="Consolas" w:hAnsi="Consolas"/>
          <w:color w:val="101820"/>
          <w:sz w:val="18"/>
          <w:szCs w:val="18"/>
        </w:rPr>
        <w:t xml:space="preserve">test-suggestions/          same shape</w:t>
      </w:r>
    </w:p>
    <w:p>
      <w:pPr>
        <w:shd w:fill="F1F3F2" w:val="clear"/>
        <w:spacing w:after="0" w:line="260"/>
        <w:ind w:left="172" w:right="172"/>
      </w:pPr>
      <w:r>
        <w:rPr>
          <w:rFonts w:ascii="Consolas" w:cs="Consolas" w:eastAsia="Consolas" w:hAnsi="Consolas"/>
          <w:color w:val="101820"/>
          <w:sz w:val="18"/>
          <w:szCs w:val="18"/>
        </w:rPr>
        <w:t xml:space="preserve">test-results/              same shape + _archive/</w:t>
      </w:r>
    </w:p>
    <w:p>
      <w:pPr>
        <w:shd w:fill="F1F3F2" w:val="clear"/>
        <w:spacing w:after="0" w:line="260"/>
        <w:ind w:left="172" w:right="172"/>
      </w:pPr>
      <w:r>
        <w:rPr>
          <w:rFonts w:ascii="Consolas" w:cs="Consolas" w:eastAsia="Consolas" w:hAnsi="Consolas"/>
          <w:color w:val="101820"/>
          <w:sz w:val="18"/>
          <w:szCs w:val="18"/>
        </w:rPr>
        <w:t xml:space="preserve"> </w:t>
      </w:r>
    </w:p>
    <w:p>
      <w:pPr>
        <w:shd w:fill="F1F3F2" w:val="clear"/>
        <w:spacing w:after="0" w:line="260"/>
        <w:ind w:left="172" w:right="172"/>
      </w:pPr>
      <w:r>
        <w:rPr>
          <w:rFonts w:ascii="Consolas" w:cs="Consolas" w:eastAsia="Consolas" w:hAnsi="Consolas"/>
          <w:color w:val="101820"/>
          <w:sz w:val="18"/>
          <w:szCs w:val="18"/>
        </w:rPr>
        <w:t xml:space="preserve">context/</w:t>
      </w:r>
    </w:p>
    <w:p>
      <w:pPr>
        <w:shd w:fill="F1F3F2" w:val="clear"/>
        <w:spacing w:after="0" w:line="260"/>
        <w:ind w:left="172" w:right="172"/>
      </w:pPr>
      <w:r>
        <w:rPr>
          <w:rFonts w:ascii="Consolas" w:cs="Consolas" w:eastAsia="Consolas" w:hAnsi="Consolas"/>
          <w:color w:val="101820"/>
          <w:sz w:val="18"/>
          <w:szCs w:val="18"/>
        </w:rPr>
        <w:t xml:space="preserve">├── README.md              ← ACTIVE bundles</w:t>
      </w:r>
    </w:p>
    <w:p>
      <w:pPr>
        <w:shd w:fill="F1F3F2" w:val="clear"/>
        <w:spacing w:after="0" w:line="260"/>
        <w:ind w:left="172" w:right="172"/>
      </w:pPr>
      <w:r>
        <w:rPr>
          <w:rFonts w:ascii="Consolas" w:cs="Consolas" w:eastAsia="Consolas" w:hAnsi="Consolas"/>
          <w:color w:val="101820"/>
          <w:sz w:val="18"/>
          <w:szCs w:val="18"/>
        </w:rPr>
        <w:t xml:space="preserve">├── &lt;feature&gt;-&lt;yyyy-mm-dd&gt;/</w:t>
      </w:r>
    </w:p>
    <w:p>
      <w:pPr>
        <w:shd w:fill="F1F3F2" w:val="clear"/>
        <w:spacing w:after="0" w:line="260"/>
        <w:ind w:left="172" w:right="172"/>
      </w:pPr>
      <w:r>
        <w:rPr>
          <w:rFonts w:ascii="Consolas" w:cs="Consolas" w:eastAsia="Consolas" w:hAnsi="Consolas"/>
          <w:color w:val="101820"/>
          <w:sz w:val="18"/>
          <w:szCs w:val="18"/>
        </w:rPr>
        <w:t xml:space="preserve">│   └── manifest.md        ← links the full chain</w:t>
      </w:r>
    </w:p>
    <w:p>
      <w:pPr>
        <w:shd w:fill="F1F3F2" w:val="clear"/>
        <w:spacing w:after="160" w:line="260"/>
        <w:ind w:left="172" w:right="172"/>
      </w:pPr>
      <w:r>
        <w:rPr>
          <w:rFonts w:ascii="Consolas" w:cs="Consolas" w:eastAsia="Consolas" w:hAnsi="Consolas"/>
          <w:color w:val="101820"/>
          <w:sz w:val="18"/>
          <w:szCs w:val="18"/>
        </w:rPr>
        <w:t xml:space="preserve">└── archive/</w:t>
      </w:r>
    </w:p>
    <w:p>
      <w:pPr>
        <w:spacing w:after="140" w:line="300"/>
      </w:pPr>
      <w:r>
        <w:rPr>
          <w:rFonts w:ascii="Calibri" w:cs="Calibri" w:eastAsia="Calibri" w:hAnsi="Calibri"/>
          <w:i w:val="false"/>
          <w:iCs w:val="false"/>
          <w:color w:val="101820"/>
          <w:sz w:val="21"/>
          <w:szCs w:val="21"/>
        </w:rPr>
        <w:t xml:space="preserve">The repetition is the point. The same feature slug and the same three-way category split appear in all five roots, so once you know the shape you can navigate any part of the tree without a map.</w:t>
      </w:r>
    </w:p>
    <w:p>
      <w:pPr>
        <w:pStyle w:val="Heading2"/>
        <w:spacing w:after="120" w:before="280"/>
      </w:pPr>
      <w:r>
        <w:rPr>
          <w:rFonts w:ascii="Calibri" w:cs="Calibri" w:eastAsia="Calibri" w:hAnsi="Calibri"/>
          <w:b/>
          <w:bCs/>
          <w:color w:val="101820"/>
          <w:sz w:val="26"/>
          <w:szCs w:val="26"/>
        </w:rPr>
        <w:t xml:space="preserve">3.1  The ID scheme</w:t>
      </w:r>
    </w:p>
    <w:p>
      <w:pPr>
        <w:spacing w:after="140" w:line="300"/>
      </w:pPr>
      <w:r>
        <w:rPr>
          <w:rFonts w:ascii="Calibri" w:cs="Calibri" w:eastAsia="Calibri" w:hAnsi="Calibri"/>
          <w:i w:val="false"/>
          <w:iCs w:val="false"/>
          <w:color w:val="101820"/>
          <w:sz w:val="21"/>
          <w:szCs w:val="21"/>
        </w:rPr>
        <w:t xml:space="preserve">IDs are deliberately collision-free across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tblHeader/>
        </w:trPr>
        <w:tc>
          <w:tcPr>
            <w:tcW w:type="dxa" w:w="150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Prefix</w:t>
            </w:r>
          </w:p>
        </w:tc>
        <w:tc>
          <w:tcPr>
            <w:tcW w:type="dxa" w:w="556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Document type</w:t>
            </w:r>
          </w:p>
        </w:tc>
        <w:tc>
          <w:tcPr>
            <w:tcW w:type="dxa" w:w="230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Archived by age?</w:t>
            </w:r>
          </w:p>
        </w:tc>
      </w:tr>
      <w:tr>
        <w:tc>
          <w:tcPr>
            <w:tcW w:type="dxa" w:w="15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REQ###</w:t>
            </w:r>
          </w:p>
        </w:tc>
        <w:tc>
          <w:tcPr>
            <w:tcW w:type="dxa" w:w="55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Requirement — a new capability</w:t>
            </w:r>
          </w:p>
        </w:tc>
        <w:tc>
          <w:tcPr>
            <w:tcW w:type="dxa" w:w="2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B7A71"/>
                <w:sz w:val="20"/>
                <w:szCs w:val="20"/>
              </w:rPr>
              <w:t xml:space="preserve">Never</w:t>
            </w:r>
          </w:p>
        </w:tc>
      </w:tr>
      <w:tr>
        <w:tc>
          <w:tcPr>
            <w:tcW w:type="dxa" w:w="15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IMPR###</w:t>
            </w:r>
          </w:p>
        </w:tc>
        <w:tc>
          <w:tcPr>
            <w:tcW w:type="dxa" w:w="55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Improvement — change to something existing</w:t>
            </w:r>
          </w:p>
        </w:tc>
        <w:tc>
          <w:tcPr>
            <w:tcW w:type="dxa" w:w="2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B7A71"/>
                <w:sz w:val="20"/>
                <w:szCs w:val="20"/>
              </w:rPr>
              <w:t xml:space="preserve">Never</w:t>
            </w:r>
          </w:p>
        </w:tc>
      </w:tr>
      <w:tr>
        <w:tc>
          <w:tcPr>
            <w:tcW w:type="dxa" w:w="15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BUG###</w:t>
            </w:r>
          </w:p>
        </w:tc>
        <w:tc>
          <w:tcPr>
            <w:tcW w:type="dxa" w:w="55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Bug — defect against a shipped spec</w:t>
            </w:r>
          </w:p>
        </w:tc>
        <w:tc>
          <w:tcPr>
            <w:tcW w:type="dxa" w:w="2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B7A71"/>
                <w:sz w:val="20"/>
                <w:szCs w:val="20"/>
              </w:rPr>
              <w:t xml:space="preserve">Never</w:t>
            </w:r>
          </w:p>
        </w:tc>
      </w:tr>
      <w:tr>
        <w:tc>
          <w:tcPr>
            <w:tcW w:type="dxa" w:w="15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PLAN###</w:t>
            </w:r>
          </w:p>
        </w:tc>
        <w:tc>
          <w:tcPr>
            <w:tcW w:type="dxa" w:w="55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Implementation plan</w:t>
            </w:r>
          </w:p>
        </w:tc>
        <w:tc>
          <w:tcPr>
            <w:tcW w:type="dxa" w:w="2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B7A71"/>
                <w:sz w:val="20"/>
                <w:szCs w:val="20"/>
              </w:rPr>
              <w:t xml:space="preserve">Never</w:t>
            </w:r>
          </w:p>
        </w:tc>
      </w:tr>
      <w:tr>
        <w:tc>
          <w:tcPr>
            <w:tcW w:type="dxa" w:w="15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TS###</w:t>
            </w:r>
          </w:p>
        </w:tc>
        <w:tc>
          <w:tcPr>
            <w:tcW w:type="dxa" w:w="55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Test suggestion — UNREVIEWED</w:t>
            </w:r>
          </w:p>
        </w:tc>
        <w:tc>
          <w:tcPr>
            <w:tcW w:type="dxa" w:w="2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B7A71"/>
                <w:sz w:val="20"/>
                <w:szCs w:val="20"/>
              </w:rPr>
              <w:t xml:space="preserve">Never</w:t>
            </w:r>
          </w:p>
        </w:tc>
      </w:tr>
      <w:tr>
        <w:tc>
          <w:tcPr>
            <w:tcW w:type="dxa" w:w="15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TP###</w:t>
            </w:r>
          </w:p>
        </w:tc>
        <w:tc>
          <w:tcPr>
            <w:tcW w:type="dxa" w:w="55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Test plan — approved by a human</w:t>
            </w:r>
          </w:p>
        </w:tc>
        <w:tc>
          <w:tcPr>
            <w:tcW w:type="dxa" w:w="2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B7A71"/>
                <w:sz w:val="20"/>
                <w:szCs w:val="20"/>
              </w:rPr>
              <w:t xml:space="preserve">Never</w:t>
            </w:r>
          </w:p>
        </w:tc>
      </w:tr>
      <w:tr>
        <w:tc>
          <w:tcPr>
            <w:tcW w:type="dxa" w:w="15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TR###</w:t>
            </w:r>
          </w:p>
        </w:tc>
        <w:tc>
          <w:tcPr>
            <w:tcW w:type="dxa" w:w="55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Test result — a dated log entry</w:t>
            </w:r>
          </w:p>
        </w:tc>
        <w:tc>
          <w:tcPr>
            <w:tcW w:type="dxa" w:w="2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9A6B1E"/>
                <w:sz w:val="20"/>
                <w:szCs w:val="20"/>
              </w:rPr>
              <w:t xml:space="preserve">Yes — it is a time series</w:t>
            </w:r>
          </w:p>
        </w:tc>
      </w:tr>
    </w:tbl>
    <w:p>
      <w:pPr>
        <w:spacing w:after="160"/>
      </w:pPr>
      <w:r>
        <w:rPr>
          <w:sz w:val="2"/>
          <w:szCs w:val="2"/>
        </w:rPr>
        <w:t xml:space="preserve"/>
      </w:r>
    </w:p>
    <w:p>
      <w:pPr>
        <w:spacing w:after="140" w:line="300"/>
      </w:pPr>
      <w:r>
        <w:rPr>
          <w:rFonts w:ascii="Calibri" w:cs="Calibri" w:eastAsia="Calibri" w:hAnsi="Calibri"/>
          <w:b w:val="false"/>
          <w:bCs w:val="false"/>
          <w:i w:val="false"/>
          <w:iCs w:val="false"/>
          <w:color w:val="101820"/>
          <w:sz w:val="21"/>
          <w:szCs w:val="21"/>
        </w:rPr>
        <w:t xml:space="preserve">Every downstream document carries its parent </w:t>
      </w:r>
      <w:r>
        <w:rPr>
          <w:rFonts w:ascii="Consolas" w:cs="Consolas" w:eastAsia="Consolas" w:hAnsi="Consolas"/>
          <w:b w:val="false"/>
          <w:bCs w:val="false"/>
          <w:i w:val="false"/>
          <w:iCs w:val="false"/>
          <w:color w:val="1B7A71"/>
          <w:sz w:val="19"/>
          <w:szCs w:val="19"/>
        </w:rPr>
        <w:t xml:space="preserve">REQ###</w:t>
      </w:r>
      <w:r>
        <w:rPr>
          <w:rFonts w:ascii="Calibri" w:cs="Calibri" w:eastAsia="Calibri" w:hAnsi="Calibri"/>
          <w:b w:val="false"/>
          <w:bCs w:val="false"/>
          <w:i w:val="false"/>
          <w:iCs w:val="false"/>
          <w:color w:val="101820"/>
          <w:sz w:val="21"/>
          <w:szCs w:val="21"/>
        </w:rPr>
        <w:t xml:space="preserve"> / </w:t>
      </w:r>
      <w:r>
        <w:rPr>
          <w:rFonts w:ascii="Consolas" w:cs="Consolas" w:eastAsia="Consolas" w:hAnsi="Consolas"/>
          <w:b w:val="false"/>
          <w:bCs w:val="false"/>
          <w:i w:val="false"/>
          <w:iCs w:val="false"/>
          <w:color w:val="1B7A71"/>
          <w:sz w:val="19"/>
          <w:szCs w:val="19"/>
        </w:rPr>
        <w:t xml:space="preserve">IMPR###</w:t>
      </w:r>
      <w:r>
        <w:rPr>
          <w:rFonts w:ascii="Calibri" w:cs="Calibri" w:eastAsia="Calibri" w:hAnsi="Calibri"/>
          <w:b w:val="false"/>
          <w:bCs w:val="false"/>
          <w:i w:val="false"/>
          <w:iCs w:val="false"/>
          <w:color w:val="101820"/>
          <w:sz w:val="21"/>
          <w:szCs w:val="21"/>
        </w:rPr>
        <w:t xml:space="preserve"> / </w:t>
      </w:r>
      <w:r>
        <w:rPr>
          <w:rFonts w:ascii="Consolas" w:cs="Consolas" w:eastAsia="Consolas" w:hAnsi="Consolas"/>
          <w:b w:val="false"/>
          <w:bCs w:val="false"/>
          <w:i w:val="false"/>
          <w:iCs w:val="false"/>
          <w:color w:val="1B7A71"/>
          <w:sz w:val="19"/>
          <w:szCs w:val="19"/>
        </w:rPr>
        <w:t xml:space="preserve">BUG###</w:t>
      </w:r>
      <w:r>
        <w:rPr>
          <w:rFonts w:ascii="Calibri" w:cs="Calibri" w:eastAsia="Calibri" w:hAnsi="Calibri"/>
          <w:b w:val="false"/>
          <w:bCs w:val="false"/>
          <w:i w:val="false"/>
          <w:iCs w:val="false"/>
          <w:color w:val="101820"/>
          <w:sz w:val="21"/>
          <w:szCs w:val="21"/>
        </w:rPr>
        <w:t xml:space="preserve"> in frontmatter. That single field, plus a shared feature slug, is what makes "is REQ057 actually tested?" answerable in one click instead of an afternoon of grepping.</w:t>
      </w:r>
    </w:p>
    <w:p>
      <w:pPr>
        <w:pStyle w:val="Heading2"/>
        <w:spacing w:after="120" w:before="280"/>
      </w:pPr>
      <w:r>
        <w:rPr>
          <w:rFonts w:ascii="Calibri" w:cs="Calibri" w:eastAsia="Calibri" w:hAnsi="Calibri"/>
          <w:b/>
          <w:bCs/>
          <w:color w:val="101820"/>
          <w:sz w:val="26"/>
          <w:szCs w:val="26"/>
        </w:rPr>
        <w:t xml:space="preserve">3.2  The mandatory frontmatter</w:t>
      </w:r>
    </w:p>
    <w:p>
      <w:pPr>
        <w:spacing w:after="140" w:line="300"/>
      </w:pPr>
      <w:r>
        <w:rPr>
          <w:rFonts w:ascii="Calibri" w:cs="Calibri" w:eastAsia="Calibri" w:hAnsi="Calibri"/>
          <w:i w:val="false"/>
          <w:iCs w:val="false"/>
          <w:color w:val="101820"/>
          <w:sz w:val="21"/>
          <w:szCs w:val="21"/>
        </w:rPr>
        <w:t xml:space="preserve">Every markdown document under the five roots opens with the same YAML block. No exceptions — a document without it is invisible to the indexes and the sweep.</w:t>
      </w:r>
    </w:p>
    <w:p>
      <w:pPr>
        <w:shd w:fill="F1F3F2" w:val="clear"/>
        <w:spacing w:after="0" w:line="260"/>
        <w:ind w:left="172" w:right="172"/>
      </w:pPr>
      <w:r>
        <w:rPr>
          <w:rFonts w:ascii="Consolas" w:cs="Consolas" w:eastAsia="Consolas" w:hAnsi="Consolas"/>
          <w:color w:val="101820"/>
          <w:sz w:val="18"/>
          <w:szCs w:val="18"/>
        </w:rPr>
        <w:t xml:space="preserve">---</w:t>
      </w:r>
    </w:p>
    <w:p>
      <w:pPr>
        <w:shd w:fill="F1F3F2" w:val="clear"/>
        <w:spacing w:after="0" w:line="260"/>
        <w:ind w:left="172" w:right="172"/>
      </w:pPr>
      <w:r>
        <w:rPr>
          <w:rFonts w:ascii="Consolas" w:cs="Consolas" w:eastAsia="Consolas" w:hAnsi="Consolas"/>
          <w:color w:val="101820"/>
          <w:sz w:val="18"/>
          <w:szCs w:val="18"/>
        </w:rPr>
        <w:t xml:space="preserve">id: REQ057                # REQ|IMPR|BUG|PLAN|TP|TR|TS ###</w:t>
      </w:r>
    </w:p>
    <w:p>
      <w:pPr>
        <w:shd w:fill="F1F3F2" w:val="clear"/>
        <w:spacing w:after="0" w:line="260"/>
        <w:ind w:left="172" w:right="172"/>
      </w:pPr>
      <w:r>
        <w:rPr>
          <w:rFonts w:ascii="Consolas" w:cs="Consolas" w:eastAsia="Consolas" w:hAnsi="Consolas"/>
          <w:color w:val="101820"/>
          <w:sz w:val="18"/>
          <w:szCs w:val="18"/>
        </w:rPr>
        <w:t xml:space="preserve">type: requirement</w:t>
      </w:r>
    </w:p>
    <w:p>
      <w:pPr>
        <w:shd w:fill="F1F3F2" w:val="clear"/>
        <w:spacing w:after="0" w:line="260"/>
        <w:ind w:left="172" w:right="172"/>
      </w:pPr>
      <w:r>
        <w:rPr>
          <w:rFonts w:ascii="Consolas" w:cs="Consolas" w:eastAsia="Consolas" w:hAnsi="Consolas"/>
          <w:color w:val="101820"/>
          <w:sz w:val="18"/>
          <w:szCs w:val="18"/>
        </w:rPr>
        <w:t xml:space="preserve">feature: billing-export   # kebab-case, identical across all roots</w:t>
      </w:r>
    </w:p>
    <w:p>
      <w:pPr>
        <w:shd w:fill="F1F3F2" w:val="clear"/>
        <w:spacing w:after="0" w:line="260"/>
        <w:ind w:left="172" w:right="172"/>
      </w:pPr>
      <w:r>
        <w:rPr>
          <w:rFonts w:ascii="Consolas" w:cs="Consolas" w:eastAsia="Consolas" w:hAnsi="Consolas"/>
          <w:color w:val="101820"/>
          <w:sz w:val="18"/>
          <w:szCs w:val="18"/>
        </w:rPr>
        <w:t xml:space="preserve">created: 2026-08-20</w:t>
      </w:r>
    </w:p>
    <w:p>
      <w:pPr>
        <w:shd w:fill="F1F3F2" w:val="clear"/>
        <w:spacing w:after="0" w:line="260"/>
        <w:ind w:left="172" w:right="172"/>
      </w:pPr>
      <w:r>
        <w:rPr>
          <w:rFonts w:ascii="Consolas" w:cs="Consolas" w:eastAsia="Consolas" w:hAnsi="Consolas"/>
          <w:color w:val="101820"/>
          <w:sz w:val="18"/>
          <w:szCs w:val="18"/>
        </w:rPr>
        <w:t xml:space="preserve">updated: 2026-08-20</w:t>
      </w:r>
    </w:p>
    <w:p>
      <w:pPr>
        <w:shd w:fill="F1F3F2" w:val="clear"/>
        <w:spacing w:after="0" w:line="260"/>
        <w:ind w:left="172" w:right="172"/>
      </w:pPr>
      <w:r>
        <w:rPr>
          <w:rFonts w:ascii="Consolas" w:cs="Consolas" w:eastAsia="Consolas" w:hAnsi="Consolas"/>
          <w:color w:val="101820"/>
          <w:sz w:val="18"/>
          <w:szCs w:val="18"/>
        </w:rPr>
        <w:t xml:space="preserve">status: draft             # draft|approved|in-progress|blocked|done|wont-do</w:t>
      </w:r>
    </w:p>
    <w:p>
      <w:pPr>
        <w:shd w:fill="F1F3F2" w:val="clear"/>
        <w:spacing w:after="0" w:line="260"/>
        <w:ind w:left="172" w:right="172"/>
      </w:pPr>
      <w:r>
        <w:rPr>
          <w:rFonts w:ascii="Consolas" w:cs="Consolas" w:eastAsia="Consolas" w:hAnsi="Consolas"/>
          <w:color w:val="101820"/>
          <w:sz w:val="18"/>
          <w:szCs w:val="18"/>
        </w:rPr>
        <w:t xml:space="preserve">parent: null              # downstream docs: the REQ/IMPR/BUG they serve</w:t>
      </w:r>
    </w:p>
    <w:p>
      <w:pPr>
        <w:shd w:fill="F1F3F2" w:val="clear"/>
        <w:spacing w:after="0" w:line="260"/>
        <w:ind w:left="172" w:right="172"/>
      </w:pPr>
      <w:r>
        <w:rPr>
          <w:rFonts w:ascii="Consolas" w:cs="Consolas" w:eastAsia="Consolas" w:hAnsi="Consolas"/>
          <w:color w:val="101820"/>
          <w:sz w:val="18"/>
          <w:szCs w:val="18"/>
        </w:rPr>
        <w:t xml:space="preserve">related: []               # ids of linked docs</w:t>
      </w:r>
    </w:p>
    <w:p>
      <w:pPr>
        <w:shd w:fill="F1F3F2" w:val="clear"/>
        <w:spacing w:after="160" w:line="260"/>
        <w:ind w:left="172" w:right="172"/>
      </w:pPr>
      <w:r>
        <w:rPr>
          <w:rFonts w:ascii="Consolas" w:cs="Consolas" w:eastAsia="Consolas" w:hAnsi="Consolas"/>
          <w:color w:val="101820"/>
          <w:sz w:val="18"/>
          <w:szCs w:val="18"/>
        </w:rPr>
        <w:t xml:space="preserve">---</w:t>
      </w:r>
    </w:p>
    <w:p>
      <w:pPr>
        <w:spacing w:after="140" w:line="300"/>
      </w:pPr>
      <w:r>
        <w:rPr>
          <w:rFonts w:ascii="Calibri" w:cs="Calibri" w:eastAsia="Calibri" w:hAnsi="Calibri"/>
          <w:b w:val="false"/>
          <w:bCs w:val="false"/>
          <w:i w:val="false"/>
          <w:iCs w:val="false"/>
          <w:color w:val="101820"/>
          <w:sz w:val="21"/>
          <w:szCs w:val="21"/>
        </w:rPr>
        <w:t xml:space="preserve">Filename convention: </w:t>
      </w:r>
      <w:r>
        <w:rPr>
          <w:rFonts w:ascii="Consolas" w:cs="Consolas" w:eastAsia="Consolas" w:hAnsi="Consolas"/>
          <w:b w:val="false"/>
          <w:bCs w:val="false"/>
          <w:i w:val="false"/>
          <w:iCs w:val="false"/>
          <w:color w:val="1B7A71"/>
          <w:sz w:val="19"/>
          <w:szCs w:val="19"/>
        </w:rPr>
        <w:t xml:space="preserve">&lt;ID&gt;-&lt;feature-slug&gt;-&lt;yyyy-mm-dd&gt;-&lt;short-title&gt;.md</w:t>
      </w:r>
    </w:p>
    <w:p>
      <w:pPr>
        <w:pStyle w:val="Heading2"/>
        <w:spacing w:after="120" w:before="280"/>
      </w:pPr>
      <w:r>
        <w:rPr>
          <w:rFonts w:ascii="Calibri" w:cs="Calibri" w:eastAsia="Calibri" w:hAnsi="Calibri"/>
          <w:b/>
          <w:bCs/>
          <w:color w:val="101820"/>
          <w:sz w:val="26"/>
          <w:szCs w:val="26"/>
        </w:rPr>
        <w:t xml:space="preserve">3.3  The context bundle</w:t>
      </w:r>
    </w:p>
    <w:p>
      <w:pPr>
        <w:spacing w:after="140" w:line="300"/>
      </w:pPr>
      <w:r>
        <w:rPr>
          <w:rFonts w:ascii="Calibri" w:cs="Calibri" w:eastAsia="Calibri" w:hAnsi="Calibri"/>
          <w:b w:val="false"/>
          <w:bCs w:val="false"/>
          <w:i w:val="false"/>
          <w:iCs w:val="false"/>
          <w:color w:val="101820"/>
          <w:sz w:val="21"/>
          <w:szCs w:val="21"/>
        </w:rPr>
        <w:t xml:space="preserve">One bundle per work item, holding </w:t>
      </w:r>
      <w:r>
        <w:rPr>
          <w:rFonts w:ascii="Calibri" w:cs="Calibri" w:eastAsia="Calibri" w:hAnsi="Calibri"/>
          <w:b/>
          <w:bCs/>
          <w:i w:val="false"/>
          <w:iCs w:val="false"/>
          <w:color w:val="101820"/>
          <w:sz w:val="21"/>
          <w:szCs w:val="21"/>
        </w:rPr>
        <w:t xml:space="preserve">links, never copies</w:t>
      </w:r>
      <w:r>
        <w:rPr>
          <w:rFonts w:ascii="Calibri" w:cs="Calibri" w:eastAsia="Calibri" w:hAnsi="Calibri"/>
          <w:b w:val="false"/>
          <w:bCs w:val="false"/>
          <w:i w:val="false"/>
          <w:iCs w:val="false"/>
          <w:color w:val="101820"/>
          <w:sz w:val="21"/>
          <w:szCs w:val="21"/>
        </w:rPr>
        <w:t xml:space="preserve">. Opening one file shows the entire chain for that item: the requirement, its plan, its test suggestions, its approved test plans, and its results.</w:t>
      </w:r>
    </w:p>
    <w:p>
      <w:pPr>
        <w:pBdr>
          <w:left w:val="single" w:color="9A6B1E" w:sz="18" w:space="10"/>
        </w:pBdr>
        <w:spacing w:after="180" w:before="140" w:line="290"/>
        <w:ind w:left="201"/>
      </w:pPr>
      <w:r>
        <w:rPr>
          <w:rFonts w:ascii="Calibri" w:cs="Calibri" w:eastAsia="Calibri" w:hAnsi="Calibri"/>
          <w:b/>
          <w:bCs/>
          <w:color w:val="9A6B1E"/>
          <w:sz w:val="20"/>
          <w:szCs w:val="20"/>
        </w:rPr>
        <w:t xml:space="preserve">Discipline:  </w:t>
      </w:r>
      <w:r>
        <w:rPr>
          <w:rFonts w:ascii="Calibri" w:cs="Calibri" w:eastAsia="Calibri" w:hAnsi="Calibri"/>
          <w:color w:val="101820"/>
          <w:sz w:val="21"/>
          <w:szCs w:val="21"/>
        </w:rPr>
        <w:t xml:space="preserve">The bundle is updated in the same change that touches any of the five roots. Let it lag and it drifts out of sync, at which point it stops being trustworthy — and an untrustworthy index is worse than none.</w:t>
      </w:r>
    </w:p>
    <w:p>
      <w:r>
        <w:br w:type="page"/>
      </w:r>
    </w:p>
    <w:p>
      <w:pPr>
        <w:pStyle w:val="Heading1"/>
        <w:spacing w:after="160" w:before="360"/>
      </w:pPr>
      <w:r>
        <w:rPr>
          <w:rFonts w:ascii="Calibri" w:cs="Calibri" w:eastAsia="Calibri" w:hAnsi="Calibri"/>
          <w:b/>
          <w:bCs/>
          <w:color w:val="101820"/>
          <w:sz w:val="32"/>
          <w:szCs w:val="32"/>
        </w:rPr>
        <w:t xml:space="preserve">4. The working loop</w:t>
      </w:r>
    </w:p>
    <w:p>
      <w:pPr>
        <w:spacing w:after="140" w:line="300"/>
      </w:pPr>
      <w:r>
        <w:rPr>
          <w:rFonts w:ascii="Calibri" w:cs="Calibri" w:eastAsia="Calibri" w:hAnsi="Calibri"/>
          <w:i w:val="false"/>
          <w:iCs w:val="false"/>
          <w:color w:val="101820"/>
          <w:sz w:val="21"/>
          <w:szCs w:val="21"/>
        </w:rPr>
        <w:t xml:space="preserve">Every piece of work — feature, improvement, or defect — runs through the same eight steps in the same order.</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Classify. </w:t>
      </w:r>
      <w:r>
        <w:rPr>
          <w:rFonts w:ascii="Calibri" w:cs="Calibri" w:eastAsia="Calibri" w:hAnsi="Calibri"/>
          <w:b w:val="false"/>
          <w:bCs w:val="false"/>
          <w:i w:val="false"/>
          <w:iCs w:val="false"/>
          <w:color w:val="101820"/>
          <w:sz w:val="21"/>
          <w:szCs w:val="21"/>
        </w:rPr>
        <w:t xml:space="preserve">Requirement, improvement, or bug? The answer picks the category directory and the ID prefix, decided up front rather than inferred later.</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Write the spec. </w:t>
      </w:r>
      <w:r>
        <w:rPr>
          <w:rFonts w:ascii="Calibri" w:cs="Calibri" w:eastAsia="Calibri" w:hAnsi="Calibri"/>
          <w:b w:val="false"/>
          <w:bCs w:val="false"/>
          <w:i w:val="false"/>
          <w:iCs w:val="false"/>
          <w:color w:val="101820"/>
          <w:sz w:val="21"/>
          <w:szCs w:val="21"/>
        </w:rPr>
        <w:t xml:space="preserve">A fresh ID and full frontmatter into the correct feature directory, then update that feature's README and the root README in the same change.</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Plan mode. </w:t>
      </w:r>
      <w:r>
        <w:rPr>
          <w:rFonts w:ascii="Calibri" w:cs="Calibri" w:eastAsia="Calibri" w:hAnsi="Calibri"/>
          <w:b w:val="false"/>
          <w:bCs w:val="false"/>
          <w:i w:val="false"/>
          <w:iCs w:val="false"/>
          <w:color w:val="101820"/>
          <w:sz w:val="21"/>
          <w:szCs w:val="21"/>
        </w:rPr>
        <w:t xml:space="preserve">Read-only exploration of the actual code before any edit. This is where the plan gets grounded in what the code really does, rather than what the requirement assumes it does.</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Draft candidate tests. </w:t>
      </w:r>
      <w:r>
        <w:rPr>
          <w:rFonts w:ascii="Calibri" w:cs="Calibri" w:eastAsia="Calibri" w:hAnsi="Calibri"/>
          <w:b w:val="false"/>
          <w:bCs w:val="false"/>
          <w:i w:val="false"/>
          <w:iCs w:val="false"/>
          <w:color w:val="101820"/>
          <w:sz w:val="21"/>
          <w:szCs w:val="21"/>
        </w:rPr>
        <w:t xml:space="preserve">Into test-suggestions/. These are unreviewed by definition and prove nothing yet.</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Human review gate. </w:t>
      </w:r>
      <w:r>
        <w:rPr>
          <w:rFonts w:ascii="Calibri" w:cs="Calibri" w:eastAsia="Calibri" w:hAnsi="Calibri"/>
          <w:b w:val="false"/>
          <w:bCs w:val="false"/>
          <w:i w:val="false"/>
          <w:iCs w:val="false"/>
          <w:color w:val="101820"/>
          <w:sz w:val="21"/>
          <w:szCs w:val="21"/>
        </w:rPr>
        <w:t xml:space="preserve">The one point in the loop that requires a person. Approved suggestions are promoted to a test plan with a fresh TP### and parent set.</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Implement. </w:t>
      </w:r>
      <w:r>
        <w:rPr>
          <w:rFonts w:ascii="Calibri" w:cs="Calibri" w:eastAsia="Calibri" w:hAnsi="Calibri"/>
          <w:b w:val="false"/>
          <w:bCs w:val="false"/>
          <w:i w:val="false"/>
          <w:iCs w:val="false"/>
          <w:color w:val="101820"/>
          <w:sz w:val="21"/>
          <w:szCs w:val="21"/>
        </w:rPr>
        <w:t xml:space="preserve">Against the recorded plan. Where reality forces a deviation, write it back into the plan rather than leaving the plan stale.</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Run and record. </w:t>
      </w:r>
      <w:r>
        <w:rPr>
          <w:rFonts w:ascii="Calibri" w:cs="Calibri" w:eastAsia="Calibri" w:hAnsi="Calibri"/>
          <w:b w:val="false"/>
          <w:bCs w:val="false"/>
          <w:i w:val="false"/>
          <w:iCs w:val="false"/>
          <w:color w:val="101820"/>
          <w:sz w:val="21"/>
          <w:szCs w:val="21"/>
        </w:rPr>
        <w:t xml:space="preserve">Execute the approved test plans — not the suggestions, and not ad-hoc checks invented afterwards to match whatever got built. Log pass/fail with the commit SHA.</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Close. </w:t>
      </w:r>
      <w:r>
        <w:rPr>
          <w:rFonts w:ascii="Calibri" w:cs="Calibri" w:eastAsia="Calibri" w:hAnsi="Calibri"/>
          <w:b w:val="false"/>
          <w:bCs w:val="false"/>
          <w:i w:val="false"/>
          <w:iCs w:val="false"/>
          <w:color w:val="101820"/>
          <w:sz w:val="21"/>
          <w:szCs w:val="21"/>
        </w:rPr>
        <w:t xml:space="preserve">A requirement is never marked done until a passing test-results document exists and is linked from the bundle.</w:t>
      </w:r>
    </w:p>
    <w:p>
      <w:pPr>
        <w:pBdr>
          <w:left w:val="single" w:color="9A6B1E" w:sz="18" w:space="10"/>
        </w:pBdr>
        <w:spacing w:after="180" w:before="140" w:line="290"/>
        <w:ind w:left="201"/>
      </w:pPr>
      <w:r>
        <w:rPr>
          <w:rFonts w:ascii="Calibri" w:cs="Calibri" w:eastAsia="Calibri" w:hAnsi="Calibri"/>
          <w:b/>
          <w:bCs/>
          <w:color w:val="9A6B1E"/>
          <w:sz w:val="20"/>
          <w:szCs w:val="20"/>
        </w:rPr>
        <w:t xml:space="preserve">Why status accuracy matters:  </w:t>
      </w:r>
      <w:r>
        <w:rPr>
          <w:rFonts w:ascii="Calibri" w:cs="Calibri" w:eastAsia="Calibri" w:hAnsi="Calibri"/>
          <w:color w:val="101820"/>
          <w:sz w:val="21"/>
          <w:szCs w:val="21"/>
        </w:rPr>
        <w:t xml:space="preserve">The archive sweep reads the status field. A stale "in-progress" means the bundle never ages out; a premature "done" means it ages out early and disappears from the active tree.</w:t>
      </w:r>
    </w:p>
    <w:p>
      <w:pPr>
        <w:pStyle w:val="Heading2"/>
        <w:spacing w:after="120" w:before="280"/>
      </w:pPr>
      <w:r>
        <w:rPr>
          <w:rFonts w:ascii="Calibri" w:cs="Calibri" w:eastAsia="Calibri" w:hAnsi="Calibri"/>
          <w:b/>
          <w:bCs/>
          <w:color w:val="101820"/>
          <w:sz w:val="26"/>
          <w:szCs w:val="26"/>
        </w:rPr>
        <w:t xml:space="preserve">4.1  Session hygiene</w:t>
      </w:r>
    </w:p>
    <w:p>
      <w:pPr>
        <w:spacing w:after="140" w:line="300"/>
      </w:pPr>
      <w:r>
        <w:rPr>
          <w:rFonts w:ascii="Calibri" w:cs="Calibri" w:eastAsia="Calibri" w:hAnsi="Calibri"/>
          <w:b w:val="false"/>
          <w:bCs w:val="false"/>
          <w:i w:val="false"/>
          <w:iCs w:val="false"/>
          <w:color w:val="101820"/>
          <w:sz w:val="21"/>
          <w:szCs w:val="21"/>
        </w:rPr>
        <w:t xml:space="preserve">Every session opens with housekeeping before any feature work, so Claude never plans against a stale view of the repo. The sweep is </w:t>
      </w:r>
      <w:r>
        <w:rPr>
          <w:rFonts w:ascii="Calibri" w:cs="Calibri" w:eastAsia="Calibri" w:hAnsi="Calibri"/>
          <w:b/>
          <w:bCs/>
          <w:i w:val="false"/>
          <w:iCs w:val="false"/>
          <w:color w:val="101820"/>
          <w:sz w:val="21"/>
          <w:szCs w:val="21"/>
        </w:rPr>
        <w:t xml:space="preserve">a script, not a judgment call</w:t>
      </w:r>
      <w:r>
        <w:rPr>
          <w:rFonts w:ascii="Calibri" w:cs="Calibri" w:eastAsia="Calibri" w:hAnsi="Calibri"/>
          <w:b w:val="false"/>
          <w:bCs w:val="false"/>
          <w:i w:val="false"/>
          <w:iCs w:val="false"/>
          <w:color w:val="101820"/>
          <w:sz w:val="21"/>
          <w:szCs w:val="21"/>
        </w:rPr>
        <w:t xml:space="preserve"> — having a model eyeball file dates every session is slow, costs tokens, and gives a different answer on different runs.</w:t>
      </w:r>
    </w:p>
    <w:p>
      <w:pPr>
        <w:shd w:fill="F1F3F2" w:val="clear"/>
        <w:spacing w:after="0" w:line="260"/>
        <w:ind w:left="172" w:right="172"/>
      </w:pPr>
      <w:r>
        <w:rPr>
          <w:rFonts w:ascii="Consolas" w:cs="Consolas" w:eastAsia="Consolas" w:hAnsi="Consolas"/>
          <w:color w:val="101820"/>
          <w:sz w:val="18"/>
          <w:szCs w:val="18"/>
        </w:rPr>
        <w:t xml:space="preserve">$ node scripts/archive-sweep.mjs           # dry run — default</w:t>
      </w:r>
    </w:p>
    <w:p>
      <w:pPr>
        <w:shd w:fill="F1F3F2" w:val="clear"/>
        <w:spacing w:after="160" w:line="260"/>
        <w:ind w:left="172" w:right="172"/>
      </w:pPr>
      <w:r>
        <w:rPr>
          <w:rFonts w:ascii="Consolas" w:cs="Consolas" w:eastAsia="Consolas" w:hAnsi="Consolas"/>
          <w:color w:val="101820"/>
          <w:sz w:val="18"/>
          <w:szCs w:val="18"/>
        </w:rPr>
        <w:t xml:space="preserve">$ node scripts/archive-sweep.mjs --apply   # actually move files</w:t>
      </w:r>
    </w:p>
    <w:p>
      <w:pPr>
        <w:spacing w:after="140" w:line="300"/>
      </w:pPr>
      <w:r>
        <w:rPr>
          <w:rFonts w:ascii="Calibri" w:cs="Calibri" w:eastAsia="Calibri" w:hAnsi="Calibri"/>
          <w:i w:val="false"/>
          <w:iCs w:val="false"/>
          <w:color w:val="101820"/>
          <w:sz w:val="21"/>
          <w:szCs w:val="21"/>
        </w:rPr>
        <w:t xml:space="preserve">The same run also parses every @import line in CLAUDE.md and confirms it still resolves to a real file, so a renamed index is caught immediately rather than silently producing a stale map.</w:t>
      </w:r>
    </w:p>
    <w:p>
      <w:pPr>
        <w:pStyle w:val="Heading2"/>
        <w:spacing w:after="120" w:before="280"/>
      </w:pPr>
      <w:r>
        <w:rPr>
          <w:rFonts w:ascii="Calibri" w:cs="Calibri" w:eastAsia="Calibri" w:hAnsi="Calibri"/>
          <w:b/>
          <w:bCs/>
          <w:color w:val="101820"/>
          <w:sz w:val="26"/>
          <w:szCs w:val="26"/>
        </w:rPr>
        <w:t xml:space="preserve">4.2  What never gets archived</w:t>
      </w:r>
    </w:p>
    <w:p>
      <w:pPr>
        <w:spacing w:after="140" w:line="300"/>
      </w:pPr>
      <w:r>
        <w:rPr>
          <w:rFonts w:ascii="Calibri" w:cs="Calibri" w:eastAsia="Calibri" w:hAnsi="Calibri"/>
          <w:i w:val="false"/>
          <w:iCs w:val="false"/>
          <w:color w:val="101820"/>
          <w:sz w:val="21"/>
          <w:szCs w:val="21"/>
        </w:rPr>
        <w:t xml:space="preserve">Four of the five roots are exempt from the sweep entirely. They are living specifications, and age says nothing about whether they are current — auto-archiving them would hide the authoritative spec at exactly the moment it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Rule</w:t>
            </w:r>
          </w:p>
        </w:tc>
        <w:tc>
          <w:tcPr>
            <w:tcW w:type="dxa" w:w="626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Condition</w:t>
            </w:r>
          </w:p>
        </w:tc>
      </w:tr>
      <w:tr>
        <w:tc>
          <w:tcPr>
            <w:tcW w:type="dxa" w:w="31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Archive a context bundle</w:t>
            </w:r>
          </w:p>
        </w:tc>
        <w:tc>
          <w:tcPr>
            <w:tcW w:type="dxa" w:w="62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status is done or wont-do AND the bundle is 15+ days old — both, never one</w:t>
            </w:r>
          </w:p>
        </w:tc>
      </w:tr>
      <w:tr>
        <w:tc>
          <w:tcPr>
            <w:tcW w:type="dxa" w:w="31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Never archive an open bundle</w:t>
            </w:r>
          </w:p>
        </w:tc>
        <w:tc>
          <w:tcPr>
            <w:tcW w:type="dxa" w:w="62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draft, approved, in-progress, blocked and unknown all stay active at any age</w:t>
            </w:r>
          </w:p>
        </w:tc>
      </w:tr>
      <w:tr>
        <w:tc>
          <w:tcPr>
            <w:tcW w:type="dxa" w:w="31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Archive a superseded result</w:t>
            </w:r>
          </w:p>
        </w:tc>
        <w:tc>
          <w:tcPr>
            <w:tcW w:type="dxa" w:w="62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15+ days old AND not the latest result for its parent ID</w:t>
            </w:r>
          </w:p>
        </w:tc>
      </w:tr>
      <w:tr>
        <w:tc>
          <w:tcPr>
            <w:tcW w:type="dxa" w:w="31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Always keep the latest result</w:t>
            </w:r>
          </w:p>
        </w:tc>
        <w:tc>
          <w:tcPr>
            <w:tcW w:type="dxa" w:w="62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whatever its age — otherwise current coverage becomes invisible</w:t>
            </w:r>
          </w:p>
        </w:tc>
      </w:tr>
    </w:tbl>
    <w:p>
      <w:r>
        <w:br w:type="page"/>
      </w:r>
    </w:p>
    <w:p>
      <w:pPr>
        <w:pStyle w:val="Heading1"/>
        <w:spacing w:after="160" w:before="360"/>
      </w:pPr>
      <w:r>
        <w:rPr>
          <w:rFonts w:ascii="Calibri" w:cs="Calibri" w:eastAsia="Calibri" w:hAnsi="Calibri"/>
          <w:b/>
          <w:bCs/>
          <w:color w:val="101820"/>
          <w:sz w:val="32"/>
          <w:szCs w:val="32"/>
        </w:rPr>
        <w:t xml:space="preserve">5. Turning the process into a habit: SKILL.md</w:t>
      </w:r>
    </w:p>
    <w:p>
      <w:pPr>
        <w:spacing w:after="140" w:line="300"/>
      </w:pPr>
      <w:r>
        <w:rPr>
          <w:rFonts w:ascii="Calibri" w:cs="Calibri" w:eastAsia="Calibri" w:hAnsi="Calibri"/>
          <w:i w:val="false"/>
          <w:iCs w:val="false"/>
          <w:color w:val="101820"/>
          <w:sz w:val="21"/>
          <w:szCs w:val="21"/>
        </w:rPr>
        <w:t xml:space="preserve">A setup prompt that has to be pasted every session is a process nobody follows. Packaging it as a skill is what makes it stick.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Before</w:t>
            </w:r>
          </w:p>
        </w:tc>
        <w:tc>
          <w:tcPr>
            <w:tcW w:type="dxa" w:w="468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After</w:t>
            </w:r>
          </w:p>
        </w:tc>
      </w:tr>
      <w:tr>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Paste the full setup prompt again each session and hope nothing was skipped.</w:t>
            </w:r>
          </w:p>
        </w:tc>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Say "start bug: CSV export drops the last row" and the feature-lifecycle skill carries the entire loop.</w:t>
            </w:r>
          </w:p>
        </w:tc>
      </w:tr>
      <w:tr>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Re-explain the directory contract, the ID scheme, the frontmatter.</w:t>
            </w:r>
          </w:p>
        </w:tc>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The skill encodes all of it, written to work standalone — it assumes the setup prompt is not in context.</w:t>
            </w:r>
          </w:p>
        </w:tc>
      </w:tr>
    </w:tbl>
    <w:p>
      <w:pPr>
        <w:spacing w:after="160"/>
      </w:pPr>
      <w:r>
        <w:rPr>
          <w:sz w:val="2"/>
          <w:szCs w:val="2"/>
        </w:rPr>
        <w:t xml:space="preserve"/>
      </w:r>
    </w:p>
    <w:p>
      <w:pPr>
        <w:spacing w:after="140" w:line="300"/>
      </w:pPr>
      <w:r>
        <w:rPr>
          <w:rFonts w:ascii="Calibri" w:cs="Calibri" w:eastAsia="Calibri" w:hAnsi="Calibri"/>
          <w:i w:val="false"/>
          <w:iCs w:val="false"/>
          <w:color w:val="101820"/>
          <w:sz w:val="21"/>
          <w:szCs w:val="21"/>
        </w:rPr>
        <w:t xml:space="preserve">We also keep vetted reference skills covering NestJS patterns, security review, PostgreSQL, GraphQL architecture and error handling. Each one records where it was sourced from, its licence, and — importantly — where its guidance does not match this project's own conventions.</w:t>
      </w:r>
    </w:p>
    <w:p>
      <w:pPr>
        <w:pBdr>
          <w:left w:val="single" w:color="9A6B1E" w:sz="18" w:space="10"/>
        </w:pBdr>
        <w:spacing w:after="180" w:before="140" w:line="290"/>
        <w:ind w:left="201"/>
      </w:pPr>
      <w:r>
        <w:rPr>
          <w:rFonts w:ascii="Calibri" w:cs="Calibri" w:eastAsia="Calibri" w:hAnsi="Calibri"/>
          <w:b/>
          <w:bCs/>
          <w:color w:val="9A6B1E"/>
          <w:sz w:val="20"/>
          <w:szCs w:val="20"/>
        </w:rPr>
        <w:t xml:space="preserve">Read this field first:  </w:t>
      </w:r>
      <w:r>
        <w:rPr>
          <w:rFonts w:ascii="Calibri" w:cs="Calibri" w:eastAsia="Calibri" w:hAnsi="Calibri"/>
          <w:color w:val="101820"/>
          <w:sz w:val="21"/>
          <w:szCs w:val="21"/>
        </w:rPr>
        <w:t xml:space="preserve">A skill that recommends bigint primary keys is wrong for a schema built on UUIDs. Knowing where a skill disagrees with your codebase is more valuable than the advice itself.</w:t>
      </w:r>
    </w:p>
    <w:p>
      <w:pPr>
        <w:pStyle w:val="Heading1"/>
        <w:spacing w:after="160" w:before="360"/>
      </w:pPr>
      <w:r>
        <w:rPr>
          <w:rFonts w:ascii="Calibri" w:cs="Calibri" w:eastAsia="Calibri" w:hAnsi="Calibri"/>
          <w:b/>
          <w:bCs/>
          <w:color w:val="101820"/>
          <w:sz w:val="32"/>
          <w:szCs w:val="32"/>
        </w:rPr>
        <w:t xml:space="preserve">6. Testing: proof, not claims</w:t>
      </w:r>
    </w:p>
    <w:p>
      <w:pPr>
        <w:spacing w:after="140" w:line="300"/>
      </w:pPr>
      <w:r>
        <w:rPr>
          <w:rFonts w:ascii="Calibri" w:cs="Calibri" w:eastAsia="Calibri" w:hAnsi="Calibri"/>
          <w:b w:val="false"/>
          <w:bCs w:val="false"/>
          <w:i w:val="false"/>
          <w:iCs w:val="false"/>
          <w:color w:val="101820"/>
          <w:sz w:val="21"/>
          <w:szCs w:val="21"/>
        </w:rPr>
        <w:t xml:space="preserve">The rule we hold hardest: </w:t>
      </w:r>
      <w:r>
        <w:rPr>
          <w:rFonts w:ascii="Calibri" w:cs="Calibri" w:eastAsia="Calibri" w:hAnsi="Calibri"/>
          <w:b/>
          <w:bCs/>
          <w:i w:val="false"/>
          <w:iCs w:val="false"/>
          <w:color w:val="101820"/>
          <w:sz w:val="21"/>
          <w:szCs w:val="21"/>
        </w:rPr>
        <w:t xml:space="preserve">"I wrote the resolver" is not done. "The test suite proves the resolver works, including tenant-isolation and validation-failure cases" is done.</w:t>
      </w:r>
    </w:p>
    <w:p>
      <w:pPr>
        <w:pStyle w:val="Heading3"/>
        <w:spacing w:after="90" w:before="200"/>
      </w:pPr>
      <w:r>
        <w:rPr>
          <w:rFonts w:ascii="Calibri" w:cs="Calibri" w:eastAsia="Calibri" w:hAnsi="Calibri"/>
          <w:b/>
          <w:bCs/>
          <w:color w:val="9A6B1E"/>
          <w:sz w:val="22"/>
          <w:szCs w:val="22"/>
        </w:rPr>
        <w:t xml:space="preserve">Jest — unit coverage</w:t>
      </w:r>
    </w:p>
    <w:p>
      <w:pPr>
        <w:pStyle w:val="ListParagraph"/>
        <w:numPr>
          <w:ilvl w:val="0"/>
          <w:numId w:val="2"/>
        </w:numPr>
        <w:spacing w:after="80" w:line="290"/>
      </w:pPr>
      <w:r>
        <w:rPr>
          <w:rFonts w:ascii="Calibri" w:cs="Calibri" w:eastAsia="Calibri" w:hAnsi="Calibri"/>
          <w:color w:val="101820"/>
          <w:sz w:val="21"/>
          <w:szCs w:val="21"/>
        </w:rPr>
        <w:t xml:space="preserve">Happy path and validation failures on every resolver and service touched.</w:t>
      </w:r>
    </w:p>
    <w:p>
      <w:pPr>
        <w:pStyle w:val="ListParagraph"/>
        <w:numPr>
          <w:ilvl w:val="0"/>
          <w:numId w:val="2"/>
        </w:numPr>
        <w:spacing w:after="80" w:line="290"/>
      </w:pPr>
      <w:r>
        <w:rPr>
          <w:rFonts w:ascii="Calibri" w:cs="Calibri" w:eastAsia="Calibri" w:hAnsi="Calibri"/>
          <w:color w:val="101820"/>
          <w:sz w:val="21"/>
          <w:szCs w:val="21"/>
        </w:rPr>
        <w:t xml:space="preserve">Tenant isolation, provably rejected — not asserted in a comment, exercised in a test.</w:t>
      </w:r>
    </w:p>
    <w:p>
      <w:pPr>
        <w:pStyle w:val="ListParagraph"/>
        <w:numPr>
          <w:ilvl w:val="0"/>
          <w:numId w:val="2"/>
        </w:numPr>
        <w:spacing w:after="80" w:line="290"/>
      </w:pPr>
      <w:r>
        <w:rPr>
          <w:rFonts w:ascii="Calibri" w:cs="Calibri" w:eastAsia="Calibri" w:hAnsi="Calibri"/>
          <w:color w:val="101820"/>
          <w:sz w:val="21"/>
          <w:szCs w:val="21"/>
        </w:rPr>
        <w:t xml:space="preserve">Self-scoping: a patient sees only their own record; a clinician only their own schedule.</w:t>
      </w:r>
    </w:p>
    <w:p>
      <w:pPr>
        <w:pStyle w:val="ListParagraph"/>
        <w:numPr>
          <w:ilvl w:val="0"/>
          <w:numId w:val="2"/>
        </w:numPr>
        <w:spacing w:after="80" w:line="290"/>
      </w:pPr>
      <w:r>
        <w:rPr>
          <w:rFonts w:ascii="Calibri" w:cs="Calibri" w:eastAsia="Calibri" w:hAnsi="Calibri"/>
          <w:color w:val="101820"/>
          <w:sz w:val="21"/>
          <w:szCs w:val="21"/>
        </w:rPr>
        <w:t xml:space="preserve">Role gating behaving exactly as the decorator declares.</w:t>
      </w:r>
    </w:p>
    <w:p>
      <w:pPr>
        <w:pStyle w:val="Heading3"/>
        <w:spacing w:after="90" w:before="200"/>
      </w:pPr>
      <w:r>
        <w:rPr>
          <w:rFonts w:ascii="Calibri" w:cs="Calibri" w:eastAsia="Calibri" w:hAnsi="Calibri"/>
          <w:b/>
          <w:bCs/>
          <w:color w:val="9A6B1E"/>
          <w:sz w:val="22"/>
          <w:szCs w:val="22"/>
        </w:rPr>
        <w:t xml:space="preserve">Playwright — end-to-end</w:t>
      </w:r>
    </w:p>
    <w:p>
      <w:pPr>
        <w:pStyle w:val="ListParagraph"/>
        <w:numPr>
          <w:ilvl w:val="0"/>
          <w:numId w:val="2"/>
        </w:numPr>
        <w:spacing w:after="80" w:line="290"/>
      </w:pPr>
      <w:r>
        <w:rPr>
          <w:rFonts w:ascii="Calibri" w:cs="Calibri" w:eastAsia="Calibri" w:hAnsi="Calibri"/>
          <w:color w:val="101820"/>
          <w:sz w:val="21"/>
          <w:szCs w:val="21"/>
        </w:rPr>
        <w:t xml:space="preserve">Runs against the real backend, never the frontend's mock-data fallback layer.</w:t>
      </w:r>
    </w:p>
    <w:p>
      <w:pPr>
        <w:pStyle w:val="ListParagraph"/>
        <w:numPr>
          <w:ilvl w:val="0"/>
          <w:numId w:val="2"/>
        </w:numPr>
        <w:spacing w:after="80" w:line="290"/>
      </w:pPr>
      <w:r>
        <w:rPr>
          <w:rFonts w:ascii="Calibri" w:cs="Calibri" w:eastAsia="Calibri" w:hAnsi="Calibri"/>
          <w:color w:val="101820"/>
          <w:sz w:val="21"/>
          <w:szCs w:val="21"/>
        </w:rPr>
        <w:t xml:space="preserve">Each domain confirmed genuinely real by live inspection before its spec was written — assumption is how mock-only pages hide.</w:t>
      </w:r>
    </w:p>
    <w:p>
      <w:pPr>
        <w:pStyle w:val="ListParagraph"/>
        <w:numPr>
          <w:ilvl w:val="0"/>
          <w:numId w:val="2"/>
        </w:numPr>
        <w:spacing w:after="80" w:line="290"/>
      </w:pPr>
      <w:r>
        <w:rPr>
          <w:rFonts w:ascii="Calibri" w:cs="Calibri" w:eastAsia="Calibri" w:hAnsi="Calibri"/>
          <w:color w:val="101820"/>
          <w:sz w:val="21"/>
          <w:szCs w:val="21"/>
        </w:rPr>
        <w:t xml:space="preserve">Mobile-first responsiveness checked at 360, 768 and 1280 pixels on any screen touched.</w:t>
      </w:r>
    </w:p>
    <w:p>
      <w:pPr>
        <w:spacing w:after="1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Metric</w:t>
            </w:r>
          </w:p>
        </w:tc>
        <w:tc>
          <w:tcPr>
            <w:tcW w:type="dxa" w:w="468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Current</w:t>
            </w:r>
          </w:p>
        </w:tc>
      </w:tr>
      <w:tr>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Backend test suites</w:t>
            </w:r>
          </w:p>
        </w:tc>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B7A71"/>
                <w:sz w:val="20"/>
                <w:szCs w:val="20"/>
              </w:rPr>
              <w:t xml:space="preserve">43 — all green</w:t>
            </w:r>
          </w:p>
        </w:tc>
      </w:tr>
      <w:tr>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Backend tests</w:t>
            </w:r>
          </w:p>
        </w:tc>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B7A71"/>
                <w:sz w:val="20"/>
                <w:szCs w:val="20"/>
              </w:rPr>
              <w:t xml:space="preserve">477 — all green</w:t>
            </w:r>
          </w:p>
        </w:tc>
      </w:tr>
      <w:tr>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Domains with e2e coverage</w:t>
            </w:r>
          </w:p>
        </w:tc>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B7A71"/>
                <w:sz w:val="20"/>
                <w:szCs w:val="20"/>
              </w:rPr>
              <w:t xml:space="preserve">22 of 22</w:t>
            </w:r>
          </w:p>
        </w:tc>
      </w:tr>
      <w:tr>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Red commits permitted</w:t>
            </w:r>
          </w:p>
        </w:tc>
        <w:tc>
          <w:tcPr>
            <w:tcW w:type="dxa" w:w="468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9A6B1E"/>
                <w:sz w:val="20"/>
                <w:szCs w:val="20"/>
              </w:rPr>
              <w:t xml:space="preserve">Zero</w:t>
            </w:r>
          </w:p>
        </w:tc>
      </w:tr>
    </w:tbl>
    <w:p>
      <w:r>
        <w:br w:type="page"/>
      </w:r>
    </w:p>
    <w:p>
      <w:pPr>
        <w:pStyle w:val="Heading1"/>
        <w:spacing w:after="160" w:before="360"/>
      </w:pPr>
      <w:r>
        <w:rPr>
          <w:rFonts w:ascii="Calibri" w:cs="Calibri" w:eastAsia="Calibri" w:hAnsi="Calibri"/>
          <w:b/>
          <w:bCs/>
          <w:color w:val="101820"/>
          <w:sz w:val="32"/>
          <w:szCs w:val="32"/>
        </w:rPr>
        <w:t xml:space="preserve">7. Case study: the loop under real conditions</w:t>
      </w:r>
    </w:p>
    <w:p>
      <w:pPr>
        <w:spacing w:after="140" w:line="300"/>
      </w:pPr>
      <w:r>
        <w:rPr>
          <w:rFonts w:ascii="Calibri" w:cs="Calibri" w:eastAsia="Calibri" w:hAnsi="Calibri"/>
          <w:i w:val="false"/>
          <w:iCs w:val="false"/>
          <w:color w:val="101820"/>
          <w:sz w:val="21"/>
          <w:szCs w:val="21"/>
        </w:rPr>
        <w:t xml:space="preserve">The clearest demonstration of why this process exists came from a request that looked trivial and was not. Verifying an unrelated page in a browser surfaced a console error on the dashboard.</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The symptom. </w:t>
      </w:r>
      <w:r>
        <w:rPr>
          <w:rFonts w:ascii="Calibri" w:cs="Calibri" w:eastAsia="Calibri" w:hAnsi="Calibri"/>
          <w:b w:val="false"/>
          <w:bCs w:val="false"/>
          <w:i w:val="false"/>
          <w:iCs w:val="false"/>
          <w:color w:val="101820"/>
          <w:sz w:val="21"/>
          <w:szCs w:val="21"/>
        </w:rPr>
        <w:t xml:space="preserve">A 400 on the GraphQL endpoint and a quiet "some data could not be loaded" banner.</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The real cause. </w:t>
      </w:r>
      <w:r>
        <w:rPr>
          <w:rFonts w:ascii="Calibri" w:cs="Calibri" w:eastAsia="Calibri" w:hAnsi="Calibri"/>
          <w:b w:val="false"/>
          <w:bCs w:val="false"/>
          <w:i w:val="false"/>
          <w:iCs w:val="false"/>
          <w:color w:val="101820"/>
          <w:sz w:val="21"/>
          <w:szCs w:val="21"/>
        </w:rPr>
        <w:t xml:space="preserve">The dashboard's query had no backend behind it at all. Not a typo — an entire missing domain. The page had always run silently on hardcoded mock data.</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Why nothing caught it. </w:t>
      </w:r>
      <w:r>
        <w:rPr>
          <w:rFonts w:ascii="Calibri" w:cs="Calibri" w:eastAsia="Calibri" w:hAnsi="Calibri"/>
          <w:b w:val="false"/>
          <w:bCs w:val="false"/>
          <w:i w:val="false"/>
          <w:iCs w:val="false"/>
          <w:color w:val="101820"/>
          <w:sz w:val="21"/>
          <w:szCs w:val="21"/>
        </w:rPr>
        <w:t xml:space="preserve">An earlier mock-removal audit had grepped for imports from the shared mock store. This page's fallback was defined inline in the page file, so it never matched — a genuine blind spot in that audit's method.</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Scope surfaced before building. </w:t>
      </w:r>
      <w:r>
        <w:rPr>
          <w:rFonts w:ascii="Calibri" w:cs="Calibri" w:eastAsia="Calibri" w:hAnsi="Calibri"/>
          <w:b w:val="false"/>
          <w:bCs w:val="false"/>
          <w:i w:val="false"/>
          <w:iCs w:val="false"/>
          <w:color w:val="101820"/>
          <w:sz w:val="21"/>
          <w:szCs w:val="21"/>
        </w:rPr>
        <w:t xml:space="preserve">"Fix the bug" would have meant silently hiding the error. The gap was named and the choice put to a human before a line was written.</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Built properly. </w:t>
      </w:r>
      <w:r>
        <w:rPr>
          <w:rFonts w:ascii="Calibri" w:cs="Calibri" w:eastAsia="Calibri" w:hAnsi="Calibri"/>
          <w:b w:val="false"/>
          <w:bCs w:val="false"/>
          <w:i w:val="false"/>
          <w:iCs w:val="false"/>
          <w:color w:val="101820"/>
          <w:sz w:val="21"/>
          <w:szCs w:val="21"/>
        </w:rPr>
        <w:t xml:space="preserve">A new aggregation module producing eight real metrics, reusing the multi-tenant scoping pattern already proven in neighbouring domains rather than inventing a new one.</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Proved. </w:t>
      </w:r>
      <w:r>
        <w:rPr>
          <w:rFonts w:ascii="Calibri" w:cs="Calibri" w:eastAsia="Calibri" w:hAnsi="Calibri"/>
          <w:b w:val="false"/>
          <w:bCs w:val="false"/>
          <w:i w:val="false"/>
          <w:iCs w:val="false"/>
          <w:color w:val="101820"/>
          <w:sz w:val="21"/>
          <w:szCs w:val="21"/>
        </w:rPr>
        <w:t xml:space="preserve">Eleven new unit tests, four of them dedicated to tenant isolation.</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The e2e failure. </w:t>
      </w:r>
      <w:r>
        <w:rPr>
          <w:rFonts w:ascii="Calibri" w:cs="Calibri" w:eastAsia="Calibri" w:hAnsi="Calibri"/>
          <w:b w:val="false"/>
          <w:bCs w:val="false"/>
          <w:i w:val="false"/>
          <w:iCs w:val="false"/>
          <w:color w:val="101820"/>
          <w:sz w:val="21"/>
          <w:szCs w:val="21"/>
        </w:rPr>
        <w:t xml:space="preserve">Tests failed. Rather than raising the timeout until it passed, the run was instrumented with real browser error listeners. The actual cause was a redundant navigation in the test itself aborting in-flight asset loads — a test bug, not a product bug. Fixed at the root.</w:t>
      </w:r>
    </w:p>
    <w:p>
      <w:pPr>
        <w:pBdr>
          <w:left w:val="single" w:color="9A6B1E" w:sz="18" w:space="10"/>
        </w:pBdr>
        <w:spacing w:after="180" w:before="140" w:line="290"/>
        <w:ind w:left="201"/>
      </w:pPr>
      <w:r>
        <w:rPr>
          <w:rFonts w:ascii="Calibri" w:cs="Calibri" w:eastAsia="Calibri" w:hAnsi="Calibri"/>
          <w:b/>
          <w:bCs/>
          <w:color w:val="9A6B1E"/>
          <w:sz w:val="20"/>
          <w:szCs w:val="20"/>
        </w:rPr>
        <w:t xml:space="preserve">The lesson:  </w:t>
      </w:r>
      <w:r>
        <w:rPr>
          <w:rFonts w:ascii="Calibri" w:cs="Calibri" w:eastAsia="Calibri" w:hAnsi="Calibri"/>
          <w:color w:val="101820"/>
          <w:sz w:val="21"/>
          <w:szCs w:val="21"/>
        </w:rPr>
        <w:t xml:space="preserve">Every step of that sequence produced a written artifact. In six months, the reason the dashboard module exists — and the reason the e2e spec is written the way it is — will still be answerable from the repo.</w:t>
      </w:r>
    </w:p>
    <w:p>
      <w:pPr>
        <w:pStyle w:val="Heading1"/>
        <w:spacing w:after="160" w:before="360"/>
      </w:pPr>
      <w:r>
        <w:rPr>
          <w:rFonts w:ascii="Calibri" w:cs="Calibri" w:eastAsia="Calibri" w:hAnsi="Calibri"/>
          <w:b/>
          <w:bCs/>
          <w:color w:val="101820"/>
          <w:sz w:val="32"/>
          <w:szCs w:val="32"/>
        </w:rPr>
        <w:t xml:space="preserve">8. Guardrails earned the hard way</w:t>
      </w:r>
    </w:p>
    <w:p>
      <w:pPr>
        <w:spacing w:after="140" w:line="300"/>
      </w:pPr>
      <w:r>
        <w:rPr>
          <w:rFonts w:ascii="Calibri" w:cs="Calibri" w:eastAsia="Calibri" w:hAnsi="Calibri"/>
          <w:i w:val="false"/>
          <w:iCs w:val="false"/>
          <w:color w:val="101820"/>
          <w:sz w:val="21"/>
          <w:szCs w:val="21"/>
        </w:rPr>
        <w:t xml:space="preserve">These rules are in CLAUDE.md because each one was written after a real defect, not composed in the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Rule</w:t>
            </w:r>
          </w:p>
        </w:tc>
        <w:tc>
          <w:tcPr>
            <w:tcW w:type="dxa" w:w="6060"/>
            <w:tcBorders>
              <w:top w:val="single" w:color="D7DEDC" w:sz="4"/>
              <w:left w:val="single" w:color="D7DEDC" w:sz="4"/>
              <w:bottom w:val="single" w:color="D7DEDC" w:sz="4"/>
              <w:right w:val="single" w:color="D7DEDC" w:sz="4"/>
            </w:tcBorders>
            <w:shd w:fill="101820"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What it prevents</w:t>
            </w:r>
          </w:p>
        </w:tc>
      </w:tr>
      <w:tr>
        <w:tc>
          <w:tcPr>
            <w:tcW w:type="dxa" w:w="3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Multi-tenancy is a security boundary, not a filter</w:t>
            </w:r>
          </w:p>
        </w:tc>
        <w:tc>
          <w:tcPr>
            <w:tcW w:type="dxa" w:w="60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Scoping comes from the JWT, never a client-supplied argument. Every create-mutation gets the check too — this was missing on five separate domains, because create had no natural place to hang it.</w:t>
            </w:r>
          </w:p>
        </w:tc>
      </w:tr>
      <w:tr>
        <w:tc>
          <w:tcPr>
            <w:tcW w:type="dxa" w:w="3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Match the existing contract</w:t>
            </w:r>
          </w:p>
        </w:tc>
        <w:tc>
          <w:tcPr>
            <w:tcW w:type="dxa" w:w="60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Check the frontend's actual query before writing a resolver. Inventing a "reasonable" shape has produced real bugs every time it was skipped.</w:t>
            </w:r>
          </w:p>
        </w:tc>
      </w:tr>
      <w:tr>
        <w:tc>
          <w:tcPr>
            <w:tcW w:type="dxa" w:w="3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Never commit red</w:t>
            </w:r>
          </w:p>
        </w:tc>
        <w:tc>
          <w:tcPr>
            <w:tcW w:type="dxa" w:w="60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Lint, typecheck and the full suite pass before every commit, without exception.</w:t>
            </w:r>
          </w:p>
        </w:tc>
      </w:tr>
      <w:tr>
        <w:tc>
          <w:tcPr>
            <w:tcW w:type="dxa" w:w="3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Ambiguity means stop and ask</w:t>
            </w:r>
          </w:p>
        </w:tc>
        <w:tc>
          <w:tcPr>
            <w:tcW w:type="dxa" w:w="60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An open question written down beats a guessed answer that reads confidently.</w:t>
            </w:r>
          </w:p>
        </w:tc>
      </w:tr>
      <w:tr>
        <w:tc>
          <w:tcPr>
            <w:tcW w:type="dxa" w:w="3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Don't paper over the mock fallback</w:t>
            </w:r>
          </w:p>
        </w:tc>
        <w:tc>
          <w:tcPr>
            <w:tcW w:type="dxa" w:w="60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A page still falling back to mock data for a domain that now has a real backend is a bug to fix, not a quirk to leave.</w:t>
            </w:r>
          </w:p>
        </w:tc>
      </w:tr>
      <w:tr>
        <w:tc>
          <w:tcPr>
            <w:tcW w:type="dxa" w:w="330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bCs/>
                <w:color w:val="101820"/>
                <w:sz w:val="20"/>
                <w:szCs w:val="20"/>
              </w:rPr>
              <w:t xml:space="preserve">Commit per vertical slice</w:t>
            </w:r>
          </w:p>
        </w:tc>
        <w:tc>
          <w:tcPr>
            <w:tcW w:type="dxa" w:w="6060"/>
            <w:tcBorders>
              <w:top w:val="single" w:color="D7DEDC" w:sz="4"/>
              <w:left w:val="single" w:color="D7DEDC" w:sz="4"/>
              <w:bottom w:val="single" w:color="D7DEDC" w:sz="4"/>
              <w:right w:val="single" w:color="D7DEDC" w:sz="4"/>
            </w:tcBorders>
            <w:tcMar>
              <w:top w:type="dxa" w:w="90"/>
              <w:left w:type="dxa" w:w="120"/>
              <w:bottom w:type="dxa" w:w="90"/>
              <w:right w:type="dxa" w:w="120"/>
            </w:tcMar>
          </w:tcPr>
          <w:p>
            <w:pPr>
              <w:spacing w:after="0" w:line="260"/>
            </w:pPr>
            <w:r>
              <w:rPr>
                <w:rFonts w:ascii="Calibri" w:cs="Calibri" w:eastAsia="Calibri" w:hAnsi="Calibri"/>
                <w:b w:val="false"/>
                <w:bCs w:val="false"/>
                <w:color w:val="101820"/>
                <w:sz w:val="20"/>
                <w:szCs w:val="20"/>
              </w:rPr>
              <w:t xml:space="preserve">Small, frequent, verified commits — not one large commit at the end that nobody can review.</w:t>
            </w:r>
          </w:p>
        </w:tc>
      </w:tr>
    </w:tbl>
    <w:p>
      <w:r>
        <w:br w:type="page"/>
      </w:r>
    </w:p>
    <w:p>
      <w:pPr>
        <w:pStyle w:val="Heading1"/>
        <w:spacing w:after="160" w:before="360"/>
      </w:pPr>
      <w:r>
        <w:rPr>
          <w:rFonts w:ascii="Calibri" w:cs="Calibri" w:eastAsia="Calibri" w:hAnsi="Calibri"/>
          <w:b/>
          <w:bCs/>
          <w:color w:val="101820"/>
          <w:sz w:val="32"/>
          <w:szCs w:val="32"/>
        </w:rPr>
        <w:t xml:space="preserve">9. Working efficiently</w:t>
      </w:r>
    </w:p>
    <w:p>
      <w:pPr>
        <w:spacing w:after="140" w:line="300"/>
      </w:pPr>
      <w:r>
        <w:rPr>
          <w:rFonts w:ascii="Calibri" w:cs="Calibri" w:eastAsia="Calibri" w:hAnsi="Calibri"/>
          <w:i w:val="false"/>
          <w:iCs w:val="false"/>
          <w:color w:val="101820"/>
          <w:sz w:val="21"/>
          <w:szCs w:val="21"/>
        </w:rPr>
        <w:t xml:space="preserve">Long sessions on a large codebase run into a hard ceiling: the context window. Two techniques help, and it matters which part of the work each one touches.</w:t>
      </w:r>
    </w:p>
    <w:p>
      <w:pPr>
        <w:pStyle w:val="Heading3"/>
        <w:spacing w:after="90" w:before="200"/>
      </w:pPr>
      <w:r>
        <w:rPr>
          <w:rFonts w:ascii="Calibri" w:cs="Calibri" w:eastAsia="Calibri" w:hAnsi="Calibri"/>
          <w:b/>
          <w:bCs/>
          <w:color w:val="9A6B1E"/>
          <w:sz w:val="22"/>
          <w:szCs w:val="22"/>
        </w:rPr>
        <w:t xml:space="preserve">Delegate the reading, keep the judgment</w:t>
      </w:r>
    </w:p>
    <w:p>
      <w:pPr>
        <w:spacing w:after="140" w:line="300"/>
      </w:pPr>
      <w:r>
        <w:rPr>
          <w:rFonts w:ascii="Calibri" w:cs="Calibri" w:eastAsia="Calibri" w:hAnsi="Calibri"/>
          <w:i w:val="false"/>
          <w:iCs w:val="false"/>
          <w:color w:val="101820"/>
          <w:sz w:val="21"/>
          <w:szCs w:val="21"/>
        </w:rPr>
        <w:t xml:space="preserve">Specialised subagents handle bounded jobs and return compressed findings to the main thread:</w:t>
      </w:r>
    </w:p>
    <w:p>
      <w:pPr>
        <w:pStyle w:val="ListParagraph"/>
        <w:numPr>
          <w:ilvl w:val="0"/>
          <w:numId w:val="2"/>
        </w:numPr>
        <w:spacing w:after="80" w:line="290"/>
      </w:pPr>
      <w:r>
        <w:rPr>
          <w:rFonts w:ascii="Calibri" w:cs="Calibri" w:eastAsia="Calibri" w:hAnsi="Calibri"/>
          <w:b/>
          <w:bCs/>
          <w:i w:val="false"/>
          <w:iCs w:val="false"/>
          <w:color w:val="101820"/>
          <w:sz w:val="21"/>
          <w:szCs w:val="21"/>
        </w:rPr>
        <w:t xml:space="preserve">Investigator </w:t>
      </w:r>
      <w:r>
        <w:rPr>
          <w:rFonts w:ascii="Calibri" w:cs="Calibri" w:eastAsia="Calibri" w:hAnsi="Calibri"/>
          <w:b w:val="false"/>
          <w:bCs w:val="false"/>
          <w:i w:val="false"/>
          <w:iCs w:val="false"/>
          <w:color w:val="101820"/>
          <w:sz w:val="21"/>
          <w:szCs w:val="21"/>
        </w:rPr>
        <w:t xml:space="preserve">— locate where something lives. Read-only, and its greps never enter the main conversation.</w:t>
      </w:r>
    </w:p>
    <w:p>
      <w:pPr>
        <w:pStyle w:val="ListParagraph"/>
        <w:numPr>
          <w:ilvl w:val="0"/>
          <w:numId w:val="2"/>
        </w:numPr>
        <w:spacing w:after="80" w:line="290"/>
      </w:pPr>
      <w:r>
        <w:rPr>
          <w:rFonts w:ascii="Calibri" w:cs="Calibri" w:eastAsia="Calibri" w:hAnsi="Calibri"/>
          <w:b/>
          <w:bCs/>
          <w:i w:val="false"/>
          <w:iCs w:val="false"/>
          <w:color w:val="101820"/>
          <w:sz w:val="21"/>
          <w:szCs w:val="21"/>
        </w:rPr>
        <w:t xml:space="preserve">Builder </w:t>
      </w:r>
      <w:r>
        <w:rPr>
          <w:rFonts w:ascii="Calibri" w:cs="Calibri" w:eastAsia="Calibri" w:hAnsi="Calibri"/>
          <w:b w:val="false"/>
          <w:bCs w:val="false"/>
          <w:i w:val="false"/>
          <w:iCs w:val="false"/>
          <w:color w:val="101820"/>
          <w:sz w:val="21"/>
          <w:szCs w:val="21"/>
        </w:rPr>
        <w:t xml:space="preserve">— a small, scoped edit across one or two files.</w:t>
      </w:r>
    </w:p>
    <w:p>
      <w:pPr>
        <w:pStyle w:val="ListParagraph"/>
        <w:numPr>
          <w:ilvl w:val="0"/>
          <w:numId w:val="2"/>
        </w:numPr>
        <w:spacing w:after="80" w:line="290"/>
      </w:pPr>
      <w:r>
        <w:rPr>
          <w:rFonts w:ascii="Calibri" w:cs="Calibri" w:eastAsia="Calibri" w:hAnsi="Calibri"/>
          <w:b/>
          <w:bCs/>
          <w:i w:val="false"/>
          <w:iCs w:val="false"/>
          <w:color w:val="101820"/>
          <w:sz w:val="21"/>
          <w:szCs w:val="21"/>
        </w:rPr>
        <w:t xml:space="preserve">Reviewer </w:t>
      </w:r>
      <w:r>
        <w:rPr>
          <w:rFonts w:ascii="Calibri" w:cs="Calibri" w:eastAsia="Calibri" w:hAnsi="Calibri"/>
          <w:b w:val="false"/>
          <w:bCs w:val="false"/>
          <w:i w:val="false"/>
          <w:iCs w:val="false"/>
          <w:color w:val="101820"/>
          <w:sz w:val="21"/>
          <w:szCs w:val="21"/>
        </w:rPr>
        <w:t xml:space="preserve">— review a diff and report back.</w:t>
      </w:r>
    </w:p>
    <w:p>
      <w:pPr>
        <w:pStyle w:val="Heading3"/>
        <w:spacing w:after="90" w:before="200"/>
      </w:pPr>
      <w:r>
        <w:rPr>
          <w:rFonts w:ascii="Calibri" w:cs="Calibri" w:eastAsia="Calibri" w:hAnsi="Calibri"/>
          <w:b/>
          <w:bCs/>
          <w:color w:val="9A6B1E"/>
          <w:sz w:val="22"/>
          <w:szCs w:val="22"/>
        </w:rPr>
        <w:t xml:space="preserve">Compress the exhaust, not the reasoning</w:t>
      </w:r>
    </w:p>
    <w:p>
      <w:pPr>
        <w:spacing w:after="140" w:line="300"/>
      </w:pPr>
      <w:r>
        <w:rPr>
          <w:rFonts w:ascii="Calibri" w:cs="Calibri" w:eastAsia="Calibri" w:hAnsi="Calibri"/>
          <w:i w:val="false"/>
          <w:iCs w:val="false"/>
          <w:color w:val="101820"/>
          <w:sz w:val="21"/>
          <w:szCs w:val="21"/>
        </w:rPr>
        <w:t xml:space="preserve">Terse output modes cut token spend on the narration around the work. They do not — and must not — compress the decisions themselves. The savings come from what gets written back into context, never from thinking less about a multi-tenant query.</w:t>
      </w:r>
    </w:p>
    <w:p>
      <w:pPr>
        <w:pBdr>
          <w:left w:val="single" w:color="9A6B1E" w:sz="18" w:space="10"/>
        </w:pBdr>
        <w:spacing w:after="180" w:before="140" w:line="290"/>
        <w:ind w:left="201"/>
      </w:pPr>
      <w:r>
        <w:rPr>
          <w:rFonts w:ascii="Calibri" w:cs="Calibri" w:eastAsia="Calibri" w:hAnsi="Calibri"/>
          <w:b/>
          <w:bCs/>
          <w:color w:val="9A6B1E"/>
          <w:sz w:val="20"/>
          <w:szCs w:val="20"/>
        </w:rPr>
        <w:t xml:space="preserve">The boundary:  </w:t>
      </w:r>
      <w:r>
        <w:rPr>
          <w:rFonts w:ascii="Calibri" w:cs="Calibri" w:eastAsia="Calibri" w:hAnsi="Calibri"/>
          <w:color w:val="101820"/>
          <w:sz w:val="21"/>
          <w:szCs w:val="21"/>
        </w:rPr>
        <w:t xml:space="preserve">Optimise the volume of what returns to context. Never optimise the care taken over a security boundary or a data-scoping decision.</w:t>
      </w:r>
    </w:p>
    <w:p>
      <w:pPr>
        <w:pStyle w:val="Heading1"/>
        <w:spacing w:after="160" w:before="360"/>
      </w:pPr>
      <w:r>
        <w:rPr>
          <w:rFonts w:ascii="Calibri" w:cs="Calibri" w:eastAsia="Calibri" w:hAnsi="Calibri"/>
          <w:b/>
          <w:bCs/>
          <w:color w:val="101820"/>
          <w:sz w:val="32"/>
          <w:szCs w:val="32"/>
        </w:rPr>
        <w:t xml:space="preserve">10. Adopting this on your own project</w:t>
      </w:r>
    </w:p>
    <w:p>
      <w:pPr>
        <w:spacing w:after="140" w:line="300"/>
      </w:pPr>
      <w:r>
        <w:rPr>
          <w:rFonts w:ascii="Calibri" w:cs="Calibri" w:eastAsia="Calibri" w:hAnsi="Calibri"/>
          <w:i w:val="false"/>
          <w:iCs w:val="false"/>
          <w:color w:val="101820"/>
          <w:sz w:val="21"/>
          <w:szCs w:val="21"/>
        </w:rPr>
        <w:t xml:space="preserve">The setup is a one-time cost. After that, the interaction is conversational.</w:t>
      </w:r>
    </w:p>
    <w:p>
      <w:pPr>
        <w:pStyle w:val="ListParagraph"/>
        <w:numPr>
          <w:ilvl w:val="0"/>
          <w:numId w:val="3"/>
        </w:numPr>
        <w:spacing w:after="80" w:line="290"/>
      </w:pPr>
      <w:r>
        <w:rPr>
          <w:rFonts w:ascii="Calibri" w:cs="Calibri" w:eastAsia="Calibri" w:hAnsi="Calibri"/>
          <w:color w:val="101820"/>
          <w:sz w:val="21"/>
          <w:szCs w:val="21"/>
        </w:rPr>
        <w:t xml:space="preserve">Paste the architecture setup prompt once, in the repo root. It verifies what already exists before changing anything, and stops for approval at each checkpoint.</w:t>
      </w:r>
    </w:p>
    <w:p>
      <w:pPr>
        <w:pStyle w:val="ListParagraph"/>
        <w:numPr>
          <w:ilvl w:val="0"/>
          <w:numId w:val="3"/>
        </w:numPr>
        <w:spacing w:after="80" w:line="290"/>
      </w:pPr>
      <w:r>
        <w:rPr>
          <w:rFonts w:ascii="Calibri" w:cs="Calibri" w:eastAsia="Calibri" w:hAnsi="Calibri"/>
          <w:b/>
          <w:bCs/>
          <w:i w:val="false"/>
          <w:iCs w:val="false"/>
          <w:color w:val="101820"/>
          <w:sz w:val="21"/>
          <w:szCs w:val="21"/>
        </w:rPr>
        <w:t xml:space="preserve">Review the "unknown" list it produces. </w:t>
      </w:r>
      <w:r>
        <w:rPr>
          <w:rFonts w:ascii="Calibri" w:cs="Calibri" w:eastAsia="Calibri" w:hAnsi="Calibri"/>
          <w:b w:val="false"/>
          <w:bCs w:val="false"/>
          <w:i w:val="false"/>
          <w:iCs w:val="false"/>
          <w:color w:val="101820"/>
          <w:sz w:val="21"/>
          <w:szCs w:val="21"/>
        </w:rPr>
        <w:t xml:space="preserve">Those are inference gaps only a human can close — statuses it refused to guess and IDs it refused to invent. This is the only real manual step.</w:t>
      </w:r>
    </w:p>
    <w:p>
      <w:pPr>
        <w:pStyle w:val="ListParagraph"/>
        <w:numPr>
          <w:ilvl w:val="0"/>
          <w:numId w:val="3"/>
        </w:numPr>
        <w:spacing w:after="80" w:line="290"/>
      </w:pPr>
      <w:r>
        <w:rPr>
          <w:rFonts w:ascii="Calibri" w:cs="Calibri" w:eastAsia="Calibri" w:hAnsi="Calibri"/>
          <w:color w:val="101820"/>
          <w:sz w:val="21"/>
          <w:szCs w:val="21"/>
        </w:rPr>
        <w:t xml:space="preserve">Let it write the archive sweep script and wire CLAUDE.md. Run the sweep in dry-run mode and read the output before trusting it.</w:t>
      </w:r>
    </w:p>
    <w:p>
      <w:pPr>
        <w:pStyle w:val="ListParagraph"/>
        <w:numPr>
          <w:ilvl w:val="0"/>
          <w:numId w:val="3"/>
        </w:numPr>
        <w:spacing w:after="80" w:line="290"/>
      </w:pPr>
      <w:r>
        <w:rPr>
          <w:rFonts w:ascii="Calibri" w:cs="Calibri" w:eastAsia="Calibri" w:hAnsi="Calibri"/>
          <w:b w:val="false"/>
          <w:bCs w:val="false"/>
          <w:i w:val="false"/>
          <w:iCs w:val="false"/>
          <w:color w:val="101820"/>
          <w:sz w:val="21"/>
          <w:szCs w:val="21"/>
        </w:rPr>
        <w:t xml:space="preserve">From then on, speak normally: </w:t>
      </w:r>
      <w:r>
        <w:rPr>
          <w:rFonts w:ascii="Consolas" w:cs="Consolas" w:eastAsia="Consolas" w:hAnsi="Consolas"/>
          <w:b w:val="false"/>
          <w:bCs w:val="false"/>
          <w:i w:val="false"/>
          <w:iCs w:val="false"/>
          <w:color w:val="1B7A71"/>
          <w:sz w:val="19"/>
          <w:szCs w:val="19"/>
        </w:rPr>
        <w:t xml:space="preserve">"start bug: CSV export drops the last row"</w:t>
      </w:r>
      <w:r>
        <w:rPr>
          <w:rFonts w:ascii="Calibri" w:cs="Calibri" w:eastAsia="Calibri" w:hAnsi="Calibri"/>
          <w:b w:val="false"/>
          <w:bCs w:val="false"/>
          <w:i w:val="false"/>
          <w:iCs w:val="false"/>
          <w:color w:val="101820"/>
          <w:sz w:val="21"/>
          <w:szCs w:val="21"/>
        </w:rPr>
        <w:t xml:space="preserve">, </w:t>
      </w:r>
      <w:r>
        <w:rPr>
          <w:rFonts w:ascii="Consolas" w:cs="Consolas" w:eastAsia="Consolas" w:hAnsi="Consolas"/>
          <w:b w:val="false"/>
          <w:bCs w:val="false"/>
          <w:i w:val="false"/>
          <w:iCs w:val="false"/>
          <w:color w:val="1B7A71"/>
          <w:sz w:val="19"/>
          <w:szCs w:val="19"/>
        </w:rPr>
        <w:t xml:space="preserve">"advance REQ057 to testing"</w:t>
      </w:r>
      <w:r>
        <w:rPr>
          <w:rFonts w:ascii="Calibri" w:cs="Calibri" w:eastAsia="Calibri" w:hAnsi="Calibri"/>
          <w:b w:val="false"/>
          <w:bCs w:val="false"/>
          <w:i w:val="false"/>
          <w:iCs w:val="false"/>
          <w:color w:val="101820"/>
          <w:sz w:val="21"/>
          <w:szCs w:val="21"/>
        </w:rPr>
        <w:t xml:space="preserve">, </w:t>
      </w:r>
      <w:r>
        <w:rPr>
          <w:rFonts w:ascii="Consolas" w:cs="Consolas" w:eastAsia="Consolas" w:hAnsi="Consolas"/>
          <w:b w:val="false"/>
          <w:bCs w:val="false"/>
          <w:i w:val="false"/>
          <w:iCs w:val="false"/>
          <w:color w:val="1B7A71"/>
          <w:sz w:val="19"/>
          <w:szCs w:val="19"/>
        </w:rPr>
        <w:t xml:space="preserve">"status of billing-export"</w:t>
      </w:r>
      <w:r>
        <w:rPr>
          <w:rFonts w:ascii="Calibri" w:cs="Calibri" w:eastAsia="Calibri" w:hAnsi="Calibri"/>
          <w:b w:val="false"/>
          <w:bCs w:val="false"/>
          <w:i w:val="false"/>
          <w:iCs w:val="false"/>
          <w:color w:val="101820"/>
          <w:sz w:val="21"/>
          <w:szCs w:val="21"/>
        </w:rPr>
        <w:t xml:space="preserve">.</w:t>
      </w:r>
    </w:p>
    <w:p>
      <w:pPr>
        <w:pStyle w:val="Heading2"/>
        <w:spacing w:after="120" w:before="280"/>
      </w:pPr>
      <w:r>
        <w:rPr>
          <w:rFonts w:ascii="Calibri" w:cs="Calibri" w:eastAsia="Calibri" w:hAnsi="Calibri"/>
          <w:b/>
          <w:bCs/>
          <w:color w:val="101820"/>
          <w:sz w:val="26"/>
          <w:szCs w:val="26"/>
        </w:rPr>
        <w:t xml:space="preserve">Two habits worth keeping</w:t>
      </w:r>
    </w:p>
    <w:p>
      <w:pPr>
        <w:pStyle w:val="ListParagraph"/>
        <w:numPr>
          <w:ilvl w:val="0"/>
          <w:numId w:val="2"/>
        </w:numPr>
        <w:spacing w:after="80" w:line="290"/>
      </w:pPr>
      <w:r>
        <w:rPr>
          <w:rFonts w:ascii="Calibri" w:cs="Calibri" w:eastAsia="Calibri" w:hAnsi="Calibri"/>
          <w:b/>
          <w:bCs/>
          <w:i w:val="false"/>
          <w:iCs w:val="false"/>
          <w:color w:val="101820"/>
          <w:sz w:val="21"/>
          <w:szCs w:val="21"/>
        </w:rPr>
        <w:t xml:space="preserve">Skim the sweep's dry-run output occasionally. </w:t>
      </w:r>
      <w:r>
        <w:rPr>
          <w:rFonts w:ascii="Calibri" w:cs="Calibri" w:eastAsia="Calibri" w:hAnsi="Calibri"/>
          <w:b w:val="false"/>
          <w:bCs w:val="false"/>
          <w:i w:val="false"/>
          <w:iCs w:val="false"/>
          <w:color w:val="101820"/>
          <w:sz w:val="21"/>
          <w:szCs w:val="21"/>
        </w:rPr>
        <w:t xml:space="preserve">If it ever proposes moving something you consider current, that is a status field that needs correcting — not a rule that needs loosening.</w:t>
      </w:r>
    </w:p>
    <w:p>
      <w:pPr>
        <w:pStyle w:val="ListParagraph"/>
        <w:numPr>
          <w:ilvl w:val="0"/>
          <w:numId w:val="2"/>
        </w:numPr>
        <w:spacing w:after="80" w:line="290"/>
      </w:pPr>
      <w:r>
        <w:rPr>
          <w:rFonts w:ascii="Calibri" w:cs="Calibri" w:eastAsia="Calibri" w:hAnsi="Calibri"/>
          <w:b/>
          <w:bCs/>
          <w:i w:val="false"/>
          <w:iCs w:val="false"/>
          <w:color w:val="101820"/>
          <w:sz w:val="21"/>
          <w:szCs w:val="21"/>
        </w:rPr>
        <w:t xml:space="preserve">Treat a stale index as a defect. </w:t>
      </w:r>
      <w:r>
        <w:rPr>
          <w:rFonts w:ascii="Calibri" w:cs="Calibri" w:eastAsia="Calibri" w:hAnsi="Calibri"/>
          <w:b w:val="false"/>
          <w:bCs w:val="false"/>
          <w:i w:val="false"/>
          <w:iCs w:val="false"/>
          <w:color w:val="101820"/>
          <w:sz w:val="21"/>
          <w:szCs w:val="21"/>
        </w:rPr>
        <w:t xml:space="preserve">Update it in the same change that adds or moves a document, every time. The moment indexes lag, the whole system stops being trustworthy.</w:t>
      </w:r>
    </w:p>
    <w:p>
      <w:pPr>
        <w:pBdr>
          <w:bottom w:val="single" w:color="D7DEDC" w:sz="6" w:space="6"/>
        </w:pBdr>
        <w:spacing w:after="200" w:before="200"/>
      </w:pPr>
      <w:r>
        <w:rPr>
          <w:sz w:val="2"/>
          <w:szCs w:val="2"/>
        </w:rPr>
        <w:t xml:space="preserve"/>
      </w:r>
    </w:p>
    <w:p>
      <w:pPr>
        <w:spacing w:after="100" w:before="200"/>
      </w:pPr>
      <w:r>
        <w:rPr>
          <w:rFonts w:ascii="Calibri" w:cs="Calibri" w:eastAsia="Calibri" w:hAnsi="Calibri"/>
          <w:b/>
          <w:bCs/>
          <w:color w:val="101820"/>
          <w:sz w:val="24"/>
          <w:szCs w:val="24"/>
        </w:rPr>
        <w:t xml:space="preserve">The discipline was always the right answer. Claude Code makes it cheap enough to actually keep.</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E5F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DC" w:sz="4" w:space="6"/>
      </w:pBdr>
      <w:spacing w:after="100"/>
      <w:jc w:val="right"/>
    </w:pPr>
    <w:r>
      <w:rPr>
        <w:rFonts w:ascii="Calibri" w:cs="Calibri" w:eastAsia="Calibri" w:hAnsi="Calibri"/>
        <w:color w:val="4E5F68"/>
        <w:sz w:val="16"/>
        <w:szCs w:val="16"/>
      </w:rPr>
      <w:t xml:space="preserve">MediBook · Building with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with Claude Code — MediBook Engineering Playbook</dc:title>
  <dc:creator>MediBook Engineering</dc:creator>
  <dc:description>How the MediBook team uses Claude Code: docs architecture, testing discipline, skills and guardrails.</dc:description>
  <cp:lastModifiedBy>Un-named</cp:lastModifiedBy>
  <cp:revision>1</cp:revision>
  <dcterms:created xsi:type="dcterms:W3CDTF">2026-08-20T23:58:44.704Z</dcterms:created>
  <dcterms:modified xsi:type="dcterms:W3CDTF">2026-08-20T23:58:44.705Z</dcterms:modified>
</cp:coreProperties>
</file>

<file path=docProps/custom.xml><?xml version="1.0" encoding="utf-8"?>
<Properties xmlns="http://schemas.openxmlformats.org/officeDocument/2006/custom-properties" xmlns:vt="http://schemas.openxmlformats.org/officeDocument/2006/docPropsVTypes"/>
</file>