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DISCOM Consumer Persona Intelligence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2E75B6"/>
          <w:sz w:val="36"/>
          <w:szCs w:val="36"/>
        </w:rPr>
        <w:t xml:space="preserve">Complete Scoring Framework</w:t>
      </w:r>
    </w:p>
    <w:p>
      <w:pPr>
        <w:shd w:fill="EBF3FB" w:color="auto" w:val="clear"/>
        <w:spacing w:after="300" w:before="0"/>
        <w:jc w:val="center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Data Sources: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MDM System (BLP / DLP / BPP / Events)  +  Billing System  +  IVRS/CCnB Complaints System</w:t>
      </w:r>
    </w:p>
    <w:p>
      <w:pPr>
        <w:spacing w:after="0" w:before="0"/>
      </w:pPr>
      <w:r>
        <w:br w:type="page"/>
      </w:r>
    </w:p>
    <w:p>
      <w:pPr>
        <w:shd w:fill="1F4E79" w:color="auto" w:val="clear"/>
        <w:spacing w:after="100" w:before="200"/>
        <w:ind w:left="113" w:right="113"/>
        <w:jc w:val="left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Score 1: Revenue Risk Score (0–100)</w:t>
      </w:r>
    </w:p>
    <w:p>
      <w:pPr>
        <w:spacing w:after="80" w:before="60"/>
        <w:ind w:left="170"/>
      </w:pPr>
      <w:r>
        <w:rPr>
          <w:rFonts w:ascii="Calibri" w:cs="Calibri" w:eastAsia="Calibri" w:hAnsi="Calibri"/>
          <w:b/>
          <w:bCs/>
          <w:i/>
          <w:iCs/>
          <w:color w:val="555555"/>
          <w:sz w:val="17"/>
          <w:szCs w:val="17"/>
        </w:rPr>
        <w:t xml:space="preserve">Note: 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Source: Billing System only. Higher score = higher risk of non-payment.</w:t>
      </w:r>
    </w:p>
    <w:tbl>
      <w:tblPr>
        <w:tblW w:type="pct" w:w="100%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gridSpan w:val="1"/>
            <w:shd w:fill="1F4E79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pct" w:w="42%"/>
            <w:gridSpan w:val="1"/>
            <w:shd w:fill="1F4E79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Formula</w:t>
            </w:r>
          </w:p>
        </w:tc>
        <w:tc>
          <w:tcPr>
            <w:tcW w:type="pct" w:w="12%"/>
            <w:gridSpan w:val="1"/>
            <w:shd w:fill="1F4E79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Max Pts</w:t>
            </w:r>
          </w:p>
        </w:tc>
        <w:tc>
          <w:tcPr>
            <w:tcW w:type="pct" w:w="16%"/>
            <w:gridSpan w:val="1"/>
            <w:shd w:fill="1F4E79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Billing Column</w:t>
            </w:r>
          </w:p>
        </w:tc>
      </w:tr>
      <w:tr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Arrear Ratio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min(ARRS / NET_BILL_1, 3) / 3 × 40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40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ARRS, NET_BILL_1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Overdue Days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min(today − CSH_DATE_1, 180) / 180 × 30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30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CSH_DATE_1</w:t>
            </w:r>
          </w:p>
        </w:tc>
      </w:tr>
      <w:tr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Penalty Flag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 if PENAL_CH &gt; 0 else 0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PENAL_CH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Surcharge Flag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 if SURCH &gt; 0 else 0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SURCH</w:t>
            </w:r>
          </w:p>
        </w:tc>
      </w:tr>
      <w:tr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SAMADHAN Arrear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 if SAMADHAN_ARR &gt; 0 else 0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SAMADHAN_ARR</w:t>
            </w:r>
          </w:p>
        </w:tc>
      </w:tr>
      <w:tr>
        <w:tc>
          <w:tcPr>
            <w:gridSpan w:val="1"/>
            <w:shd w:fill="1F4E79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gridSpan w:val="1"/>
            <w:shd w:fill="1F4E79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gridSpan w:val="1"/>
            <w:shd w:fill="1F4E79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100</w:t>
            </w:r>
          </w:p>
        </w:tc>
        <w:tc>
          <w:tcPr>
            <w:gridSpan w:val="1"/>
            <w:shd w:fill="1F4E79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</w:tr>
    </w:tbl>
    <w:p>
      <w:pPr>
        <w:spacing w:after="160" w:before="80"/>
        <w:jc w:val="left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Tiers: 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Safe  0–30   |   Watch  31–65   |   Enforce  66–100</w:t>
      </w:r>
    </w:p>
    <w:p>
      <w:pPr>
        <w:spacing w:after="0" w:before="0"/>
      </w:pPr>
      <w:r>
        <w:br w:type="page"/>
      </w:r>
    </w:p>
    <w:p>
      <w:pPr>
        <w:shd w:fill="375623" w:color="auto" w:val="clear"/>
        <w:spacing w:after="100" w:before="200"/>
        <w:ind w:left="113" w:right="113"/>
        <w:jc w:val="left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Score 2: Peak Impact Score (0–100)</w:t>
      </w:r>
    </w:p>
    <w:p>
      <w:pPr>
        <w:spacing w:after="80" w:before="60"/>
        <w:ind w:left="170"/>
      </w:pPr>
      <w:r>
        <w:rPr>
          <w:rFonts w:ascii="Calibri" w:cs="Calibri" w:eastAsia="Calibri" w:hAnsi="Calibri"/>
          <w:b/>
          <w:bCs/>
          <w:i/>
          <w:iCs/>
          <w:color w:val="555555"/>
          <w:sz w:val="17"/>
          <w:szCs w:val="17"/>
        </w:rPr>
        <w:t xml:space="preserve">Note: 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Source: MDM System only. SL (Sanctioned Load) from R_Consumer_all. Higher score = greater stress on distribution transformer.</w:t>
      </w:r>
    </w:p>
    <w:tbl>
      <w:tblPr>
        <w:tblW w:type="pct" w:w="100%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gridSpan w:val="1"/>
            <w:shd w:fill="375623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pct" w:w="36%"/>
            <w:gridSpan w:val="1"/>
            <w:shd w:fill="375623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Formula</w:t>
            </w:r>
          </w:p>
        </w:tc>
        <w:tc>
          <w:tcPr>
            <w:tcW w:type="pct" w:w="10%"/>
            <w:gridSpan w:val="1"/>
            <w:shd w:fill="375623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Max Pts</w:t>
            </w:r>
          </w:p>
        </w:tc>
        <w:tc>
          <w:tcPr>
            <w:tcW w:type="pct" w:w="18%"/>
            <w:gridSpan w:val="1"/>
            <w:shd w:fill="375623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MDM Table</w:t>
            </w:r>
          </w:p>
        </w:tc>
        <w:tc>
          <w:tcPr>
            <w:tcW w:type="pct" w:w="14%"/>
            <w:gridSpan w:val="1"/>
            <w:shd w:fill="375623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Column</w:t>
            </w:r>
          </w:p>
        </w:tc>
      </w:tr>
      <w:tr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Load Ratio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min(max(kW from BLP) / SL, 1.5) / 1.5 × 35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35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t_blp_tp + R_Consumer_all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kW, SL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Monthly kWh Trend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min((avg last 3 BPP Kwh_imp / avg prev 3) − 1, 0.5) / 0.5 × 25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25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t_bpp_agg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Kwh_imp</w:t>
            </w:r>
          </w:p>
        </w:tc>
      </w:tr>
      <w:tr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Peak Hour %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(DLP Kwh_imp 6pm–10pm / total daily Kwh_imp) × 20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20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t_dlp_agg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Kwh_imp, TS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Power Factor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(1 − avg(pf)) × 20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20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t_blp_tp / t_blp_sp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pf</w:t>
            </w:r>
          </w:p>
        </w:tc>
      </w:tr>
      <w:tr>
        <w:tc>
          <w:tcPr>
            <w:gridSpan w:val="1"/>
            <w:shd w:fill="375623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gridSpan w:val="1"/>
            <w:shd w:fill="375623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gridSpan w:val="1"/>
            <w:shd w:fill="375623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100</w:t>
            </w:r>
          </w:p>
        </w:tc>
        <w:tc>
          <w:tcPr>
            <w:gridSpan w:val="1"/>
            <w:shd w:fill="375623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gridSpan w:val="1"/>
            <w:shd w:fill="375623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60"/>
        <w:jc w:val="left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BLP = 15/30-min interval readings  |  DLP = Daily aggregated  |  BPP = Monthly aggregated</w:t>
      </w:r>
    </w:p>
    <w:p>
      <w:pPr>
        <w:spacing w:after="160" w:before="80"/>
        <w:jc w:val="left"/>
      </w:pPr>
      <w:r>
        <w:rPr>
          <w:rFonts w:ascii="Calibri" w:cs="Calibri" w:eastAsia="Calibri" w:hAnsi="Calibri"/>
          <w:b/>
          <w:bCs/>
          <w:color w:val="375623"/>
          <w:sz w:val="18"/>
          <w:szCs w:val="18"/>
        </w:rPr>
        <w:t xml:space="preserve">Tiers: 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Low  0–30   |   Medium  31–65   |   High  66–100</w:t>
      </w:r>
    </w:p>
    <w:p>
      <w:pPr>
        <w:spacing w:after="0" w:before="0"/>
      </w:pPr>
      <w:r>
        <w:br w:type="page"/>
      </w:r>
    </w:p>
    <w:p>
      <w:pPr>
        <w:shd w:fill="833C00" w:color="auto" w:val="clear"/>
        <w:spacing w:after="100" w:before="200"/>
        <w:ind w:left="113" w:right="113"/>
        <w:jc w:val="left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Score 3: Complaint Risk Score (0–100)</w:t>
      </w:r>
    </w:p>
    <w:p>
      <w:pPr>
        <w:spacing w:after="80" w:before="60"/>
        <w:ind w:left="170"/>
      </w:pPr>
      <w:r>
        <w:rPr>
          <w:rFonts w:ascii="Calibri" w:cs="Calibri" w:eastAsia="Calibri" w:hAnsi="Calibri"/>
          <w:b/>
          <w:bCs/>
          <w:i/>
          <w:iCs/>
          <w:color w:val="555555"/>
          <w:sz w:val="17"/>
          <w:szCs w:val="17"/>
        </w:rPr>
        <w:t xml:space="preserve">Note: 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Source: IVRS/CCnB Complaints System. Joined to consumer via CA Number → CONS_NO_1. Higher score = higher likelihood of escalation or ombudsman filing.</w:t>
      </w:r>
    </w:p>
    <w:tbl>
      <w:tblPr>
        <w:tblW w:type="pct" w:w="100%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gridSpan w:val="1"/>
            <w:shd w:fill="833C00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pct" w:w="44%"/>
            <w:gridSpan w:val="1"/>
            <w:shd w:fill="833C00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Formula</w:t>
            </w:r>
          </w:p>
        </w:tc>
        <w:tc>
          <w:tcPr>
            <w:tcW w:type="pct" w:w="12%"/>
            <w:gridSpan w:val="1"/>
            <w:shd w:fill="833C00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Max Pts</w:t>
            </w:r>
          </w:p>
        </w:tc>
        <w:tc>
          <w:tcPr>
            <w:tcW w:type="pct" w:w="16%"/>
            <w:gridSpan w:val="1"/>
            <w:shd w:fill="833C00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Complaint Column</w:t>
            </w:r>
          </w:p>
        </w:tc>
      </w:tr>
      <w:tr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Open/In-Progress Complaints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min(count(Status IN Open, In Progress), 2) / 2 × 40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40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TAT Breached Count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min(count(TAT_Status = Breached), 3) / 3 × 30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30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TAT Status</w:t>
            </w:r>
          </w:p>
        </w:tc>
      </w:tr>
      <w:tr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Critical Priority Count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min(count(Priority = Critical), 4) / 4 × 20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20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Priority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Repeat Pattern Flag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 if total complaint count &gt; 3 else 0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Complaint ID</w:t>
            </w:r>
          </w:p>
        </w:tc>
      </w:tr>
      <w:tr>
        <w:tc>
          <w:tcPr>
            <w:gridSpan w:val="1"/>
            <w:shd w:fill="833C00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gridSpan w:val="1"/>
            <w:shd w:fill="833C00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gridSpan w:val="1"/>
            <w:shd w:fill="833C00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100</w:t>
            </w:r>
          </w:p>
        </w:tc>
        <w:tc>
          <w:tcPr>
            <w:gridSpan w:val="1"/>
            <w:shd w:fill="833C00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833C00"/>
          <w:sz w:val="18"/>
          <w:szCs w:val="18"/>
        </w:rPr>
        <w:t xml:space="preserve">Tiers: 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Low  0–30   |   Medium  31–65   |   High  66–100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833C00"/>
          <w:sz w:val="22"/>
          <w:szCs w:val="22"/>
        </w:rPr>
        <w:t xml:space="preserve">Complaint Type → Risk Mapping</w:t>
      </w:r>
    </w:p>
    <w:tbl>
      <w:tblPr>
        <w:tblW w:type="pct" w:w="100%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gridSpan w:val="1"/>
            <w:shd w:fill="833C00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Complaint Type</w:t>
            </w:r>
          </w:p>
        </w:tc>
        <w:tc>
          <w:tcPr>
            <w:tcW w:type="pct" w:w="40%"/>
            <w:gridSpan w:val="1"/>
            <w:shd w:fill="833C00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Subcategory</w:t>
            </w:r>
          </w:p>
        </w:tc>
        <w:tc>
          <w:tcPr>
            <w:tcW w:type="pct" w:w="38%"/>
            <w:gridSpan w:val="1"/>
            <w:shd w:fill="833C00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Risk Signal</w:t>
            </w:r>
          </w:p>
        </w:tc>
      </w:tr>
      <w:tr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Supply Failure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Complete outage, Feeder tripped, DTR tripped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Peak Impact + Complaint Risk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Supply Failure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Neutral fault, Partial supply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Field Ops escalation</w:t>
            </w:r>
          </w:p>
        </w:tc>
      </w:tr>
      <w:tr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Voltage Related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Low voltage, High voltage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Peak Impact signal + DT stress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Voltage Related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Voltage fluctuation, Unbalanced phases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Complaint Risk + Regulatory flag risk</w:t>
            </w:r>
          </w:p>
        </w:tc>
      </w:tr>
      <w:tr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Billing Related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High bill complaint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Bill Shock validation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Billing Related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Wrong meter reading, Meter defective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Regulatory Risk trigger</w:t>
            </w:r>
          </w:p>
        </w:tc>
      </w:tr>
      <w:tr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Billing Related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Billing dispute (unresolved &gt; TAT)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Ombudsman Escalator persona trigger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Billing Related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bill received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Low Engagement signal</w:t>
            </w:r>
          </w:p>
        </w:tc>
      </w:tr>
    </w:tbl>
    <w:p>
      <w:pPr>
        <w:spacing w:after="0" w:before="0"/>
      </w:pPr>
      <w:r>
        <w:br w:type="page"/>
      </w:r>
    </w:p>
    <w:p>
      <w:pPr>
        <w:shd w:fill="7030A0" w:color="auto" w:val="clear"/>
        <w:spacing w:after="100" w:before="200"/>
        <w:ind w:left="113" w:right="113"/>
        <w:jc w:val="left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Score 4: DSM Readiness Score (0–100)</w:t>
      </w:r>
    </w:p>
    <w:p>
      <w:pPr>
        <w:spacing w:after="80" w:before="60"/>
        <w:ind w:left="170"/>
      </w:pPr>
      <w:r>
        <w:rPr>
          <w:rFonts w:ascii="Calibri" w:cs="Calibri" w:eastAsia="Calibri" w:hAnsi="Calibri"/>
          <w:b/>
          <w:bCs/>
          <w:i/>
          <w:iCs/>
          <w:color w:val="555555"/>
          <w:sz w:val="17"/>
          <w:szCs w:val="17"/>
        </w:rPr>
        <w:t xml:space="preserve">Note: 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Mixed sources. Higher score = better candidate for Demand Response / DSM programmes.</w:t>
      </w:r>
    </w:p>
    <w:tbl>
      <w:tblPr>
        <w:tblW w:type="pct" w:w="100%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gridSpan w:val="1"/>
            <w:shd w:fill="7030A0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pct" w:w="34%"/>
            <w:gridSpan w:val="1"/>
            <w:shd w:fill="7030A0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Formula</w:t>
            </w:r>
          </w:p>
        </w:tc>
        <w:tc>
          <w:tcPr>
            <w:tcW w:type="pct" w:w="10%"/>
            <w:gridSpan w:val="1"/>
            <w:shd w:fill="7030A0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Max Pts</w:t>
            </w:r>
          </w:p>
        </w:tc>
        <w:tc>
          <w:tcPr>
            <w:tcW w:type="pct" w:w="16%"/>
            <w:gridSpan w:val="1"/>
            <w:shd w:fill="7030A0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pct" w:w="16%"/>
            <w:gridSpan w:val="1"/>
            <w:shd w:fill="7030A0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Column</w:t>
            </w:r>
          </w:p>
        </w:tc>
      </w:tr>
      <w:tr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Flexible Load (TOD)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(TOD_UNITS / MTR_UNITS) × 30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30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Billing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TOD_UNITS, MTR_UNITS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Solar / Export Capable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25 if wh_exp &gt; 0 else 0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25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MDM — t_blp_tp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wh_exp</w:t>
            </w:r>
          </w:p>
        </w:tc>
      </w:tr>
      <w:tr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Power Factor Quality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20 if avg(pf) &gt; 0.90 else 0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20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MDM — t_blp_tp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pf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Phase Type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 if PHASE = 3-phase else 0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Billing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PHASE</w:t>
            </w:r>
          </w:p>
        </w:tc>
      </w:tr>
      <w:tr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Max Demand Level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 if md_w_imp &gt; 5000 else 0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MDM — t_ip_tp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md_w_imp</w:t>
            </w:r>
          </w:p>
        </w:tc>
      </w:tr>
      <w:tr>
        <w:tc>
          <w:tcPr>
            <w:gridSpan w:val="1"/>
            <w:shd w:fill="7030A0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gridSpan w:val="1"/>
            <w:shd w:fill="7030A0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gridSpan w:val="1"/>
            <w:shd w:fill="7030A0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100</w:t>
            </w:r>
          </w:p>
        </w:tc>
        <w:tc>
          <w:tcPr>
            <w:gridSpan w:val="1"/>
            <w:shd w:fill="7030A0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gridSpan w:val="1"/>
            <w:shd w:fill="7030A0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</w:tr>
    </w:tbl>
    <w:p>
      <w:pPr>
        <w:spacing w:after="160" w:before="80"/>
        <w:jc w:val="left"/>
      </w:pPr>
      <w:r>
        <w:rPr>
          <w:rFonts w:ascii="Calibri" w:cs="Calibri" w:eastAsia="Calibri" w:hAnsi="Calibri"/>
          <w:b/>
          <w:bCs/>
          <w:color w:val="7030A0"/>
          <w:sz w:val="18"/>
          <w:szCs w:val="18"/>
        </w:rPr>
        <w:t xml:space="preserve">Tiers: 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Not Ready  0–30   |   Partial  31–65   |   DR Ready  66–100</w:t>
      </w:r>
    </w:p>
    <w:p>
      <w:pPr>
        <w:spacing w:after="0" w:before="0"/>
      </w:pPr>
      <w:r>
        <w:br w:type="page"/>
      </w:r>
    </w:p>
    <w:p>
      <w:pPr>
        <w:shd w:fill="006B6B" w:color="auto" w:val="clear"/>
        <w:spacing w:after="100" w:before="200"/>
        <w:ind w:left="113" w:right="113"/>
        <w:jc w:val="left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Score 5: Engagement Score (0–100)</w:t>
      </w:r>
    </w:p>
    <w:p>
      <w:pPr>
        <w:spacing w:after="80" w:before="60"/>
        <w:ind w:left="170"/>
      </w:pPr>
      <w:r>
        <w:rPr>
          <w:rFonts w:ascii="Calibri" w:cs="Calibri" w:eastAsia="Calibri" w:hAnsi="Calibri"/>
          <w:b/>
          <w:bCs/>
          <w:i/>
          <w:iCs/>
          <w:color w:val="555555"/>
          <w:sz w:val="17"/>
          <w:szCs w:val="17"/>
        </w:rPr>
        <w:t xml:space="preserve">Note: 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Mixed sources. Higher score = consumer is more digitally engaged and reachable.</w:t>
      </w:r>
    </w:p>
    <w:tbl>
      <w:tblPr>
        <w:tblW w:type="pct" w:w="100%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gridSpan w:val="1"/>
            <w:shd w:fill="006B6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pct" w:w="34%"/>
            <w:gridSpan w:val="1"/>
            <w:shd w:fill="006B6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Formula</w:t>
            </w:r>
          </w:p>
        </w:tc>
        <w:tc>
          <w:tcPr>
            <w:tcW w:type="pct" w:w="10%"/>
            <w:gridSpan w:val="1"/>
            <w:shd w:fill="006B6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Max Pts</w:t>
            </w:r>
          </w:p>
        </w:tc>
        <w:tc>
          <w:tcPr>
            <w:tcW w:type="pct" w:w="14%"/>
            <w:gridSpan w:val="1"/>
            <w:shd w:fill="006B6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pct" w:w="16%"/>
            <w:gridSpan w:val="1"/>
            <w:shd w:fill="006B6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Column</w:t>
            </w:r>
          </w:p>
        </w:tc>
      </w:tr>
      <w:tr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Digital Payment Method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40 if CSH_DATE_1 populated else 0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40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Billing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CSH_DATE_1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On-Time Payment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25 if overdue days = 0 else 0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25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Billing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CSH_DATE_1</w:t>
            </w:r>
          </w:p>
        </w:tc>
      </w:tr>
      <w:tr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Mobile Registered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20 if MOBILE populated else 0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20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Billing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MOBILE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Meter Communication Active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 if communication_status = active else 0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MDM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t_communication_status</w:t>
            </w:r>
          </w:p>
        </w:tc>
      </w:tr>
      <w:tr>
        <w:tc>
          <w:tcPr>
            <w:gridSpan w:val="1"/>
            <w:shd w:fill="006B6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gridSpan w:val="1"/>
            <w:shd w:fill="006B6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gridSpan w:val="1"/>
            <w:shd w:fill="006B6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100</w:t>
            </w:r>
          </w:p>
        </w:tc>
        <w:tc>
          <w:tcPr>
            <w:gridSpan w:val="1"/>
            <w:shd w:fill="006B6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gridSpan w:val="1"/>
            <w:shd w:fill="006B6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</w:tr>
    </w:tbl>
    <w:p>
      <w:pPr>
        <w:spacing w:after="160" w:before="80"/>
        <w:jc w:val="left"/>
      </w:pPr>
      <w:r>
        <w:rPr>
          <w:rFonts w:ascii="Calibri" w:cs="Calibri" w:eastAsia="Calibri" w:hAnsi="Calibri"/>
          <w:b/>
          <w:bCs/>
          <w:color w:val="006B6B"/>
          <w:sz w:val="18"/>
          <w:szCs w:val="18"/>
        </w:rPr>
        <w:t xml:space="preserve">Tiers: 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Offline  0–30   |   Partial Digital  31–65   |   Digital First  66–100</w:t>
      </w:r>
    </w:p>
    <w:p>
      <w:pPr>
        <w:spacing w:after="0" w:before="0"/>
      </w:pPr>
      <w:r>
        <w:br w:type="page"/>
      </w:r>
    </w:p>
    <w:p>
      <w:pPr>
        <w:shd w:fill="C00000" w:color="auto" w:val="clear"/>
        <w:spacing w:after="100" w:before="200"/>
        <w:ind w:left="113" w:right="113"/>
        <w:jc w:val="left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Score 6: Regulatory Risk Flag (Boolean — 0 or 1)</w:t>
      </w:r>
    </w:p>
    <w:p>
      <w:pPr>
        <w:spacing w:after="80" w:before="60"/>
        <w:ind w:left="170"/>
      </w:pPr>
      <w:r>
        <w:rPr>
          <w:rFonts w:ascii="Calibri" w:cs="Calibri" w:eastAsia="Calibri" w:hAnsi="Calibri"/>
          <w:b/>
          <w:bCs/>
          <w:i/>
          <w:iCs/>
          <w:color w:val="555555"/>
          <w:sz w:val="17"/>
          <w:szCs w:val="17"/>
        </w:rPr>
        <w:t xml:space="preserve">Note: 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Flag = 1 if ANY ONE trigger is true. Requires senior officer handling.</w:t>
      </w:r>
    </w:p>
    <w:tbl>
      <w:tblPr>
        <w:tblW w:type="pct" w:w="100%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gridSpan w:val="1"/>
            <w:shd w:fill="C00000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Trigger</w:t>
            </w:r>
          </w:p>
        </w:tc>
        <w:tc>
          <w:tcPr>
            <w:tcW w:type="pct" w:w="36%"/>
            <w:gridSpan w:val="1"/>
            <w:shd w:fill="C00000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Condition</w:t>
            </w:r>
          </w:p>
        </w:tc>
        <w:tc>
          <w:tcPr>
            <w:tcW w:type="pct" w:w="16%"/>
            <w:gridSpan w:val="1"/>
            <w:shd w:fill="C00000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pct" w:w="22%"/>
            <w:gridSpan w:val="1"/>
            <w:shd w:fill="C00000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Column</w:t>
            </w:r>
          </w:p>
        </w:tc>
      </w:tr>
      <w:tr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BPL Consumer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BPL_FLAG = Y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Billing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BPL_FLAG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Govt Scheme Beneficiary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SARAL_FLAG = Y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Billing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SARAL_FLAG</w:t>
            </w:r>
          </w:p>
        </w:tc>
      </w:tr>
      <w:tr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Settlement Scheme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SAMADHAN_ARR &gt; 0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Billing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SAMADHAN_ARR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Contested Arrear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ARRS &gt; 3 × NET_BILL_1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Billing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ARRS, NET_BILL_1</w:t>
            </w:r>
          </w:p>
        </w:tc>
      </w:tr>
      <w:tr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Tamper Event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evnt_id IN tamper codes (M_Event)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MDM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t_event_sp / t_event_tp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Billing Dispute TAT Breach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Billing dispute complaint with TAT Breached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Complaints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Complaint Type, TAT Status</w:t>
            </w:r>
          </w:p>
        </w:tc>
      </w:tr>
      <w:tr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Critical Complaint Unresolved &gt;30 days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count(Critical, Unresolved, age&gt;30d) &gt; 0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Complaints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Priority, Status, Created Date</w:t>
            </w:r>
          </w:p>
        </w:tc>
      </w:tr>
    </w:tbl>
    <w:p>
      <w:pPr>
        <w:spacing w:after="0" w:before="0"/>
      </w:pPr>
      <w:r>
        <w:br w:type="page"/>
      </w:r>
    </w:p>
    <w:p>
      <w:pPr>
        <w:shd w:fill="1F4E79" w:color="auto" w:val="clear"/>
        <w:spacing w:after="100" w:before="200"/>
        <w:ind w:left="113" w:right="113"/>
        <w:jc w:val="left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Complete Use Case Score Profiles</w:t>
      </w:r>
    </w:p>
    <w:p>
      <w:pPr>
        <w:spacing w:after="80" w:before="60"/>
        <w:ind w:left="170"/>
      </w:pPr>
      <w:r>
        <w:rPr>
          <w:rFonts w:ascii="Calibri" w:cs="Calibri" w:eastAsia="Calibri" w:hAnsi="Calibri"/>
          <w:b/>
          <w:bCs/>
          <w:i/>
          <w:iCs/>
          <w:color w:val="555555"/>
          <w:sz w:val="17"/>
          <w:szCs w:val="17"/>
        </w:rPr>
        <w:t xml:space="preserve">Note: 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Score ranges for each use case / persona. H = High (66–100), M = Medium (31–65), L = Low (0–30), FLAG = Regulatory flag set.</w:t>
      </w:r>
    </w:p>
    <w:tbl>
      <w:tblPr>
        <w:tblW w:type="pct" w:w="100%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%"/>
            <w:gridSpan w:val="1"/>
            <w:shd w:fill="1F4E79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pct" w:w="20%"/>
            <w:gridSpan w:val="1"/>
            <w:shd w:fill="1F4E79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Use Case / Persona</w:t>
            </w:r>
          </w:p>
        </w:tc>
        <w:tc>
          <w:tcPr>
            <w:tcW w:type="pct" w:w="9%"/>
            <w:gridSpan w:val="1"/>
            <w:shd w:fill="1F4E79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Rev Risk</w:t>
            </w:r>
          </w:p>
        </w:tc>
        <w:tc>
          <w:tcPr>
            <w:tcW w:type="pct" w:w="9%"/>
            <w:gridSpan w:val="1"/>
            <w:shd w:fill="1F4E79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Peak Impact</w:t>
            </w:r>
          </w:p>
        </w:tc>
        <w:tc>
          <w:tcPr>
            <w:tcW w:type="pct" w:w="11%"/>
            <w:gridSpan w:val="1"/>
            <w:shd w:fill="1F4E79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Complaint Risk</w:t>
            </w:r>
          </w:p>
        </w:tc>
        <w:tc>
          <w:tcPr>
            <w:tcW w:type="pct" w:w="10%"/>
            <w:gridSpan w:val="1"/>
            <w:shd w:fill="1F4E79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DSM Readiness</w:t>
            </w:r>
          </w:p>
        </w:tc>
        <w:tc>
          <w:tcPr>
            <w:tcW w:type="pct" w:w="9%"/>
            <w:gridSpan w:val="1"/>
            <w:shd w:fill="1F4E79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Engagement</w:t>
            </w:r>
          </w:p>
        </w:tc>
        <w:tc>
          <w:tcPr>
            <w:tcW w:type="pct" w:w="8%"/>
            <w:gridSpan w:val="1"/>
            <w:shd w:fill="1F4E79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Reg Flag</w:t>
            </w:r>
          </w:p>
        </w:tc>
        <w:tc>
          <w:tcPr>
            <w:tcW w:type="pct" w:w="20%"/>
            <w:gridSpan w:val="1"/>
            <w:shd w:fill="1F4E79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Primary Action Team</w:t>
            </w:r>
          </w:p>
        </w:tc>
      </w:tr>
      <w:tr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Chronic Defaulter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5C1A"/>
                <w:sz w:val="16"/>
                <w:szCs w:val="16"/>
              </w:rPr>
              <w:t xml:space="preserve">H (75–100)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M–H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4499"/>
                <w:sz w:val="16"/>
                <w:szCs w:val="16"/>
              </w:rPr>
              <w:t xml:space="preserve">L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4499"/>
                <w:sz w:val="16"/>
                <w:szCs w:val="16"/>
              </w:rPr>
              <w:t xml:space="preserve">L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Possible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Senior Collections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Strategic Defaulter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5C1A"/>
                <w:sz w:val="16"/>
                <w:szCs w:val="16"/>
              </w:rPr>
              <w:t xml:space="preserve">H (70–95)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4499"/>
                <w:sz w:val="16"/>
                <w:szCs w:val="16"/>
              </w:rPr>
              <w:t xml:space="preserve">L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FLAG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Senior Collections + Legal</w:t>
            </w:r>
          </w:p>
        </w:tc>
      </w:tr>
      <w:tr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Accidental Late Payer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 (31–55)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L–M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4499"/>
                <w:sz w:val="16"/>
                <w:szCs w:val="16"/>
              </w:rPr>
              <w:t xml:space="preserve">L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Collections (SMS/digital)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At-Risk High Value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5C1A"/>
                <w:sz w:val="16"/>
                <w:szCs w:val="16"/>
              </w:rPr>
              <w:t xml:space="preserve">H (66–85)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M–H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Senior Collections (personal)</w:t>
            </w:r>
          </w:p>
        </w:tc>
      </w:tr>
      <w:tr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Seasonal Defaulter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 (40–65)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L–M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Collections (pre-summer)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Low Income / Subsidized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 (35–60)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4499"/>
                <w:sz w:val="16"/>
                <w:szCs w:val="16"/>
              </w:rPr>
              <w:t xml:space="preserve">L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4499"/>
                <w:sz w:val="16"/>
                <w:szCs w:val="16"/>
              </w:rPr>
              <w:t xml:space="preserve">L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4499"/>
                <w:sz w:val="16"/>
                <w:szCs w:val="16"/>
              </w:rPr>
              <w:t xml:space="preserve">L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FLAG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CX + Welfare</w:t>
            </w:r>
          </w:p>
        </w:tc>
      </w:tr>
      <w:tr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Ombudsman Escalator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M–H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L–M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5C1A"/>
                <w:sz w:val="16"/>
                <w:szCs w:val="16"/>
              </w:rPr>
              <w:t xml:space="preserve">H (75–100)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4499"/>
                <w:sz w:val="16"/>
                <w:szCs w:val="16"/>
              </w:rPr>
              <w:t xml:space="preserve">L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L–M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FLAG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CX Head + Legal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Bill Shock Prone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 (40–65)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5C1A"/>
                <w:sz w:val="16"/>
                <w:szCs w:val="16"/>
              </w:rPr>
              <w:t xml:space="preserve">H (60–85)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Billing Ops</w:t>
            </w:r>
          </w:p>
        </w:tc>
      </w:tr>
      <w:tr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9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Industrial Peak Contributor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4499"/>
                <w:sz w:val="16"/>
                <w:szCs w:val="16"/>
              </w:rPr>
              <w:t xml:space="preserve">L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5C1A"/>
                <w:sz w:val="16"/>
                <w:szCs w:val="16"/>
              </w:rPr>
              <w:t xml:space="preserve">H (70–100)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L–M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5C1A"/>
                <w:sz w:val="16"/>
                <w:szCs w:val="16"/>
              </w:rPr>
              <w:t xml:space="preserve">H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5C1A"/>
                <w:sz w:val="16"/>
                <w:szCs w:val="16"/>
              </w:rPr>
              <w:t xml:space="preserve">H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DSM Team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EV Adopter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4499"/>
                <w:sz w:val="16"/>
                <w:szCs w:val="16"/>
              </w:rPr>
              <w:t xml:space="preserve">L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5C1A"/>
                <w:sz w:val="16"/>
                <w:szCs w:val="16"/>
              </w:rPr>
              <w:t xml:space="preserve">H (65–90)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4499"/>
                <w:sz w:val="16"/>
                <w:szCs w:val="16"/>
              </w:rPr>
              <w:t xml:space="preserve">L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5C1A"/>
                <w:sz w:val="16"/>
                <w:szCs w:val="16"/>
              </w:rPr>
              <w:t xml:space="preserve">H (75–100)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5C1A"/>
                <w:sz w:val="16"/>
                <w:szCs w:val="16"/>
              </w:rPr>
              <w:t xml:space="preserve">H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DSM Team</w:t>
            </w:r>
          </w:p>
        </w:tc>
      </w:tr>
      <w:tr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11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Rooftop Solar / Prosumer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4499"/>
                <w:sz w:val="16"/>
                <w:szCs w:val="16"/>
              </w:rPr>
              <w:t xml:space="preserve">L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L (10–25)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4499"/>
                <w:sz w:val="16"/>
                <w:szCs w:val="16"/>
              </w:rPr>
              <w:t xml:space="preserve">L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5C1A"/>
                <w:sz w:val="16"/>
                <w:szCs w:val="16"/>
              </w:rPr>
              <w:t xml:space="preserve">H (80–100)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5C1A"/>
                <w:sz w:val="16"/>
                <w:szCs w:val="16"/>
              </w:rPr>
              <w:t xml:space="preserve">H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DSM Team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Flexible Load Consumer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4499"/>
                <w:sz w:val="16"/>
                <w:szCs w:val="16"/>
              </w:rPr>
              <w:t xml:space="preserve">L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M–H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4499"/>
                <w:sz w:val="16"/>
                <w:szCs w:val="16"/>
              </w:rPr>
              <w:t xml:space="preserve">L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5C1A"/>
                <w:sz w:val="16"/>
                <w:szCs w:val="16"/>
              </w:rPr>
              <w:t xml:space="preserve">H (66–90)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5C1A"/>
                <w:sz w:val="16"/>
                <w:szCs w:val="16"/>
              </w:rPr>
              <w:t xml:space="preserve">H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DSM Team</w:t>
            </w:r>
          </w:p>
        </w:tc>
      </w:tr>
      <w:tr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13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Digital Champion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4499"/>
                <w:sz w:val="16"/>
                <w:szCs w:val="16"/>
              </w:rPr>
              <w:t xml:space="preserve">L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L–M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4499"/>
                <w:sz w:val="16"/>
                <w:szCs w:val="16"/>
              </w:rPr>
              <w:t xml:space="preserve">L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M–H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5C1A"/>
                <w:sz w:val="16"/>
                <w:szCs w:val="16"/>
              </w:rPr>
              <w:t xml:space="preserve">H (80–100)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Digital Team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14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Prompt Payer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L (0–20)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L–M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L (0–20)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5C1A"/>
                <w:sz w:val="16"/>
                <w:szCs w:val="16"/>
              </w:rPr>
              <w:t xml:space="preserve">H (70–100)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No action (retain)</w:t>
            </w:r>
          </w:p>
        </w:tc>
      </w:tr>
      <w:tr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Loyal Long-Tenure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4499"/>
                <w:sz w:val="16"/>
                <w:szCs w:val="16"/>
              </w:rPr>
              <w:t xml:space="preserve">L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L–M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4499"/>
                <w:sz w:val="16"/>
                <w:szCs w:val="16"/>
              </w:rPr>
              <w:t xml:space="preserve">L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5C1A"/>
                <w:sz w:val="16"/>
                <w:szCs w:val="16"/>
              </w:rPr>
              <w:t xml:space="preserve">H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CX (loyalty programme)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16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New Consumer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4499"/>
                <w:sz w:val="16"/>
                <w:szCs w:val="16"/>
              </w:rPr>
              <w:t xml:space="preserve">L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4499"/>
                <w:sz w:val="16"/>
                <w:szCs w:val="16"/>
              </w:rPr>
              <w:t xml:space="preserve">L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4499"/>
                <w:sz w:val="16"/>
                <w:szCs w:val="16"/>
              </w:rPr>
              <w:t xml:space="preserve">L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4499"/>
                <w:sz w:val="16"/>
                <w:szCs w:val="16"/>
              </w:rPr>
              <w:t xml:space="preserve">L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CX (onboarding)</w:t>
            </w:r>
          </w:p>
        </w:tc>
      </w:tr>
      <w:tr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17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Large Apartment Complex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5C1A"/>
                <w:sz w:val="16"/>
                <w:szCs w:val="16"/>
              </w:rPr>
              <w:t xml:space="preserve">H (60–80)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5C1A"/>
                <w:sz w:val="16"/>
                <w:szCs w:val="16"/>
              </w:rPr>
              <w:t xml:space="preserve">H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M–H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Field Ops + DSM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18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Commercial Nighttime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4499"/>
                <w:sz w:val="16"/>
                <w:szCs w:val="16"/>
              </w:rPr>
              <w:t xml:space="preserve">L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 (40–65)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4499"/>
                <w:sz w:val="16"/>
                <w:szCs w:val="16"/>
              </w:rPr>
              <w:t xml:space="preserve">L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5C1A"/>
                <w:sz w:val="16"/>
                <w:szCs w:val="16"/>
              </w:rPr>
              <w:t xml:space="preserve">H (60–80)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5C1A"/>
                <w:sz w:val="16"/>
                <w:szCs w:val="16"/>
              </w:rPr>
              <w:t xml:space="preserve">H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DSM (off-peak)</w:t>
            </w:r>
          </w:p>
        </w:tc>
      </w:tr>
    </w:tbl>
    <w:p>
      <w:pPr>
        <w:spacing w:after="0" w:before="0"/>
      </w:pPr>
      <w:r>
        <w:br w:type="page"/>
      </w:r>
    </w:p>
    <w:p>
      <w:pPr>
        <w:shd w:fill="2E75B6" w:color="auto" w:val="clear"/>
        <w:spacing w:after="100" w:before="200"/>
        <w:ind w:left="113" w:right="113"/>
        <w:jc w:val="left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Action Triggers by Score Combination</w:t>
      </w:r>
    </w:p>
    <w:p>
      <w:pPr>
        <w:spacing w:after="80" w:before="60"/>
        <w:ind w:left="170"/>
      </w:pPr>
      <w:r>
        <w:rPr>
          <w:rFonts w:ascii="Calibri" w:cs="Calibri" w:eastAsia="Calibri" w:hAnsi="Calibri"/>
          <w:b/>
          <w:bCs/>
          <w:i/>
          <w:iCs/>
          <w:color w:val="555555"/>
          <w:sz w:val="17"/>
          <w:szCs w:val="17"/>
        </w:rPr>
        <w:t xml:space="preserve">Note: 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Score thresholds that trigger specific operational scenarios.</w:t>
      </w:r>
    </w:p>
    <w:tbl>
      <w:tblPr>
        <w:tblW w:type="pct" w:w="100%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%"/>
            <w:gridSpan w:val="1"/>
            <w:shd w:fill="2E75B6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pct" w:w="20%"/>
            <w:gridSpan w:val="1"/>
            <w:shd w:fill="2E75B6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Scenario</w:t>
            </w:r>
          </w:p>
        </w:tc>
        <w:tc>
          <w:tcPr>
            <w:tcW w:type="pct" w:w="42%"/>
            <w:gridSpan w:val="1"/>
            <w:shd w:fill="2E75B6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Trigger Condition</w:t>
            </w:r>
          </w:p>
        </w:tc>
        <w:tc>
          <w:tcPr>
            <w:tcW w:type="pct" w:w="20%"/>
            <w:gridSpan w:val="1"/>
            <w:shd w:fill="2E75B6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Team</w:t>
            </w:r>
          </w:p>
        </w:tc>
        <w:tc>
          <w:tcPr>
            <w:tcW w:type="pct" w:w="14%"/>
            <w:gridSpan w:val="1"/>
            <w:shd w:fill="2E75B6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TAT</w:t>
            </w:r>
          </w:p>
        </w:tc>
      </w:tr>
      <w:tr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Multi-Cycle Default Recovery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Rev Risk &gt; 75 AND Overdue &gt; 90 days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Senior Collections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24 hrs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Strategic Defaulter Escalation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Rev Risk &gt; 70 AND Reg Flag = 1 AND ARRS &gt; 3×bill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Senior Collections + Legal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48 hrs</w:t>
            </w:r>
          </w:p>
        </w:tc>
      </w:tr>
      <w:tr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High-Value At-Risk Recovery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Rev Risk &gt; 66 AND monthly bill bucket = High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Senior Collections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24 hrs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Accidental Reminder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Rev Risk 31–55 AND Engagement &gt; 55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Digital / Collections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72 hrs</w:t>
            </w:r>
          </w:p>
        </w:tc>
      </w:tr>
      <w:tr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Ombudsman De-escalation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Complaint Risk &gt; 75 AND Reg Flag = 1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CX Head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24 hrs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Bill Shock Resolution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Complaint Risk &gt; 60 AND bill_shock_flag = true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Billing Ops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48 hrs</w:t>
            </w:r>
          </w:p>
        </w:tc>
      </w:tr>
      <w:tr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Subsidized Consumer Support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Reg Flag = 1 AND Rev Risk &gt; 35 AND BPL/SARAL flag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CX + Welfare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72 hrs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Bulk Consumer Coordination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Peak Impact &gt; 60 AND consumer_type = Apartment/Complex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Field Ops + DSM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72 hrs</w:t>
            </w:r>
          </w:p>
        </w:tc>
      </w:tr>
      <w:tr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9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Industrial DSM Enrolment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DSM Readiness &gt; 65 AND Peak Impact &gt; 70 AND industrial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DSM Team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 days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EV Smart Charging Enrolment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DSM Readiness &gt; 75 AND EV persona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DSM Team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 days</w:t>
            </w:r>
          </w:p>
        </w:tc>
      </w:tr>
      <w:tr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11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Solar / Prosumer Enrolment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DSM Readiness &gt; 80 AND wh_exp &gt; 0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DSM Team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7 days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Demand Response Enrolment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DSM Readiness &gt; 66 AND flexible load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DSM Team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 days</w:t>
            </w:r>
          </w:p>
        </w:tc>
      </w:tr>
      <w:tr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13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New Consumer Welcome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Consumer age &lt; 3 months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CX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48 hrs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14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Digital Champion Upgrade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Engagement &gt; 80 AND DSM &gt; 60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Digital Team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7 days</w:t>
            </w:r>
          </w:p>
        </w:tc>
      </w:tr>
      <w:tr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TAT Breach Escalation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Complaint TAT Breached AND Priority = Critical AND Status = Open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Field Ops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 hrs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16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Voltage Complaint DT Stress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Complaint Type = Voltage Related AND 3+ consumers same DT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Field Ops + DSM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24 hrs</w:t>
            </w:r>
          </w:p>
        </w:tc>
      </w:tr>
    </w:tbl>
    <w:p>
      <w:pPr>
        <w:spacing w:after="0" w:before="0"/>
      </w:pPr>
      <w:r>
        <w:br w:type="page"/>
      </w:r>
    </w:p>
    <w:p>
      <w:pPr>
        <w:shd w:fill="1F4E79" w:color="auto" w:val="clear"/>
        <w:spacing w:after="100" w:before="200"/>
        <w:ind w:left="113" w:right="113"/>
        <w:jc w:val="left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Data Source Join Map</w:t>
      </w:r>
    </w:p>
    <w:p>
      <w:pPr>
        <w:spacing w:after="80" w:before="60"/>
        <w:ind w:left="170"/>
      </w:pPr>
      <w:r>
        <w:rPr>
          <w:rFonts w:ascii="Calibri" w:cs="Calibri" w:eastAsia="Calibri" w:hAnsi="Calibri"/>
          <w:b/>
          <w:bCs/>
          <w:i/>
          <w:iCs/>
          <w:color w:val="555555"/>
          <w:sz w:val="17"/>
          <w:szCs w:val="17"/>
        </w:rPr>
        <w:t xml:space="preserve">Note: 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How the three systems are linked per consumer.</w:t>
      </w:r>
    </w:p>
    <w:tbl>
      <w:tblPr>
        <w:tblW w:type="pct" w:w="100%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gridSpan w:val="1"/>
            <w:shd w:fill="1F4E79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System</w:t>
            </w:r>
          </w:p>
        </w:tc>
        <w:tc>
          <w:tcPr>
            <w:tcW w:type="pct" w:w="18%"/>
            <w:gridSpan w:val="1"/>
            <w:shd w:fill="1F4E79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Key Column</w:t>
            </w:r>
          </w:p>
        </w:tc>
        <w:tc>
          <w:tcPr>
            <w:tcW w:type="pct" w:w="30%"/>
            <w:gridSpan w:val="1"/>
            <w:shd w:fill="1F4E79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Joins To</w:t>
            </w:r>
          </w:p>
        </w:tc>
        <w:tc>
          <w:tcPr>
            <w:tcW w:type="pct" w:w="30%"/>
            <w:gridSpan w:val="1"/>
            <w:shd w:fill="1F4E79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Via</w:t>
            </w:r>
          </w:p>
        </w:tc>
      </w:tr>
      <w:tr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Billing System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CONS_NO_1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MDM R_Consumer_all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CA Number = MSN mapping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Billing System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CONS_NO_1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Complaints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CA Number = CONS_NO_1</w:t>
            </w:r>
          </w:p>
        </w:tc>
      </w:tr>
      <w:tr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MDM R_Consumer_all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MSN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BLP / DLP / BPP tables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MSN_ID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MDM R_Consumer_all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MSN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DT Network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L_Network_Lookup</w:t>
            </w:r>
          </w:p>
        </w:tc>
      </w:tr>
      <w:tr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Complaints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CA Number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Billing</w:t>
            </w:r>
          </w:p>
        </w:tc>
        <w:tc>
          <w:tcPr>
            <w:gridSpan w:val="1"/>
            <w:shd w:fill="F2F7FB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CONS_NO_1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Complaints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CA Number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MDM</w:t>
            </w:r>
          </w:p>
        </w:tc>
        <w:tc>
          <w:tcPr>
            <w:gridSpan w:val="1"/>
            <w:shd w:fill="FFFFFF" w:color="auto" w:val="clear"/>
            <w:tcMar>
              <w:top w:type="dxa" w:w="45"/>
              <w:left w:type="dxa" w:w="85"/>
              <w:bottom w:type="dxa" w:w="45"/>
              <w:right w:type="dxa" w:w="57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via Billing → MDM join</w:t>
            </w:r>
          </w:p>
        </w:tc>
      </w:tr>
    </w:tbl>
    <w:sectPr>
      <w:headerReference w:type="default" r:id="rId7"/>
      <w:footerReference w:type="default" r:id="rId8"/>
      <w:pgSz w:w="11907" w:h="16840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spacing w:before="60"/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Page </w:t>
    </w:r>
    <w:pgNum/>
    <w:r>
      <w:rPr>
        <w:rFonts w:ascii="Calibri" w:cs="Calibri" w:eastAsia="Calibri" w:hAnsi="Calibri"/>
        <w:color w:val="666666"/>
        <w:sz w:val="16"/>
        <w:szCs w:val="16"/>
      </w:rPr>
      <w:t xml:space="preserve">   |   DISCOM Consumer Persona Intelligence — Scoring Framework   | 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  <w:spacing w:after="80"/>
      <w:jc w:val="center"/>
    </w:pPr>
    <w:r>
      <w:rPr>
        <w:rFonts w:ascii="Calibri" w:cs="Calibri" w:eastAsia="Calibri" w:hAnsi="Calibri"/>
        <w:b/>
        <w:bCs/>
        <w:color w:val="1F4E79"/>
        <w:sz w:val="18"/>
        <w:szCs w:val="18"/>
      </w:rPr>
      <w:t xml:space="preserve">DISCOM Consumer Persona Intelligence — Complete Scoring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2026-04-20T12:15:56.278Z</dcterms:created>
  <dcterms:modified xsi:type="dcterms:W3CDTF">2026-04-20T12:15:56.279Z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