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DISCOM Consumer Persona Intelligence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Score Calculation Formulas</w:t>
      </w:r>
    </w:p>
    <w:p>
      <w:pPr>
        <w:pBdr>
          <w:bottom w:val="single" w:color="2E75B6" w:sz="6"/>
        </w:pBdr>
        <w:spacing w:after="120" w:before="0"/>
      </w:pPr>
    </w:p>
    <w:p>
      <w:pPr>
        <w:spacing w:after="400" w:before="120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Data Sources: MDM System (BLP / DLP / BPP / Events)  ·  Billing System  ·  IVRS/CCnB Complaints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866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Score 1 — Revenue Risk Score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color w:val="888888"/>
          <w:sz w:val="32"/>
          <w:szCs w:val="32"/>
        </w:rPr>
        <w:t xml:space="preserve">Source: Billing System (ARRS, NET_BILL_1, CSH_DATE_1, PENAL_CH, SURCH, SAMADHAN_ARR)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34"/>
          <w:szCs w:val="34"/>
        </w:rPr>
        <w:t xml:space="preserve">Higher score = higher revenue risk. Used to prioritise collection drives.</w:t>
      </w:r>
    </w:p>
    <w:p>
      <w:pPr>
        <w:spacing w:after="120" w:before="60"/>
      </w:pPr>
      <w:r>
        <w:rPr>
          <w:rFonts w:ascii="Arial" w:cs="Arial" w:eastAsia="Arial" w:hAnsi="Arial"/>
          <w:color w:val="22C55E"/>
          <w:sz w:val="34"/>
          <w:szCs w:val="34"/>
        </w:rPr>
        <w:t xml:space="preserve">● </w:t>
      </w:r>
      <w:r>
        <w:rPr>
          <w:rFonts w:ascii="Arial" w:cs="Arial" w:eastAsia="Arial" w:hAnsi="Arial"/>
          <w:color w:val="333333"/>
          <w:sz w:val="34"/>
          <w:szCs w:val="34"/>
        </w:rPr>
        <w:t xml:space="preserve">Safe 0–30</w:t>
      </w:r>
      <w:r>
        <w:rPr>
          <w:rFonts w:ascii="Arial" w:cs="Arial" w:eastAsia="Arial" w:hAnsi="Arial"/>
          <w:sz w:val="34"/>
          <w:szCs w:val="34"/>
        </w:rPr>
        <w:t xml:space="preserve">   </w:t>
      </w:r>
      <w:r>
        <w:rPr>
          <w:rFonts w:ascii="Arial" w:cs="Arial" w:eastAsia="Arial" w:hAnsi="Arial"/>
          <w:color w:val="D97706"/>
          <w:sz w:val="34"/>
          <w:szCs w:val="34"/>
        </w:rPr>
        <w:t xml:space="preserve">● </w:t>
      </w:r>
      <w:r>
        <w:rPr>
          <w:rFonts w:ascii="Arial" w:cs="Arial" w:eastAsia="Arial" w:hAnsi="Arial"/>
          <w:color w:val="333333"/>
          <w:sz w:val="34"/>
          <w:szCs w:val="34"/>
        </w:rPr>
        <w:t xml:space="preserve">Watch 31–65</w:t>
      </w:r>
      <w:r>
        <w:rPr>
          <w:rFonts w:ascii="Arial" w:cs="Arial" w:eastAsia="Arial" w:hAnsi="Arial"/>
          <w:sz w:val="34"/>
          <w:szCs w:val="34"/>
        </w:rPr>
        <w:t xml:space="preserve">   </w:t>
      </w:r>
      <w:r>
        <w:rPr>
          <w:rFonts w:ascii="Arial" w:cs="Arial" w:eastAsia="Arial" w:hAnsi="Arial"/>
          <w:color w:val="EF4444"/>
          <w:sz w:val="34"/>
          <w:szCs w:val="34"/>
        </w:rPr>
        <w:t xml:space="preserve">● </w:t>
      </w:r>
      <w:r>
        <w:rPr>
          <w:rFonts w:ascii="Arial" w:cs="Arial" w:eastAsia="Arial" w:hAnsi="Arial"/>
          <w:color w:val="333333"/>
          <w:sz w:val="34"/>
          <w:szCs w:val="34"/>
        </w:rPr>
        <w:t xml:space="preserve">Enforce 66–100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Component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Formula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Max Pts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Billing 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Arrear Ratio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min(ARRS / NET_BILL_1,  3) / 3  ×  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ARRS, NET_BILL_1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Overdue Days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min(today − CSH_DATE_1,  180) / 180  ×  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CSH_DATE_1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Penalty Flag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15  if  PENAL_CH &gt; 0  else  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PENAL_CH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Surcharge Flag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10  if  SURCH &gt; 0  else  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SURCH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SAMADHAN Arrear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5  if  SAMADHAN_ARR &gt; 0  else  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SAMADHAN_ARR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TOTAL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—</w:t>
            </w:r>
          </w:p>
        </w:tc>
      </w:tr>
    </w:tbl>
    <w:p>
      <w:pPr>
        <w:pageBreakBefore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866"/>
            <w:tcBorders>
              <w:top w:val="none"/>
              <w:left w:val="none"/>
              <w:bottom w:val="none"/>
              <w:right w:val="none"/>
            </w:tcBorders>
            <w:shd w:fill="37562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Score 2 — Peak Impact Score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color w:val="888888"/>
          <w:sz w:val="32"/>
          <w:szCs w:val="32"/>
        </w:rPr>
        <w:t xml:space="preserve">Source: MDM System — t_blp_tp, R_Consumer_all, t_bpp_agg, t_dlp_agg, t_blp_sp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34"/>
          <w:szCs w:val="34"/>
        </w:rPr>
        <w:t xml:space="preserve">Higher score = greater stress on grid during peak hours.</w:t>
      </w:r>
    </w:p>
    <w:p>
      <w:pPr>
        <w:spacing w:after="120" w:before="60"/>
      </w:pPr>
      <w:r>
        <w:rPr>
          <w:rFonts w:ascii="Arial" w:cs="Arial" w:eastAsia="Arial" w:hAnsi="Arial"/>
          <w:color w:val="22C55E"/>
          <w:sz w:val="34"/>
          <w:szCs w:val="34"/>
        </w:rPr>
        <w:t xml:space="preserve">● </w:t>
      </w:r>
      <w:r>
        <w:rPr>
          <w:rFonts w:ascii="Arial" w:cs="Arial" w:eastAsia="Arial" w:hAnsi="Arial"/>
          <w:color w:val="333333"/>
          <w:sz w:val="34"/>
          <w:szCs w:val="34"/>
        </w:rPr>
        <w:t xml:space="preserve">Low 0–30</w:t>
      </w:r>
      <w:r>
        <w:rPr>
          <w:rFonts w:ascii="Arial" w:cs="Arial" w:eastAsia="Arial" w:hAnsi="Arial"/>
          <w:sz w:val="34"/>
          <w:szCs w:val="34"/>
        </w:rPr>
        <w:t xml:space="preserve">   </w:t>
      </w:r>
      <w:r>
        <w:rPr>
          <w:rFonts w:ascii="Arial" w:cs="Arial" w:eastAsia="Arial" w:hAnsi="Arial"/>
          <w:color w:val="D97706"/>
          <w:sz w:val="34"/>
          <w:szCs w:val="34"/>
        </w:rPr>
        <w:t xml:space="preserve">● </w:t>
      </w:r>
      <w:r>
        <w:rPr>
          <w:rFonts w:ascii="Arial" w:cs="Arial" w:eastAsia="Arial" w:hAnsi="Arial"/>
          <w:color w:val="333333"/>
          <w:sz w:val="34"/>
          <w:szCs w:val="34"/>
        </w:rPr>
        <w:t xml:space="preserve">Medium 31–65</w:t>
      </w:r>
      <w:r>
        <w:rPr>
          <w:rFonts w:ascii="Arial" w:cs="Arial" w:eastAsia="Arial" w:hAnsi="Arial"/>
          <w:sz w:val="34"/>
          <w:szCs w:val="34"/>
        </w:rPr>
        <w:t xml:space="preserve">   </w:t>
      </w:r>
      <w:r>
        <w:rPr>
          <w:rFonts w:ascii="Arial" w:cs="Arial" w:eastAsia="Arial" w:hAnsi="Arial"/>
          <w:color w:val="EF4444"/>
          <w:sz w:val="34"/>
          <w:szCs w:val="34"/>
        </w:rPr>
        <w:t xml:space="preserve">● </w:t>
      </w:r>
      <w:r>
        <w:rPr>
          <w:rFonts w:ascii="Arial" w:cs="Arial" w:eastAsia="Arial" w:hAnsi="Arial"/>
          <w:color w:val="333333"/>
          <w:sz w:val="34"/>
          <w:szCs w:val="34"/>
        </w:rPr>
        <w:t xml:space="preserve">High 66–100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Component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Formula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Max 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MDM Table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Column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Load Ratio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min(max(kW from BLP) / SL,  1.5) / 1.5  ×  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t_blp_tp + R_Consumer_all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kW, SL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Monthly kWh Trend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min((avg last 3 BPP Kwh_imp / avg prev 3) − 1,  0.5) / 0.5  ×  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t_bpp_agg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Kwh_imp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Peak Hour %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(DLP Kwh_imp 6pm–10pm / total daily Kwh_imp)  ×  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t_dlp_agg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Kwh_imp, 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Power Factor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(1 − avg(pf from BLP))  ×  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t_blp_tp / t_blp_sp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pf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TOTAL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—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BLP = 15/30-min interval readings   ·   DLP = Daily aggregated   ·   BPP = Monthly aggregated</w:t>
      </w:r>
    </w:p>
    <w:p>
      <w:pPr>
        <w:pageBreakBefore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866"/>
            <w:tcBorders>
              <w:top w:val="none"/>
              <w:left w:val="none"/>
              <w:bottom w:val="none"/>
              <w:right w:val="none"/>
            </w:tcBorders>
            <w:shd w:fill="833C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Score 3 — Complaint Risk Score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color w:val="888888"/>
          <w:sz w:val="32"/>
          <w:szCs w:val="32"/>
        </w:rPr>
        <w:t xml:space="preserve">Source: IVRS / CCnB Complaints System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34"/>
          <w:szCs w:val="34"/>
        </w:rPr>
        <w:t xml:space="preserve">Higher score = more active / escalated complaints against this consumer account.</w:t>
      </w:r>
    </w:p>
    <w:p>
      <w:pPr>
        <w:spacing w:after="120" w:before="60"/>
      </w:pPr>
      <w:r>
        <w:rPr>
          <w:rFonts w:ascii="Arial" w:cs="Arial" w:eastAsia="Arial" w:hAnsi="Arial"/>
          <w:color w:val="22C55E"/>
          <w:sz w:val="34"/>
          <w:szCs w:val="34"/>
        </w:rPr>
        <w:t xml:space="preserve">● </w:t>
      </w:r>
      <w:r>
        <w:rPr>
          <w:rFonts w:ascii="Arial" w:cs="Arial" w:eastAsia="Arial" w:hAnsi="Arial"/>
          <w:color w:val="333333"/>
          <w:sz w:val="34"/>
          <w:szCs w:val="34"/>
        </w:rPr>
        <w:t xml:space="preserve">Low 0–30</w:t>
      </w:r>
      <w:r>
        <w:rPr>
          <w:rFonts w:ascii="Arial" w:cs="Arial" w:eastAsia="Arial" w:hAnsi="Arial"/>
          <w:sz w:val="34"/>
          <w:szCs w:val="34"/>
        </w:rPr>
        <w:t xml:space="preserve">   </w:t>
      </w:r>
      <w:r>
        <w:rPr>
          <w:rFonts w:ascii="Arial" w:cs="Arial" w:eastAsia="Arial" w:hAnsi="Arial"/>
          <w:color w:val="D97706"/>
          <w:sz w:val="34"/>
          <w:szCs w:val="34"/>
        </w:rPr>
        <w:t xml:space="preserve">● </w:t>
      </w:r>
      <w:r>
        <w:rPr>
          <w:rFonts w:ascii="Arial" w:cs="Arial" w:eastAsia="Arial" w:hAnsi="Arial"/>
          <w:color w:val="333333"/>
          <w:sz w:val="34"/>
          <w:szCs w:val="34"/>
        </w:rPr>
        <w:t xml:space="preserve">Medium 31–65</w:t>
      </w:r>
      <w:r>
        <w:rPr>
          <w:rFonts w:ascii="Arial" w:cs="Arial" w:eastAsia="Arial" w:hAnsi="Arial"/>
          <w:sz w:val="34"/>
          <w:szCs w:val="34"/>
        </w:rPr>
        <w:t xml:space="preserve">   </w:t>
      </w:r>
      <w:r>
        <w:rPr>
          <w:rFonts w:ascii="Arial" w:cs="Arial" w:eastAsia="Arial" w:hAnsi="Arial"/>
          <w:color w:val="EF4444"/>
          <w:sz w:val="34"/>
          <w:szCs w:val="34"/>
        </w:rPr>
        <w:t xml:space="preserve">● </w:t>
      </w:r>
      <w:r>
        <w:rPr>
          <w:rFonts w:ascii="Arial" w:cs="Arial" w:eastAsia="Arial" w:hAnsi="Arial"/>
          <w:color w:val="333333"/>
          <w:sz w:val="34"/>
          <w:szCs w:val="34"/>
        </w:rPr>
        <w:t xml:space="preserve">High 66–100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33C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Component</w:t>
            </w:r>
          </w:p>
        </w:tc>
        <w:tc>
          <w:tcPr>
            <w:tcW w:type="dxa" w:w="4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33C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Formula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33C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Max Pts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33C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Complaint Column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Open / In-Progress</w:t>
            </w:r>
          </w:p>
        </w:tc>
        <w:tc>
          <w:tcPr>
            <w:tcW w:type="dxa" w:w="4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min(count(Status = Open or In Progress),  2) / 2  ×  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TAT Breached Count</w:t>
            </w:r>
          </w:p>
        </w:tc>
        <w:tc>
          <w:tcPr>
            <w:tcW w:type="dxa" w:w="4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min(count(TAT_Status = Breached),  3) / 3  ×  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TAT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Critical Priority Count</w:t>
            </w:r>
          </w:p>
        </w:tc>
        <w:tc>
          <w:tcPr>
            <w:tcW w:type="dxa" w:w="4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min(count(Priority = Critical),  4) / 4  ×  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Repeat Pattern Flag</w:t>
            </w:r>
          </w:p>
        </w:tc>
        <w:tc>
          <w:tcPr>
            <w:tcW w:type="dxa" w:w="4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10  if  total complaint count &gt; 3  else  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Complaint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33C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TOTAL</w:t>
            </w:r>
          </w:p>
        </w:tc>
        <w:tc>
          <w:tcPr>
            <w:tcW w:type="dxa" w:w="4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33C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33C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33C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—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833C00"/>
          <w:sz w:val="40"/>
          <w:szCs w:val="40"/>
        </w:rPr>
        <w:t xml:space="preserve">Complaint Type → Risk Signal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33C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Complaint Type</w:t>
            </w:r>
          </w:p>
        </w:tc>
        <w:tc>
          <w:tcPr>
            <w:tcW w:type="dxa" w:w="3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33C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Subcategory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33C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Risk Signal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Supply Failure</w:t>
            </w:r>
          </w:p>
        </w:tc>
        <w:tc>
          <w:tcPr>
            <w:tcW w:type="dxa" w:w="3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Complete outage, Feeder tripped, DTR tripped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Peak Impact + Complaint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Supply Failure</w:t>
            </w:r>
          </w:p>
        </w:tc>
        <w:tc>
          <w:tcPr>
            <w:tcW w:type="dxa" w:w="3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Neutral fault, Partial supply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Field Ops escalation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Voltage Related</w:t>
            </w:r>
          </w:p>
        </w:tc>
        <w:tc>
          <w:tcPr>
            <w:tcW w:type="dxa" w:w="3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Low voltage, High voltage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Peak Impact signal + DT stress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Voltage Related</w:t>
            </w:r>
          </w:p>
        </w:tc>
        <w:tc>
          <w:tcPr>
            <w:tcW w:type="dxa" w:w="3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Voltage fluctuation, Unbalanced phases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Complaint Risk + Regulatory flag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Billing Related</w:t>
            </w:r>
          </w:p>
        </w:tc>
        <w:tc>
          <w:tcPr>
            <w:tcW w:type="dxa" w:w="3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High bill complaint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Bill Shock 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Billing Related</w:t>
            </w:r>
          </w:p>
        </w:tc>
        <w:tc>
          <w:tcPr>
            <w:tcW w:type="dxa" w:w="3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Wrong meter reading, Meter defective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Regulatory Risk 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Billing Related</w:t>
            </w:r>
          </w:p>
        </w:tc>
        <w:tc>
          <w:tcPr>
            <w:tcW w:type="dxa" w:w="3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Billing dispute (unresolved &gt; TAT)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Ombudsman Escalator persona 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Billing Related</w:t>
            </w:r>
          </w:p>
        </w:tc>
        <w:tc>
          <w:tcPr>
            <w:tcW w:type="dxa" w:w="3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No bill received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Low Engagement signal</w:t>
            </w:r>
          </w:p>
        </w:tc>
      </w:tr>
    </w:tbl>
    <w:p>
      <w:pPr>
        <w:pageBreakBefore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866"/>
            <w:tcBorders>
              <w:top w:val="none"/>
              <w:left w:val="none"/>
              <w:bottom w:val="none"/>
              <w:right w:val="none"/>
            </w:tcBorders>
            <w:shd w:fill="7030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Score 4 — DSM Readiness Score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color w:val="888888"/>
          <w:sz w:val="32"/>
          <w:szCs w:val="32"/>
        </w:rPr>
        <w:t xml:space="preserve">Source: Billing System + MDM System (t_blp_tp, t_blp_sp, t_ip_tp, t_ip_sp)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34"/>
          <w:szCs w:val="34"/>
        </w:rPr>
        <w:t xml:space="preserve">Higher score = consumer is better suited for Demand-Side Management programmes.</w:t>
      </w:r>
    </w:p>
    <w:p>
      <w:pPr>
        <w:spacing w:after="120" w:before="60"/>
      </w:pPr>
      <w:r>
        <w:rPr>
          <w:rFonts w:ascii="Arial" w:cs="Arial" w:eastAsia="Arial" w:hAnsi="Arial"/>
          <w:color w:val="888888"/>
          <w:sz w:val="34"/>
          <w:szCs w:val="34"/>
        </w:rPr>
        <w:t xml:space="preserve">● </w:t>
      </w:r>
      <w:r>
        <w:rPr>
          <w:rFonts w:ascii="Arial" w:cs="Arial" w:eastAsia="Arial" w:hAnsi="Arial"/>
          <w:color w:val="333333"/>
          <w:sz w:val="34"/>
          <w:szCs w:val="34"/>
        </w:rPr>
        <w:t xml:space="preserve">Not Ready 0–30</w:t>
      </w:r>
      <w:r>
        <w:rPr>
          <w:rFonts w:ascii="Arial" w:cs="Arial" w:eastAsia="Arial" w:hAnsi="Arial"/>
          <w:sz w:val="34"/>
          <w:szCs w:val="34"/>
        </w:rPr>
        <w:t xml:space="preserve">   </w:t>
      </w:r>
      <w:r>
        <w:rPr>
          <w:rFonts w:ascii="Arial" w:cs="Arial" w:eastAsia="Arial" w:hAnsi="Arial"/>
          <w:color w:val="3B82F6"/>
          <w:sz w:val="34"/>
          <w:szCs w:val="34"/>
        </w:rPr>
        <w:t xml:space="preserve">● </w:t>
      </w:r>
      <w:r>
        <w:rPr>
          <w:rFonts w:ascii="Arial" w:cs="Arial" w:eastAsia="Arial" w:hAnsi="Arial"/>
          <w:color w:val="333333"/>
          <w:sz w:val="34"/>
          <w:szCs w:val="34"/>
        </w:rPr>
        <w:t xml:space="preserve">Partial 31–65</w:t>
      </w:r>
      <w:r>
        <w:rPr>
          <w:rFonts w:ascii="Arial" w:cs="Arial" w:eastAsia="Arial" w:hAnsi="Arial"/>
          <w:sz w:val="34"/>
          <w:szCs w:val="34"/>
        </w:rPr>
        <w:t xml:space="preserve">   </w:t>
      </w:r>
      <w:r>
        <w:rPr>
          <w:rFonts w:ascii="Arial" w:cs="Arial" w:eastAsia="Arial" w:hAnsi="Arial"/>
          <w:color w:val="7030A0"/>
          <w:sz w:val="34"/>
          <w:szCs w:val="34"/>
        </w:rPr>
        <w:t xml:space="preserve">● </w:t>
      </w:r>
      <w:r>
        <w:rPr>
          <w:rFonts w:ascii="Arial" w:cs="Arial" w:eastAsia="Arial" w:hAnsi="Arial"/>
          <w:color w:val="333333"/>
          <w:sz w:val="34"/>
          <w:szCs w:val="34"/>
        </w:rPr>
        <w:t xml:space="preserve">DR Ready 66–100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Component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Formula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Max 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Source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Flexible Load (TOD)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(TOD_UNITS / MTR_UNITS)  ×  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Billing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TOD_UNITS, MTR_UNITS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Solar / Export Capable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25  if  wh_exp &gt; 0  else  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MDM — t_blp_tp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wh_exp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Power Factor Quality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20  if  avg(pf) &gt; 0.90  else  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MDM — t_blp_tp / t_blp_sp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pf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Phase Type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15  if  PHASE = 3-phase  else  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Billing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Max Demand Level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10  if  md_w_imp &gt; 5000  else  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MDM — t_ip_tp / t_ip_sp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md_w_imp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TOTAL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—</w:t>
            </w:r>
          </w:p>
        </w:tc>
      </w:tr>
    </w:tbl>
    <w:p>
      <w:pPr>
        <w:pageBreakBefore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866"/>
            <w:tcBorders>
              <w:top w:val="none"/>
              <w:left w:val="none"/>
              <w:bottom w:val="none"/>
              <w:right w:val="none"/>
            </w:tcBorders>
            <w:shd w:fill="006B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Score 5 — Engagement Score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color w:val="888888"/>
          <w:sz w:val="32"/>
          <w:szCs w:val="32"/>
        </w:rPr>
        <w:t xml:space="preserve">Source: Billing System + MDM Communication Status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34"/>
          <w:szCs w:val="34"/>
        </w:rPr>
        <w:t xml:space="preserve">Higher score = consumer is more digitally engaged with the DISCOM.</w:t>
      </w:r>
    </w:p>
    <w:p>
      <w:pPr>
        <w:spacing w:after="120" w:before="60"/>
      </w:pPr>
      <w:r>
        <w:rPr>
          <w:rFonts w:ascii="Arial" w:cs="Arial" w:eastAsia="Arial" w:hAnsi="Arial"/>
          <w:color w:val="888888"/>
          <w:sz w:val="34"/>
          <w:szCs w:val="34"/>
        </w:rPr>
        <w:t xml:space="preserve">● </w:t>
      </w:r>
      <w:r>
        <w:rPr>
          <w:rFonts w:ascii="Arial" w:cs="Arial" w:eastAsia="Arial" w:hAnsi="Arial"/>
          <w:color w:val="333333"/>
          <w:sz w:val="34"/>
          <w:szCs w:val="34"/>
        </w:rPr>
        <w:t xml:space="preserve">Offline 0–30</w:t>
      </w:r>
      <w:r>
        <w:rPr>
          <w:rFonts w:ascii="Arial" w:cs="Arial" w:eastAsia="Arial" w:hAnsi="Arial"/>
          <w:sz w:val="34"/>
          <w:szCs w:val="34"/>
        </w:rPr>
        <w:t xml:space="preserve">   </w:t>
      </w:r>
      <w:r>
        <w:rPr>
          <w:rFonts w:ascii="Arial" w:cs="Arial" w:eastAsia="Arial" w:hAnsi="Arial"/>
          <w:color w:val="3B82F6"/>
          <w:sz w:val="34"/>
          <w:szCs w:val="34"/>
        </w:rPr>
        <w:t xml:space="preserve">● </w:t>
      </w:r>
      <w:r>
        <w:rPr>
          <w:rFonts w:ascii="Arial" w:cs="Arial" w:eastAsia="Arial" w:hAnsi="Arial"/>
          <w:color w:val="333333"/>
          <w:sz w:val="34"/>
          <w:szCs w:val="34"/>
        </w:rPr>
        <w:t xml:space="preserve">Partial Digital 31–65</w:t>
      </w:r>
      <w:r>
        <w:rPr>
          <w:rFonts w:ascii="Arial" w:cs="Arial" w:eastAsia="Arial" w:hAnsi="Arial"/>
          <w:sz w:val="34"/>
          <w:szCs w:val="34"/>
        </w:rPr>
        <w:t xml:space="preserve">   </w:t>
      </w:r>
      <w:r>
        <w:rPr>
          <w:rFonts w:ascii="Arial" w:cs="Arial" w:eastAsia="Arial" w:hAnsi="Arial"/>
          <w:color w:val="006B6B"/>
          <w:sz w:val="34"/>
          <w:szCs w:val="34"/>
        </w:rPr>
        <w:t xml:space="preserve">● </w:t>
      </w:r>
      <w:r>
        <w:rPr>
          <w:rFonts w:ascii="Arial" w:cs="Arial" w:eastAsia="Arial" w:hAnsi="Arial"/>
          <w:color w:val="333333"/>
          <w:sz w:val="34"/>
          <w:szCs w:val="34"/>
        </w:rPr>
        <w:t xml:space="preserve">Digital First 66–100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Component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Formula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Max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Column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Digital Payment Method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40  if  CSH_DATE_1 populated  else  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Billing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CSH_DATE_1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On-Time Payment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25  if  overdue days = 0  else  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Billing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CSH_DATE_1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Mobile Registered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20  if  MOBILE populated  else  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Billing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MOBILE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Meter Communication Active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15  if  communication_status = active  else  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MDM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t_communication_status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TOTAL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—</w:t>
            </w:r>
          </w:p>
        </w:tc>
      </w:tr>
    </w:tbl>
    <w:p>
      <w:pPr>
        <w:pageBreakBefore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866"/>
            <w:tcBorders>
              <w:top w:val="none"/>
              <w:left w:val="none"/>
              <w:bottom w:val="none"/>
              <w:right w:val="none"/>
            </w:tcBorders>
            <w:shd w:fill="C000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Score 6 — Regulatory Risk Flag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color w:val="888888"/>
          <w:sz w:val="32"/>
          <w:szCs w:val="32"/>
        </w:rPr>
        <w:t xml:space="preserve">Source: Billing System + MDM Events + Complaints System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34"/>
          <w:szCs w:val="34"/>
        </w:rPr>
        <w:t xml:space="preserve">Flag = 1 if ANY ONE trigger condition below is true. Consumer requires senior officer handling.</w:t>
      </w:r>
    </w:p>
    <w:p>
      <w:pPr>
        <w:spacing w:after="120" w:before="60"/>
      </w:pPr>
      <w:r>
        <w:rPr>
          <w:rFonts w:ascii="Arial" w:cs="Arial" w:eastAsia="Arial" w:hAnsi="Arial"/>
          <w:color w:val="22C55E"/>
          <w:sz w:val="34"/>
          <w:szCs w:val="34"/>
        </w:rPr>
        <w:t xml:space="preserve">● </w:t>
      </w:r>
      <w:r>
        <w:rPr>
          <w:rFonts w:ascii="Arial" w:cs="Arial" w:eastAsia="Arial" w:hAnsi="Arial"/>
          <w:color w:val="333333"/>
          <w:sz w:val="34"/>
          <w:szCs w:val="34"/>
        </w:rPr>
        <w:t xml:space="preserve">Flag = 0 (No Risk)</w:t>
      </w:r>
      <w:r>
        <w:rPr>
          <w:rFonts w:ascii="Arial" w:cs="Arial" w:eastAsia="Arial" w:hAnsi="Arial"/>
          <w:sz w:val="34"/>
          <w:szCs w:val="34"/>
        </w:rPr>
        <w:t xml:space="preserve">   </w:t>
      </w:r>
      <w:r>
        <w:rPr>
          <w:rFonts w:ascii="Arial" w:cs="Arial" w:eastAsia="Arial" w:hAnsi="Arial"/>
          <w:color w:val="EF4444"/>
          <w:sz w:val="34"/>
          <w:szCs w:val="34"/>
        </w:rPr>
        <w:t xml:space="preserve">● </w:t>
      </w:r>
      <w:r>
        <w:rPr>
          <w:rFonts w:ascii="Arial" w:cs="Arial" w:eastAsia="Arial" w:hAnsi="Arial"/>
          <w:color w:val="333333"/>
          <w:sz w:val="34"/>
          <w:szCs w:val="34"/>
        </w:rPr>
        <w:t xml:space="preserve">Flag = 1 (Escalate)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Trigger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Condition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Column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BPL Consumer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BPL_FLAG = 'Y'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Billing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BPL_FLAG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Govt Scheme Beneficiary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SARAL_FLAG = 'Y'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Billing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SARAL_FLAG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Settlement Scheme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SAMADHAN_ARR &gt;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Billing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SAMADHAN_ARR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Contested Arrear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ARRS &gt; 3 × NET_BILL_1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Billing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ARRS, NET_BILL_1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Tamper Event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evnt_id IN tamper codes from M_Event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MDM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t_event_sp / t_event_tp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Billing Dispute TAT Breach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Billing dispute + TAT Breached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Complaints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Complaint Type, TAT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Critical Complaint Unresolved</w:t>
            </w:r>
          </w:p>
        </w:tc>
        <w:tc>
          <w:tcPr>
            <w:tcW w:type="dxa" w:w="3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Critical complaint open &gt; 30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Complaints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Priority, Status, Created Date</w:t>
            </w:r>
          </w:p>
        </w:tc>
      </w:tr>
    </w:tbl>
    <w:p>
      <w:pPr>
        <w:pageBreakBefore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866"/>
            <w:tcBorders>
              <w:top w:val="none"/>
              <w:left w:val="none"/>
              <w:bottom w:val="none"/>
              <w:right w:val="none"/>
            </w:tcBorders>
            <w:shd w:fill="2F364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Data Source Join Map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color w:val="888888"/>
          <w:sz w:val="32"/>
          <w:szCs w:val="32"/>
        </w:rPr>
        <w:t xml:space="preserve">Cross-system linkage keys for consumer-level scoring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6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System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6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Key Column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6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Joins 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36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Via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Billing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CONS_NO_1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MDM — R_Consumer_all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CA Number = MSN mapping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Billing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CONS_NO_1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Complaints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CA Number = CONS_NO_1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MDM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MSN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BLP / DLP / BPP tables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MSN_ID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MDM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MSN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DT Network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L_Network_Lookup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Complaints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CA Number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Billing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CONS_NO_1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Complaints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CA Number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MDM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36"/>
                <w:szCs w:val="36"/>
              </w:rPr>
              <w:t xml:space="preserve">via Billing → MDM join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/>
      </w:pBdr>
    </w:pPr>
    <w:r>
      <w:rPr>
        <w:rFonts w:ascii="Arial" w:cs="Arial" w:eastAsia="Arial" w:hAnsi="Arial"/>
        <w:b/>
        <w:bCs/>
        <w:color w:val="2E75B6"/>
        <w:sz w:val="36"/>
        <w:szCs w:val="36"/>
      </w:rPr>
      <w:t xml:space="preserve">DISCOM Consumer Persona Intelligence — Score Calculation Formulas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2026-04-21T11:00:40.461Z</dcterms:created>
  <dcterms:modified xsi:type="dcterms:W3CDTF">2026-04-21T11:00:40.464Z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