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after="160" w:before="0"/>
              <w:jc w:val="center"/>
            </w:pPr>
            <w:r>
              <w:rPr>
                <w:rFonts w:ascii="Arial" w:cs="Arial" w:eastAsia="Arial" w:hAnsi="Arial"/>
                <w:b/>
                <w:bCs/>
                <w:color w:val="AACCEE"/>
                <w:sz w:val="18"/>
                <w:szCs w:val="18"/>
              </w:rPr>
              <w:t xml:space="preserve">CONFIDENTIAL — INTERNAL USE ONLY</w:t>
            </w:r>
          </w:p>
          <w:p>
            <w:pPr>
              <w:spacing w:after="200" w:before="0"/>
              <w:jc w:val="center"/>
            </w:pPr>
            <w:r>
              <w:rPr>
                <w:rFonts w:ascii="Arial" w:cs="Arial" w:eastAsia="Arial" w:hAnsi="Arial"/>
                <w:b/>
                <w:bCs/>
                <w:color w:val="FFFFFF"/>
                <w:sz w:val="52"/>
                <w:szCs w:val="52"/>
              </w:rPr>
              <w:t xml:space="preserve">Consumer Persona &amp; Scenario Intelligence</w:t>
            </w:r>
          </w:p>
          <w:p>
            <w:pPr>
              <w:spacing w:after="200" w:before="0"/>
              <w:jc w:val="center"/>
            </w:pPr>
            <w:r>
              <w:rPr>
                <w:rFonts w:ascii="Arial" w:cs="Arial" w:eastAsia="Arial" w:hAnsi="Arial"/>
                <w:b w:val="false"/>
                <w:bCs w:val="false"/>
                <w:color w:val="AAD4FF"/>
                <w:sz w:val="36"/>
                <w:szCs w:val="36"/>
              </w:rPr>
              <w:t xml:space="preserve">Framework for Utility DISCOMs</w:t>
            </w:r>
          </w:p>
          <w:p>
            <w:pPr>
              <w:spacing w:after="0" w:before="300"/>
              <w:jc w:val="center"/>
            </w:pPr>
            <w:r>
              <w:rPr>
                <w:rFonts w:ascii="Arial" w:cs="Arial" w:eastAsia="Arial" w:hAnsi="Arial"/>
                <w:color w:val="88BBDD"/>
                <w:sz w:val="20"/>
                <w:szCs w:val="20"/>
              </w:rPr>
              <w:t xml:space="preserve">Revenue Assurance  |  DSM &amp; Network  |  Customer Experience  |  Field Operations</w:t>
            </w:r>
          </w:p>
        </w:tc>
      </w:tr>
    </w:tbl>
    <w:p>
      <w:pPr>
        <w:spacing w:after="2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6E4F7" w:val="clear"/>
            <w:tcMar>
              <w:top w:type="dxa" w:w="200"/>
              <w:left w:type="dxa" w:w="200"/>
              <w:bottom w:type="dxa" w:w="200"/>
              <w:right w:type="dxa" w:w="200"/>
            </w:tcMar>
          </w:tcPr>
          <w:p>
            <w:pPr>
              <w:spacing w:after="60" w:before="0"/>
              <w:jc w:val="center"/>
            </w:pPr>
            <w:r>
              <w:rPr>
                <w:rFonts w:ascii="Arial" w:cs="Arial" w:eastAsia="Arial" w:hAnsi="Arial"/>
                <w:b/>
                <w:bCs/>
                <w:color w:val="1B3A6B"/>
                <w:sz w:val="56"/>
                <w:szCs w:val="56"/>
              </w:rPr>
              <w:t xml:space="preserve">18</w:t>
            </w:r>
          </w:p>
          <w:p>
            <w:pPr>
              <w:spacing w:after="0" w:before="0"/>
              <w:jc w:val="center"/>
            </w:pPr>
            <w:r>
              <w:rPr>
                <w:rFonts w:ascii="Arial" w:cs="Arial" w:eastAsia="Arial" w:hAnsi="Arial"/>
                <w:color w:val="2563A8"/>
                <w:sz w:val="20"/>
                <w:szCs w:val="20"/>
              </w:rPr>
              <w:t xml:space="preserve">Consumer Personas</w:t>
            </w:r>
          </w:p>
        </w:tc>
        <w:tc>
          <w:tcPr>
            <w:tcBorders>
              <w:top w:val="none" w:color="FFFFFF" w:sz="0"/>
              <w:left w:val="none" w:color="FFFFFF" w:sz="0"/>
              <w:bottom w:val="none" w:color="FFFFFF" w:sz="0"/>
              <w:right w:val="none" w:color="FFFFFF" w:sz="0"/>
            </w:tcBorders>
            <w:shd w:fill="D8F0E8" w:val="clear"/>
            <w:tcMar>
              <w:top w:type="dxa" w:w="200"/>
              <w:left w:type="dxa" w:w="200"/>
              <w:bottom w:type="dxa" w:w="200"/>
              <w:right w:type="dxa" w:w="200"/>
            </w:tcMar>
          </w:tcPr>
          <w:p>
            <w:pPr>
              <w:spacing w:after="60" w:before="0"/>
              <w:jc w:val="center"/>
            </w:pPr>
            <w:r>
              <w:rPr>
                <w:rFonts w:ascii="Arial" w:cs="Arial" w:eastAsia="Arial" w:hAnsi="Arial"/>
                <w:b/>
                <w:bCs/>
                <w:color w:val="0F6E56"/>
                <w:sz w:val="56"/>
                <w:szCs w:val="56"/>
              </w:rPr>
              <w:t xml:space="preserve">24</w:t>
            </w:r>
          </w:p>
          <w:p>
            <w:pPr>
              <w:spacing w:after="0" w:before="0"/>
              <w:jc w:val="center"/>
            </w:pPr>
            <w:r>
              <w:rPr>
                <w:rFonts w:ascii="Arial" w:cs="Arial" w:eastAsia="Arial" w:hAnsi="Arial"/>
                <w:color w:val="0F6E56"/>
                <w:sz w:val="20"/>
                <w:szCs w:val="20"/>
              </w:rPr>
              <w:t xml:space="preserve">Action Scenarios</w:t>
            </w:r>
          </w:p>
        </w:tc>
        <w:tc>
          <w:tcPr>
            <w:tcBorders>
              <w:top w:val="none" w:color="FFFFFF" w:sz="0"/>
              <w:left w:val="none" w:color="FFFFFF" w:sz="0"/>
              <w:bottom w:val="none" w:color="FFFFFF" w:sz="0"/>
              <w:right w:val="none" w:color="FFFFFF" w:sz="0"/>
            </w:tcBorders>
            <w:shd w:fill="FEF3DC" w:val="clear"/>
            <w:tcMar>
              <w:top w:type="dxa" w:w="200"/>
              <w:left w:type="dxa" w:w="200"/>
              <w:bottom w:type="dxa" w:w="200"/>
              <w:right w:type="dxa" w:w="200"/>
            </w:tcMar>
          </w:tcPr>
          <w:p>
            <w:pPr>
              <w:spacing w:after="60" w:before="0"/>
              <w:jc w:val="center"/>
            </w:pPr>
            <w:r>
              <w:rPr>
                <w:rFonts w:ascii="Arial" w:cs="Arial" w:eastAsia="Arial" w:hAnsi="Arial"/>
                <w:b/>
                <w:bCs/>
                <w:color w:val="7C4A00"/>
                <w:sz w:val="56"/>
                <w:szCs w:val="56"/>
              </w:rPr>
              <w:t xml:space="preserve">6</w:t>
            </w:r>
          </w:p>
          <w:p>
            <w:pPr>
              <w:spacing w:after="0" w:before="0"/>
              <w:jc w:val="center"/>
            </w:pPr>
            <w:r>
              <w:rPr>
                <w:rFonts w:ascii="Arial" w:cs="Arial" w:eastAsia="Arial" w:hAnsi="Arial"/>
                <w:color w:val="7C4A00"/>
                <w:sz w:val="20"/>
                <w:szCs w:val="20"/>
              </w:rPr>
              <w:t xml:space="preserve">Score Dimensions</w:t>
            </w:r>
          </w:p>
        </w:tc>
      </w:tr>
    </w:tbl>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60"/>
              <w:left w:type="dxa" w:w="300"/>
              <w:bottom w:type="dxa" w:w="160"/>
              <w:right w:type="dxa" w:w="300"/>
            </w:tcMar>
          </w:tcPr>
          <w:p>
            <w:pPr>
              <w:spacing w:after="60" w:before="0"/>
            </w:pPr>
            <w:r>
              <w:rPr>
                <w:rFonts w:ascii="Arial" w:cs="Arial" w:eastAsia="Arial" w:hAnsi="Arial"/>
                <w:b/>
                <w:bCs/>
                <w:color w:val="1B3A6B"/>
                <w:sz w:val="20"/>
                <w:szCs w:val="20"/>
              </w:rPr>
              <w:t xml:space="preserve">Document Information</w:t>
            </w:r>
          </w:p>
          <w:p>
            <w:pPr>
              <w:spacing w:after="40" w:before="0"/>
            </w:pPr>
            <w:r>
              <w:rPr>
                <w:rFonts w:ascii="Arial" w:cs="Arial" w:eastAsia="Arial" w:hAnsi="Arial"/>
                <w:color w:val="1A1A1A"/>
                <w:sz w:val="19"/>
                <w:szCs w:val="19"/>
              </w:rPr>
              <w:t xml:space="preserve">Prepared by:  Revenue Assurance &amp; CX Strategy</w:t>
            </w:r>
          </w:p>
          <w:p>
            <w:pPr>
              <w:spacing w:after="40" w:before="0"/>
            </w:pPr>
            <w:r>
              <w:rPr>
                <w:rFonts w:ascii="Arial" w:cs="Arial" w:eastAsia="Arial" w:hAnsi="Arial"/>
                <w:color w:val="1A1A1A"/>
                <w:sz w:val="19"/>
                <w:szCs w:val="19"/>
              </w:rPr>
              <w:t xml:space="preserve">Applicable to:  Collections, DSM, Field Ops, Customer Care, Network Planning, Billing Ops</w:t>
            </w:r>
          </w:p>
          <w:p>
            <w:pPr>
              <w:spacing w:after="40" w:before="0"/>
            </w:pPr>
            <w:r>
              <w:rPr>
                <w:rFonts w:ascii="Arial" w:cs="Arial" w:eastAsia="Arial" w:hAnsi="Arial"/>
                <w:color w:val="1A1A1A"/>
                <w:sz w:val="19"/>
                <w:szCs w:val="19"/>
              </w:rPr>
              <w:t xml:space="preserve">Version:  v1.0 — April 2026</w:t>
            </w:r>
          </w:p>
          <w:p>
            <w:pPr>
              <w:spacing w:after="0" w:before="0"/>
            </w:pPr>
            <w:r>
              <w:rPr>
                <w:rFonts w:ascii="Arial" w:cs="Arial" w:eastAsia="Arial" w:hAnsi="Arial"/>
                <w:b/>
                <w:bCs/>
                <w:color w:val="8B1A1A"/>
                <w:sz w:val="19"/>
                <w:szCs w:val="19"/>
              </w:rPr>
              <w:t xml:space="preserve">Classification:  Confidential — Internal Use Only</w:t>
            </w:r>
          </w:p>
        </w:tc>
      </w:tr>
    </w:tbl>
    <w:p>
      <w:r>
        <w:br w:type="page"/>
      </w:r>
    </w:p>
    <w:p>
      <w:pPr>
        <w:pStyle w:val="Heading1"/>
        <w:spacing w:after="200" w:before="400"/>
      </w:pPr>
      <w:r>
        <w:rPr>
          <w:rFonts w:ascii="Arial" w:cs="Arial" w:eastAsia="Arial" w:hAnsi="Arial"/>
          <w:b/>
          <w:bCs/>
          <w:color w:val="1B3A6B"/>
          <w:sz w:val="36"/>
          <w:szCs w:val="36"/>
        </w:rPr>
        <w:t xml:space="preserve">1. Executive Summary</w:t>
      </w:r>
    </w:p>
    <w:p>
      <w:pPr>
        <w:pBdr>
          <w:bottom w:val="single" w:color="2563A8" w:sz="6" w:space="1"/>
        </w:pBdr>
        <w:spacing w:after="120" w:before="120"/>
      </w:pPr>
    </w:p>
    <w:p>
      <w:pPr>
        <w:spacing w:after="160" w:before="80"/>
        <w:jc w:val="left"/>
      </w:pPr>
      <w:r>
        <w:rPr>
          <w:rFonts w:ascii="Arial" w:cs="Arial" w:eastAsia="Arial" w:hAnsi="Arial"/>
          <w:b w:val="false"/>
          <w:bCs w:val="false"/>
          <w:color w:val="1A1A1A"/>
          <w:sz w:val="22"/>
          <w:szCs w:val="22"/>
        </w:rPr>
        <w:t xml:space="preserve">The Consumer Persona &amp; Scenario Intelligence Framework is a unified analytical layer that converts raw operational data — from smart meters, billing systems, payment records, CRM, and consumer apps — into actionable consumer-level intelligence.</w:t>
      </w:r>
    </w:p>
    <w:p>
      <w:pPr>
        <w:spacing w:after="160" w:before="0"/>
        <w:jc w:val="left"/>
      </w:pPr>
      <w:r>
        <w:rPr>
          <w:rFonts w:ascii="Arial" w:cs="Arial" w:eastAsia="Arial" w:hAnsi="Arial"/>
          <w:b w:val="false"/>
          <w:bCs w:val="false"/>
          <w:color w:val="1A1A1A"/>
          <w:sz w:val="22"/>
          <w:szCs w:val="22"/>
        </w:rPr>
        <w:t xml:space="preserve">Every consumer receives six scores monthly. These scores are combined into personas. Personas drive targeted, differentiated actions across six operational domains: collections, DSM, field operations, customer experience, network planning, and regulatory risk management.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pPr>
              <w:spacing w:after="0" w:before="0"/>
            </w:pPr>
            <w:r>
              <w:rPr>
                <w:rFonts w:ascii="Arial" w:cs="Arial" w:eastAsia="Arial" w:hAnsi="Arial"/>
                <w:b/>
                <w:bCs/>
                <w:color w:val="1B3A6B"/>
                <w:sz w:val="22"/>
                <w:szCs w:val="22"/>
              </w:rPr>
              <w:t xml:space="preserve">What This Framework Enables</w:t>
            </w:r>
          </w:p>
        </w:tc>
      </w:tr>
    </w:tbl>
    <w:p>
      <w:pPr>
        <w:spacing w:after="80" w:before="80"/>
      </w:pPr>
    </w:p>
    <w:p>
      <w:pPr>
        <w:pStyle w:val="ListParagraph"/>
        <w:numPr>
          <w:ilvl w:val="0"/>
          <w:numId w:val="2"/>
        </w:numPr>
        <w:spacing w:after="40" w:before="40"/>
      </w:pPr>
      <w:r>
        <w:rPr>
          <w:rFonts w:ascii="Arial" w:cs="Arial" w:eastAsia="Arial" w:hAnsi="Arial"/>
          <w:color w:val="1A1A1A"/>
          <w:sz w:val="20"/>
          <w:szCs w:val="20"/>
        </w:rPr>
        <w:t xml:space="preserve">Predict and prevent payment defaults before they occur — reducing field enforcement cost by 30–40%</w:t>
      </w:r>
    </w:p>
    <w:p>
      <w:pPr>
        <w:pStyle w:val="ListParagraph"/>
        <w:numPr>
          <w:ilvl w:val="0"/>
          <w:numId w:val="2"/>
        </w:numPr>
        <w:spacing w:after="40" w:before="40"/>
      </w:pPr>
      <w:r>
        <w:rPr>
          <w:rFonts w:ascii="Arial" w:cs="Arial" w:eastAsia="Arial" w:hAnsi="Arial"/>
          <w:color w:val="1A1A1A"/>
          <w:sz w:val="20"/>
          <w:szCs w:val="20"/>
        </w:rPr>
        <w:t xml:space="preserve">Route defaulters correctly: digital recovery vs field visit based on engagement level</w:t>
      </w:r>
    </w:p>
    <w:p>
      <w:pPr>
        <w:pStyle w:val="ListParagraph"/>
        <w:numPr>
          <w:ilvl w:val="0"/>
          <w:numId w:val="2"/>
        </w:numPr>
        <w:spacing w:after="40" w:before="40"/>
      </w:pPr>
      <w:r>
        <w:rPr>
          <w:rFonts w:ascii="Arial" w:cs="Arial" w:eastAsia="Arial" w:hAnsi="Arial"/>
          <w:color w:val="1A1A1A"/>
          <w:sz w:val="20"/>
          <w:szCs w:val="20"/>
        </w:rPr>
        <w:t xml:space="preserve">Target DSM and Demand Response programmes at consumers with genuine flexible load</w:t>
      </w:r>
    </w:p>
    <w:p>
      <w:pPr>
        <w:pStyle w:val="ListParagraph"/>
        <w:numPr>
          <w:ilvl w:val="0"/>
          <w:numId w:val="2"/>
        </w:numPr>
        <w:spacing w:after="40" w:before="40"/>
      </w:pPr>
      <w:r>
        <w:rPr>
          <w:rFonts w:ascii="Arial" w:cs="Arial" w:eastAsia="Arial" w:hAnsi="Arial"/>
          <w:color w:val="1A1A1A"/>
          <w:sz w:val="20"/>
          <w:szCs w:val="20"/>
        </w:rPr>
        <w:t xml:space="preserve">Identify consumers whose DT/feeder stress can be resolved by behaviour change vs infrastructure upgrade</w:t>
      </w:r>
    </w:p>
    <w:p>
      <w:pPr>
        <w:pStyle w:val="ListParagraph"/>
        <w:numPr>
          <w:ilvl w:val="0"/>
          <w:numId w:val="2"/>
        </w:numPr>
        <w:spacing w:after="40" w:before="40"/>
      </w:pPr>
      <w:r>
        <w:rPr>
          <w:rFonts w:ascii="Arial" w:cs="Arial" w:eastAsia="Arial" w:hAnsi="Arial"/>
          <w:color w:val="1A1A1A"/>
          <w:sz w:val="20"/>
          <w:szCs w:val="20"/>
        </w:rPr>
        <w:t xml:space="preserve">Pre-empt billing complaints and regulatory escalations before they leave the DISCOM</w:t>
      </w:r>
    </w:p>
    <w:p>
      <w:pPr>
        <w:pStyle w:val="ListParagraph"/>
        <w:numPr>
          <w:ilvl w:val="0"/>
          <w:numId w:val="2"/>
        </w:numPr>
        <w:spacing w:after="40" w:before="40"/>
      </w:pPr>
      <w:r>
        <w:rPr>
          <w:rFonts w:ascii="Arial" w:cs="Arial" w:eastAsia="Arial" w:hAnsi="Arial"/>
          <w:color w:val="1A1A1A"/>
          <w:sz w:val="20"/>
          <w:szCs w:val="20"/>
        </w:rPr>
        <w:t xml:space="preserve">Personalise communications by channel, timing, and message based on digital readiness</w:t>
      </w:r>
    </w:p>
    <w:p>
      <w:pPr>
        <w:spacing w:after="120" w:before="120"/>
      </w:pPr>
    </w:p>
    <w:p>
      <w:pPr>
        <w:pStyle w:val="Heading1"/>
        <w:spacing w:after="200" w:before="400"/>
      </w:pPr>
      <w:r>
        <w:rPr>
          <w:rFonts w:ascii="Arial" w:cs="Arial" w:eastAsia="Arial" w:hAnsi="Arial"/>
          <w:b/>
          <w:bCs/>
          <w:color w:val="1B3A6B"/>
          <w:sz w:val="36"/>
          <w:szCs w:val="36"/>
        </w:rPr>
        <w:t xml:space="preserve">2. Framework Architecture</w:t>
      </w:r>
    </w:p>
    <w:p>
      <w:pPr>
        <w:pBdr>
          <w:bottom w:val="single" w:color="2563A8" w:sz="6" w:space="1"/>
        </w:pBdr>
        <w:spacing w:after="120" w:before="120"/>
      </w:pPr>
    </w:p>
    <w:p>
      <w:pPr>
        <w:spacing w:after="160" w:before="80"/>
        <w:jc w:val="left"/>
      </w:pPr>
      <w:r>
        <w:rPr>
          <w:rFonts w:ascii="Arial" w:cs="Arial" w:eastAsia="Arial" w:hAnsi="Arial"/>
          <w:b w:val="false"/>
          <w:bCs w:val="false"/>
          <w:color w:val="1A1A1A"/>
          <w:sz w:val="22"/>
          <w:szCs w:val="22"/>
        </w:rPr>
        <w:t xml:space="preserve">The framework operates in four sequential layers: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none" w:color="FFFFFF" w:sz="0"/>
              <w:left w:val="none" w:color="FFFFFF" w:sz="0"/>
              <w:bottom w:val="none" w:color="FFFFFF" w:sz="0"/>
              <w:right w:val="none" w:color="FFFFFF" w:sz="0"/>
            </w:tcBorders>
            <w:shd w:fill="D6E4F7" w:val="clear"/>
            <w:tcMar>
              <w:top w:type="dxa" w:w="160"/>
              <w:left w:type="dxa" w:w="160"/>
              <w:bottom w:type="dxa" w:w="160"/>
              <w:right w:type="dxa" w:w="160"/>
            </w:tcMar>
          </w:tcPr>
          <w:p>
            <w:pPr>
              <w:spacing w:after="60" w:before="0"/>
              <w:jc w:val="center"/>
            </w:pPr>
            <w:r>
              <w:rPr>
                <w:rFonts w:ascii="Arial" w:cs="Arial" w:eastAsia="Arial" w:hAnsi="Arial"/>
                <w:b/>
                <w:bCs/>
                <w:color w:val="1B3A6B"/>
                <w:sz w:val="20"/>
                <w:szCs w:val="20"/>
              </w:rPr>
              <w:t xml:space="preserve">Layer 1</w:t>
            </w:r>
          </w:p>
          <w:p>
            <w:pPr>
              <w:spacing w:after="0" w:before="0"/>
              <w:jc w:val="center"/>
            </w:pPr>
            <w:r>
              <w:rPr>
                <w:rFonts w:ascii="Arial" w:cs="Arial" w:eastAsia="Arial" w:hAnsi="Arial"/>
                <w:color w:val="2563A8"/>
                <w:sz w:val="19"/>
                <w:szCs w:val="19"/>
              </w:rPr>
              <w:t xml:space="preserve">Raw Data</w:t>
            </w:r>
          </w:p>
        </w:tc>
        <w:tc>
          <w:tcPr>
            <w:tcBorders>
              <w:top w:val="none" w:color="FFFFFF" w:sz="0"/>
              <w:left w:val="none" w:color="FFFFFF" w:sz="0"/>
              <w:bottom w:val="none" w:color="FFFFFF" w:sz="0"/>
              <w:right w:val="none" w:color="FFFFFF" w:sz="0"/>
            </w:tcBorders>
            <w:shd w:fill="D8F0E8" w:val="clear"/>
            <w:tcMar>
              <w:top w:type="dxa" w:w="160"/>
              <w:left w:type="dxa" w:w="160"/>
              <w:bottom w:type="dxa" w:w="160"/>
              <w:right w:type="dxa" w:w="160"/>
            </w:tcMar>
          </w:tcPr>
          <w:p>
            <w:pPr>
              <w:spacing w:after="60" w:before="0"/>
              <w:jc w:val="center"/>
            </w:pPr>
            <w:r>
              <w:rPr>
                <w:rFonts w:ascii="Arial" w:cs="Arial" w:eastAsia="Arial" w:hAnsi="Arial"/>
                <w:b/>
                <w:bCs/>
                <w:color w:val="0F6E56"/>
                <w:sz w:val="20"/>
                <w:szCs w:val="20"/>
              </w:rPr>
              <w:t xml:space="preserve">Layer 2</w:t>
            </w:r>
          </w:p>
          <w:p>
            <w:pPr>
              <w:spacing w:after="0" w:before="0"/>
              <w:jc w:val="center"/>
            </w:pPr>
            <w:r>
              <w:rPr>
                <w:rFonts w:ascii="Arial" w:cs="Arial" w:eastAsia="Arial" w:hAnsi="Arial"/>
                <w:color w:val="0F6E56"/>
                <w:sz w:val="19"/>
                <w:szCs w:val="19"/>
              </w:rPr>
              <w:t xml:space="preserve">Attributes</w:t>
            </w:r>
          </w:p>
        </w:tc>
        <w:tc>
          <w:tcPr>
            <w:tcBorders>
              <w:top w:val="none" w:color="FFFFFF" w:sz="0"/>
              <w:left w:val="none" w:color="FFFFFF" w:sz="0"/>
              <w:bottom w:val="none" w:color="FFFFFF" w:sz="0"/>
              <w:right w:val="none" w:color="FFFFFF" w:sz="0"/>
            </w:tcBorders>
            <w:shd w:fill="FEF3DC" w:val="clear"/>
            <w:tcMar>
              <w:top w:type="dxa" w:w="160"/>
              <w:left w:type="dxa" w:w="160"/>
              <w:bottom w:type="dxa" w:w="160"/>
              <w:right w:type="dxa" w:w="160"/>
            </w:tcMar>
          </w:tcPr>
          <w:p>
            <w:pPr>
              <w:spacing w:after="60" w:before="0"/>
              <w:jc w:val="center"/>
            </w:pPr>
            <w:r>
              <w:rPr>
                <w:rFonts w:ascii="Arial" w:cs="Arial" w:eastAsia="Arial" w:hAnsi="Arial"/>
                <w:b/>
                <w:bCs/>
                <w:color w:val="7C4A00"/>
                <w:sz w:val="20"/>
                <w:szCs w:val="20"/>
              </w:rPr>
              <w:t xml:space="preserve">Layer 3</w:t>
            </w:r>
          </w:p>
          <w:p>
            <w:pPr>
              <w:spacing w:after="0" w:before="0"/>
              <w:jc w:val="center"/>
            </w:pPr>
            <w:r>
              <w:rPr>
                <w:rFonts w:ascii="Arial" w:cs="Arial" w:eastAsia="Arial" w:hAnsi="Arial"/>
                <w:color w:val="7C4A00"/>
                <w:sz w:val="19"/>
                <w:szCs w:val="19"/>
              </w:rPr>
              <w:t xml:space="preserve">Scores</w:t>
            </w:r>
          </w:p>
        </w:tc>
        <w:tc>
          <w:tcPr>
            <w:tcBorders>
              <w:top w:val="none" w:color="FFFFFF" w:sz="0"/>
              <w:left w:val="none" w:color="FFFFFF" w:sz="0"/>
              <w:bottom w:val="none" w:color="FFFFFF" w:sz="0"/>
              <w:right w:val="none" w:color="FFFFFF" w:sz="0"/>
            </w:tcBorders>
            <w:shd w:fill="FAECE7" w:val="clear"/>
            <w:tcMar>
              <w:top w:type="dxa" w:w="160"/>
              <w:left w:type="dxa" w:w="160"/>
              <w:bottom w:type="dxa" w:w="160"/>
              <w:right w:type="dxa" w:w="160"/>
            </w:tcMar>
          </w:tcPr>
          <w:p>
            <w:pPr>
              <w:spacing w:after="60" w:before="0"/>
              <w:jc w:val="center"/>
            </w:pPr>
            <w:r>
              <w:rPr>
                <w:rFonts w:ascii="Arial" w:cs="Arial" w:eastAsia="Arial" w:hAnsi="Arial"/>
                <w:b/>
                <w:bCs/>
                <w:color w:val="993C1D"/>
                <w:sz w:val="20"/>
                <w:szCs w:val="20"/>
              </w:rPr>
              <w:t xml:space="preserve">Layer 4</w:t>
            </w:r>
          </w:p>
          <w:p>
            <w:pPr>
              <w:spacing w:after="0" w:before="0"/>
              <w:jc w:val="center"/>
            </w:pPr>
            <w:r>
              <w:rPr>
                <w:rFonts w:ascii="Arial" w:cs="Arial" w:eastAsia="Arial" w:hAnsi="Arial"/>
                <w:color w:val="993C1D"/>
                <w:sz w:val="19"/>
                <w:szCs w:val="19"/>
              </w:rPr>
              <w:t xml:space="preserve">Personas → Actions</w:t>
            </w:r>
          </w:p>
        </w:tc>
        <w:tc>
          <w:tcPr>
            <w:tcBorders>
              <w:top w:val="none" w:color="FFFFFF" w:sz="0"/>
              <w:left w:val="none" w:color="FFFFFF" w:sz="0"/>
              <w:bottom w:val="none" w:color="FFFFFF" w:sz="0"/>
              <w:right w:val="none" w:color="FFFFFF" w:sz="0"/>
            </w:tcBorders>
            <w:shd w:fill="EEEDFE" w:val="clear"/>
            <w:tcMar>
              <w:top w:type="dxa" w:w="160"/>
              <w:left w:type="dxa" w:w="160"/>
              <w:bottom w:type="dxa" w:w="160"/>
              <w:right w:type="dxa" w:w="160"/>
            </w:tcMar>
          </w:tcPr>
          <w:p>
            <w:pPr>
              <w:spacing w:after="60" w:before="0"/>
              <w:jc w:val="center"/>
            </w:pPr>
            <w:r>
              <w:rPr>
                <w:rFonts w:ascii="Arial" w:cs="Arial" w:eastAsia="Arial" w:hAnsi="Arial"/>
                <w:b/>
                <w:bCs/>
                <w:color w:val="3C3489"/>
                <w:sz w:val="20"/>
                <w:szCs w:val="20"/>
              </w:rPr>
              <w:t xml:space="preserve">Layer 5</w:t>
            </w:r>
          </w:p>
          <w:p>
            <w:pPr>
              <w:spacing w:after="0" w:before="0"/>
              <w:jc w:val="center"/>
            </w:pPr>
            <w:r>
              <w:rPr>
                <w:rFonts w:ascii="Arial" w:cs="Arial" w:eastAsia="Arial" w:hAnsi="Arial"/>
                <w:color w:val="3C3489"/>
                <w:sz w:val="19"/>
                <w:szCs w:val="19"/>
              </w:rPr>
              <w:t xml:space="preserve">LLM Explainability</w:t>
            </w:r>
          </w:p>
        </w:tc>
      </w:tr>
    </w:tbl>
    <w:p>
      <w:pPr>
        <w:spacing w:after="80" w:before="80"/>
      </w:pPr>
    </w:p>
    <w:p>
      <w:pPr>
        <w:spacing w:after="80" w:before="80"/>
        <w:jc w:val="left"/>
      </w:pPr>
      <w:r>
        <w:rPr>
          <w:rFonts w:ascii="Arial" w:cs="Arial" w:eastAsia="Arial" w:hAnsi="Arial"/>
          <w:b w:val="false"/>
          <w:bCs w:val="false"/>
          <w:color w:val="444441"/>
          <w:sz w:val="21"/>
          <w:szCs w:val="21"/>
        </w:rPr>
        <w:t xml:space="preserve">Data is refreshed monthly, aligned to the billing cycle. Each consumer holds one analytical record per billing month, enabling month-on-month trend tracking and intervention effectiveness measurement.</w:t>
      </w:r>
    </w:p>
    <w:p>
      <w:pPr>
        <w:spacing w:after="80" w:before="120"/>
      </w:pPr>
    </w:p>
    <w:p>
      <w:pPr>
        <w:pStyle w:val="Heading1"/>
        <w:spacing w:after="200" w:before="400"/>
      </w:pPr>
      <w:r>
        <w:rPr>
          <w:rFonts w:ascii="Arial" w:cs="Arial" w:eastAsia="Arial" w:hAnsi="Arial"/>
          <w:b/>
          <w:bCs/>
          <w:color w:val="1B3A6B"/>
          <w:sz w:val="36"/>
          <w:szCs w:val="36"/>
        </w:rPr>
        <w:t xml:space="preserve">3. The Six Scoring Dimensions</w:t>
      </w:r>
    </w:p>
    <w:p>
      <w:pPr>
        <w:pBdr>
          <w:bottom w:val="single" w:color="2563A8" w:sz="6" w:space="1"/>
        </w:pBdr>
        <w:spacing w:after="120" w:before="120"/>
      </w:pPr>
    </w:p>
    <w:p>
      <w:pPr>
        <w:spacing w:after="200" w:before="80"/>
        <w:jc w:val="left"/>
      </w:pPr>
      <w:r>
        <w:rPr>
          <w:rFonts w:ascii="Arial" w:cs="Arial" w:eastAsia="Arial" w:hAnsi="Arial"/>
          <w:b w:val="false"/>
          <w:bCs w:val="false"/>
          <w:color w:val="1A1A1A"/>
          <w:sz w:val="22"/>
          <w:szCs w:val="22"/>
        </w:rPr>
        <w:t xml:space="preserve">Every consumer receives all six scores each billing month. Persona assignment and action routing are driven entirely by combinations of these scores. No score is used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360"/>
        <w:gridCol w:w="3300"/>
      </w:tblGrid>
      <w:tr>
        <w:trPr>
          <w:tblHeader/>
        </w:trPr>
        <w:tc>
          <w:tcPr>
            <w:tcW w:type="dxa" w:w="1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Score / Flag</w:t>
            </w:r>
          </w:p>
        </w:tc>
        <w:tc>
          <w:tcPr>
            <w:tcW w:type="dxa" w:w="9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Scale</w:t>
            </w:r>
          </w:p>
        </w:tc>
        <w:tc>
          <w:tcPr>
            <w:tcW w:type="dxa" w:w="33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Built From</w:t>
            </w:r>
          </w:p>
        </w:tc>
        <w:tc>
          <w:tcPr>
            <w:tcW w:type="dxa" w:w="33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Action Tiers</w:t>
            </w:r>
          </w:p>
        </w:tc>
      </w:tr>
      <w:tr>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Revenue Risk Score</w:t>
            </w:r>
          </w:p>
        </w:tc>
        <w:tc>
          <w:tcPr>
            <w:tcW w:type="dxa" w:w="9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0 – 100</w:t>
            </w:r>
          </w:p>
        </w:tc>
        <w:tc>
          <w:tcPr>
            <w:tcW w:type="dxa" w:w="3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Payment delays, default probability, consistency score, arrears status</w:t>
            </w:r>
          </w:p>
        </w:tc>
        <w:tc>
          <w:tcPr>
            <w:tcW w:type="dxa" w:w="33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0–30 Safe | 31–65 Watch | 66–100 Enforce</w:t>
            </w:r>
          </w:p>
        </w:tc>
      </w:tr>
      <w:tr>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Peak Impact Score</w:t>
            </w:r>
          </w:p>
        </w:tc>
        <w:tc>
          <w:tcPr>
            <w:tcW w:type="dxa" w:w="9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0 – 100</w:t>
            </w:r>
          </w:p>
        </w:tc>
        <w:tc>
          <w:tcPr>
            <w:tcW w:type="dxa" w:w="3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Peak hour usage, DT coincidence level, NILM appliance flags (AC / EV / pump)</w:t>
            </w:r>
          </w:p>
        </w:tc>
        <w:tc>
          <w:tcPr>
            <w:tcW w:type="dxa" w:w="33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0–40 Low | 41–70 Medium | 71–100 High</w:t>
            </w:r>
          </w:p>
        </w:tc>
      </w:tr>
      <w:tr>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Complaint Risk Score</w:t>
            </w:r>
          </w:p>
        </w:tc>
        <w:tc>
          <w:tcPr>
            <w:tcW w:type="dxa" w:w="9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0 – 100</w:t>
            </w:r>
          </w:p>
        </w:tc>
        <w:tc>
          <w:tcPr>
            <w:tcW w:type="dxa" w:w="3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Complaint frequency, TAT history, escalation flags, bill shock indicator, repeat flag</w:t>
            </w:r>
          </w:p>
        </w:tc>
        <w:tc>
          <w:tcPr>
            <w:tcW w:type="dxa" w:w="33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0–30 Low | 31–65 Monitor | 66–100 Priority CX</w:t>
            </w:r>
          </w:p>
        </w:tc>
      </w:tr>
      <w:tr>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Engagement Score</w:t>
            </w:r>
          </w:p>
        </w:tc>
        <w:tc>
          <w:tcPr>
            <w:tcW w:type="dxa" w:w="9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0 – 100</w:t>
            </w:r>
          </w:p>
        </w:tc>
        <w:tc>
          <w:tcPr>
            <w:tcW w:type="dxa" w:w="3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App logins, notification opens, digital payment flag, preferred channel, contact time</w:t>
            </w:r>
          </w:p>
        </w:tc>
        <w:tc>
          <w:tcPr>
            <w:tcW w:type="dxa" w:w="33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0–30 Offline | 31–65 Partial digital | 66–100 Digital first</w:t>
            </w:r>
          </w:p>
        </w:tc>
      </w:tr>
      <w:tr>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DSM Readiness Score</w:t>
            </w:r>
          </w:p>
        </w:tc>
        <w:tc>
          <w:tcPr>
            <w:tcW w:type="dxa" w:w="9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0 – 100</w:t>
            </w:r>
          </w:p>
        </w:tc>
        <w:tc>
          <w:tcPr>
            <w:tcW w:type="dxa" w:w="3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Flexible load score + NILM flags + TOD sensitivity + peak coincidence level</w:t>
            </w:r>
          </w:p>
        </w:tc>
        <w:tc>
          <w:tcPr>
            <w:tcW w:type="dxa" w:w="33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0–35 Non-flexible | 36–65 Partial | 66–100 DR ready</w:t>
            </w:r>
          </w:p>
        </w:tc>
      </w:tr>
      <w:tr>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Regulatory Risk Flag</w:t>
            </w:r>
          </w:p>
        </w:tc>
        <w:tc>
          <w:tcPr>
            <w:tcW w:type="dxa" w:w="9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Y / N</w:t>
            </w:r>
          </w:p>
        </w:tc>
        <w:tc>
          <w:tcPr>
            <w:tcW w:type="dxa" w:w="3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Complaint unresolved &gt;30 days, escalation flag set, complaint risk &gt;70 AND TAT &gt;15 days</w:t>
            </w:r>
          </w:p>
        </w:tc>
        <w:tc>
          <w:tcPr>
            <w:tcW w:type="dxa" w:w="33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N – No action | Y – Senior officer escalation</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pPr>
              <w:spacing w:after="0" w:before="0"/>
            </w:pPr>
            <w:r>
              <w:rPr>
                <w:rFonts w:ascii="Arial" w:cs="Arial" w:eastAsia="Arial" w:hAnsi="Arial"/>
                <w:b/>
                <w:bCs/>
                <w:color w:val="1B3A6B"/>
                <w:sz w:val="22"/>
                <w:szCs w:val="22"/>
              </w:rPr>
              <w:t xml:space="preserve">Regulatory Risk Flag — Detailed Definition</w:t>
            </w:r>
          </w:p>
        </w:tc>
      </w:tr>
    </w:tbl>
    <w:p>
      <w:pPr>
        <w:spacing w:after="80" w:before="80"/>
      </w:pPr>
    </w:p>
    <w:p>
      <w:pPr>
        <w:spacing w:after="120" w:before="80"/>
        <w:jc w:val="left"/>
      </w:pPr>
      <w:r>
        <w:rPr>
          <w:rFonts w:ascii="Arial" w:cs="Arial" w:eastAsia="Arial" w:hAnsi="Arial"/>
          <w:b w:val="false"/>
          <w:bCs w:val="false"/>
          <w:color w:val="1A1A1A"/>
          <w:sz w:val="22"/>
          <w:szCs w:val="22"/>
        </w:rPr>
        <w:t xml:space="preserve">The Regulatory Risk Flag is a binary indicator (Y/N) set on a consumer's monthly record when there is a credible risk that their complaint or grievance will escalate beyond the DISCOM to an external regulatory or legal body.</w:t>
      </w:r>
    </w:p>
    <w:p>
      <w:pPr>
        <w:spacing w:after="60" w:before="80"/>
        <w:jc w:val="left"/>
      </w:pPr>
      <w:r>
        <w:rPr>
          <w:rFonts w:ascii="Arial" w:cs="Arial" w:eastAsia="Arial" w:hAnsi="Arial"/>
          <w:b/>
          <w:bCs/>
          <w:color w:val="1A1A1A"/>
          <w:sz w:val="20"/>
          <w:szCs w:val="20"/>
        </w:rPr>
        <w:t xml:space="preserve">What triggers the flag:</w:t>
      </w:r>
    </w:p>
    <w:p>
      <w:pPr>
        <w:pStyle w:val="ListParagraph"/>
        <w:numPr>
          <w:ilvl w:val="0"/>
          <w:numId w:val="2"/>
        </w:numPr>
        <w:spacing w:after="40" w:before="40"/>
      </w:pPr>
      <w:r>
        <w:rPr>
          <w:rFonts w:ascii="Arial" w:cs="Arial" w:eastAsia="Arial" w:hAnsi="Arial"/>
          <w:color w:val="1A1A1A"/>
          <w:sz w:val="20"/>
          <w:szCs w:val="20"/>
        </w:rPr>
        <w:t xml:space="preserve">An existing complaint has not been resolved within 30 days — the consumer now has the legal right to approach the Ombudsman or State Consumer Forum</w:t>
      </w:r>
    </w:p>
    <w:p>
      <w:pPr>
        <w:pStyle w:val="ListParagraph"/>
        <w:numPr>
          <w:ilvl w:val="0"/>
          <w:numId w:val="2"/>
        </w:numPr>
        <w:spacing w:after="40" w:before="40"/>
      </w:pPr>
      <w:r>
        <w:rPr>
          <w:rFonts w:ascii="Arial" w:cs="Arial" w:eastAsia="Arial" w:hAnsi="Arial"/>
          <w:color w:val="1A1A1A"/>
          <w:sz w:val="20"/>
          <w:szCs w:val="20"/>
        </w:rPr>
        <w:t xml:space="preserve">The CRM escalation flag is already set, meaning the consumer has explicitly threatened or initiated external escalation</w:t>
      </w:r>
    </w:p>
    <w:p>
      <w:pPr>
        <w:pStyle w:val="ListParagraph"/>
        <w:numPr>
          <w:ilvl w:val="0"/>
          <w:numId w:val="2"/>
        </w:numPr>
        <w:spacing w:after="40" w:before="40"/>
      </w:pPr>
      <w:r>
        <w:rPr>
          <w:rFonts w:ascii="Arial" w:cs="Arial" w:eastAsia="Arial" w:hAnsi="Arial"/>
          <w:color w:val="1A1A1A"/>
          <w:sz w:val="20"/>
          <w:szCs w:val="20"/>
        </w:rPr>
        <w:t xml:space="preserve">Complaint Risk Score is above 70 AND average resolution TAT exceeds 15 days — a predictive trigger before escalation occurs</w:t>
      </w:r>
    </w:p>
    <w:p>
      <w:pPr>
        <w:pStyle w:val="ListParagraph"/>
        <w:numPr>
          <w:ilvl w:val="0"/>
          <w:numId w:val="2"/>
        </w:numPr>
        <w:spacing w:after="40" w:before="40"/>
      </w:pPr>
      <w:r>
        <w:rPr>
          <w:rFonts w:ascii="Arial" w:cs="Arial" w:eastAsia="Arial" w:hAnsi="Arial"/>
          <w:color w:val="1A1A1A"/>
          <w:sz w:val="20"/>
          <w:szCs w:val="20"/>
        </w:rPr>
        <w:t xml:space="preserve">Complaint is in billing or metering category AND no revised bill has been issued within the investigation window</w:t>
      </w:r>
    </w:p>
    <w:p>
      <w:pPr>
        <w:spacing w:after="80" w:before="80"/>
      </w:pPr>
    </w:p>
    <w:p>
      <w:pPr>
        <w:spacing w:after="60" w:before="80"/>
        <w:jc w:val="left"/>
      </w:pPr>
      <w:r>
        <w:rPr>
          <w:rFonts w:ascii="Arial" w:cs="Arial" w:eastAsia="Arial" w:hAnsi="Arial"/>
          <w:b/>
          <w:bCs/>
          <w:color w:val="1A1A1A"/>
          <w:sz w:val="20"/>
          <w:szCs w:val="20"/>
        </w:rPr>
        <w:t xml:space="preserve">Escalation chain:</w:t>
      </w:r>
    </w:p>
    <w:p>
      <w:pPr>
        <w:pStyle w:val="ListParagraph"/>
        <w:numPr>
          <w:ilvl w:val="0"/>
          <w:numId w:val="2"/>
        </w:numPr>
        <w:spacing w:after="40" w:before="40"/>
      </w:pPr>
      <w:r>
        <w:rPr>
          <w:rFonts w:ascii="Arial" w:cs="Arial" w:eastAsia="Arial" w:hAnsi="Arial"/>
          <w:color w:val="1A1A1A"/>
          <w:sz w:val="20"/>
          <w:szCs w:val="20"/>
        </w:rPr>
        <w:t xml:space="preserve">DISCOM internal helpline → DISCOM Ombudsman → State Consumer Forum (Consumer Protection Act) → SERC (tariff / supply grievances)</w:t>
      </w:r>
    </w:p>
    <w:p>
      <w:pPr>
        <w:spacing w:after="80" w:before="80"/>
      </w:pPr>
    </w:p>
    <w:p>
      <w:pPr>
        <w:spacing w:after="60" w:before="80"/>
        <w:jc w:val="left"/>
      </w:pPr>
      <w:r>
        <w:rPr>
          <w:rFonts w:ascii="Arial" w:cs="Arial" w:eastAsia="Arial" w:hAnsi="Arial"/>
          <w:b/>
          <w:bCs/>
          <w:color w:val="1A1A1A"/>
          <w:sz w:val="20"/>
          <w:szCs w:val="20"/>
        </w:rPr>
        <w:t xml:space="preserve">Why it is different from Complaint Risk Score:</w:t>
      </w:r>
    </w:p>
    <w:p>
      <w:pPr>
        <w:spacing w:after="80" w:before="0"/>
        <w:jc w:val="left"/>
      </w:pPr>
      <w:r>
        <w:rPr>
          <w:rFonts w:ascii="Arial" w:cs="Arial" w:eastAsia="Arial" w:hAnsi="Arial"/>
          <w:b w:val="false"/>
          <w:bCs w:val="false"/>
          <w:color w:val="444441"/>
          <w:sz w:val="20"/>
          <w:szCs w:val="20"/>
        </w:rPr>
        <w:t xml:space="preserve">Complaint Risk Score measures the probability of any complaint being raised. The Regulatory Risk Flag is narrower — it measures the probability of that complaint leaving the DISCOM's control and entering a regulatory or legal forum. A consumer can have a high complaint risk score but a clear regulatory flag if complaints are being resolved quickly. Complaint Risk Score = volume risk. Regulatory Risk Flag = institutional / legal risk.</w:t>
      </w:r>
    </w:p>
    <w:p>
      <w:pPr>
        <w:spacing w:after="80" w:before="120"/>
      </w:pPr>
    </w:p>
    <w:p>
      <w:pPr>
        <w:pStyle w:val="Heading1"/>
        <w:spacing w:after="200" w:before="400"/>
      </w:pPr>
      <w:r>
        <w:rPr>
          <w:rFonts w:ascii="Arial" w:cs="Arial" w:eastAsia="Arial" w:hAnsi="Arial"/>
          <w:b/>
          <w:bCs/>
          <w:color w:val="1B3A6B"/>
          <w:sz w:val="36"/>
          <w:szCs w:val="36"/>
        </w:rPr>
        <w:t xml:space="preserve">4. Persona Library — All 18 Personas</w:t>
      </w:r>
    </w:p>
    <w:p>
      <w:pPr>
        <w:pBdr>
          <w:bottom w:val="single" w:color="2563A8" w:sz="6" w:space="1"/>
        </w:pBdr>
        <w:spacing w:after="120" w:before="120"/>
      </w:pPr>
    </w:p>
    <w:p>
      <w:pPr>
        <w:spacing w:after="200" w:before="80"/>
        <w:jc w:val="left"/>
      </w:pPr>
      <w:r>
        <w:rPr>
          <w:rFonts w:ascii="Arial" w:cs="Arial" w:eastAsia="Arial" w:hAnsi="Arial"/>
          <w:b w:val="false"/>
          <w:bCs w:val="false"/>
          <w:color w:val="1A1A1A"/>
          <w:sz w:val="22"/>
          <w:szCs w:val="22"/>
        </w:rPr>
        <w:t xml:space="preserve">Each consumer is assigned a primary persona and, where applicable, a secondary persona each billing month. Primary persona = the dominant score signal. Secondary persona = the next-highest signal where it crosses a meaningful threshold.</w:t>
      </w:r>
    </w:p>
    <w:p>
      <w:pPr>
        <w:pStyle w:val="Heading2"/>
        <w:spacing w:after="160" w:before="300"/>
      </w:pPr>
      <w:r>
        <w:rPr>
          <w:rFonts w:ascii="Arial" w:cs="Arial" w:eastAsia="Arial" w:hAnsi="Arial"/>
          <w:b/>
          <w:bCs/>
          <w:color w:val="2563A8"/>
          <w:sz w:val="28"/>
          <w:szCs w:val="28"/>
        </w:rPr>
        <w:t xml:space="preserve">4.1  Revenue &amp; Payment Personas</w:t>
      </w:r>
    </w:p>
    <w:p>
      <w:pPr>
        <w:spacing w:after="160" w:before="0"/>
        <w:jc w:val="left"/>
      </w:pPr>
      <w:r>
        <w:rPr>
          <w:rFonts w:ascii="Arial" w:cs="Arial" w:eastAsia="Arial" w:hAnsi="Arial"/>
          <w:b w:val="false"/>
          <w:bCs w:val="false"/>
          <w:color w:val="444441"/>
          <w:sz w:val="20"/>
          <w:szCs w:val="20"/>
        </w:rPr>
        <w:t xml:space="preserve">Six personas covering the full spectrum from reliable payers to write-off risk. These drive collections routing, enforcement timing, and channel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1560"/>
        <w:gridCol w:w="1600"/>
      </w:tblGrid>
      <w:tr>
        <w:trPr>
          <w:tblHeader/>
        </w:trPr>
        <w:tc>
          <w:tcPr>
            <w:tcW w:type="dxa" w:w="14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Tier / Type</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Persona Name</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Description &amp; Trigger</w:t>
            </w:r>
          </w:p>
        </w:tc>
        <w:tc>
          <w:tcPr>
            <w:tcW w:type="dxa" w:w="15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Score Signals</w:t>
            </w:r>
          </w:p>
        </w:tc>
        <w:tc>
          <w:tcPr>
            <w:tcW w:type="dxa" w:w="16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Recommended Action</w:t>
            </w:r>
          </w:p>
        </w:tc>
      </w:tr>
      <w:tr>
        <w:tc>
          <w:tcPr>
            <w:tcW w:type="dxa" w:w="1400"/>
            <w:gridSpan w:val="1"/>
            <w:tcBorders>
              <w:top w:val="single" w:color="D0D0D0" w:sz="1"/>
              <w:left w:val="single" w:color="D0D0D0" w:sz="1"/>
              <w:bottom w:val="single" w:color="D0D0D0" w:sz="1"/>
              <w:right w:val="single" w:color="D0D0D0" w:sz="1"/>
            </w:tcBorders>
            <w:shd w:fill="3B6D11"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Green Tier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Prompt Payer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Pays within 3 days of bill receipt. Never defaults. High payment consistency score. Responds proactively to communications.</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Rev Risk: 0–30
Engagement: 60+</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Auto-debit nudge + loyalty offer. No enforcement action required.</w:t>
            </w:r>
          </w:p>
        </w:tc>
      </w:tr>
      <w:tr>
        <w:tc>
          <w:tcPr>
            <w:tcW w:type="dxa" w:w="1400"/>
            <w:gridSpan w:val="1"/>
            <w:tcBorders>
              <w:top w:val="single" w:color="D0D0D0" w:sz="1"/>
              <w:left w:val="single" w:color="D0D0D0" w:sz="1"/>
              <w:bottom w:val="single" w:color="D0D0D0" w:sz="1"/>
              <w:right w:val="single" w:color="D0D0D0" w:sz="1"/>
            </w:tcBorders>
            <w:shd w:fill="7C4A00"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A1A1A"/>
                <w:sz w:val="17"/>
                <w:szCs w:val="17"/>
              </w:rPr>
              <w:t xml:space="preserve">Yellow Tier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Accidental Late Payer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Pays 8–18 days after due date. Forgets due dates due to busy schedule. Not wilful. Responds immediately to reminders. The 'Priya' archetype.</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Rev Risk: 25–55
Engagement: 40–70</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WhatsApp D-3 pre-due reminder with UPI deep link. Highest ROI intervention.</w:t>
            </w:r>
          </w:p>
        </w:tc>
      </w:tr>
      <w:tr>
        <w:tc>
          <w:tcPr>
            <w:tcW w:type="dxa" w:w="1400"/>
            <w:gridSpan w:val="1"/>
            <w:tcBorders>
              <w:top w:val="single" w:color="D0D0D0" w:sz="1"/>
              <w:left w:val="single" w:color="D0D0D0" w:sz="1"/>
              <w:bottom w:val="single" w:color="D0D0D0" w:sz="1"/>
              <w:right w:val="single" w:color="D0D0D0" w:sz="1"/>
            </w:tcBorders>
            <w:shd w:fill="993C1D"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Orange Tier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Cash-Flow Constrained Payer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Seasonal delays linked to festival season, rent, school fees, or salary cycle. Pays eventually. Needs flexibility, not enforcement.</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Rev Risk: 45–65
Engagement: 20–50</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60-day instalment plan via WhatsApp. Flexible due date opt-in where regulatory limits allow.</w:t>
            </w:r>
          </w:p>
        </w:tc>
      </w:tr>
      <w:tr>
        <w:tc>
          <w:tcPr>
            <w:tcW w:type="dxa" w:w="1400"/>
            <w:gridSpan w:val="1"/>
            <w:tcBorders>
              <w:top w:val="single" w:color="D0D0D0" w:sz="1"/>
              <w:left w:val="single" w:color="D0D0D0" w:sz="1"/>
              <w:bottom w:val="single" w:color="D0D0D0" w:sz="1"/>
              <w:right w:val="single" w:color="D0D0D0" w:sz="1"/>
            </w:tcBorders>
            <w:shd w:fill="8B1A1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Red Tier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Chronic Defaulter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Pays only after field visit or formal notice. Habitual pattern across 4+ cycles per year. Low engagement. Field-dependent.</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Rev Risk: 70+
Engagement: &lt;25</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Pre-payment meter installation + security deposit review. Field visit with advance notice.</w:t>
            </w:r>
          </w:p>
        </w:tc>
      </w:tr>
      <w:tr>
        <w:tc>
          <w:tcPr>
            <w:tcW w:type="dxa" w:w="1400"/>
            <w:gridSpan w:val="1"/>
            <w:tcBorders>
              <w:top w:val="single" w:color="D0D0D0" w:sz="1"/>
              <w:left w:val="single" w:color="D0D0D0" w:sz="1"/>
              <w:bottom w:val="single" w:color="D0D0D0" w:sz="1"/>
              <w:right w:val="single" w:color="D0D0D0" w:sz="1"/>
            </w:tcBorders>
            <w:shd w:fill="8B1A1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Red Tier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Dispute-Driven Withholder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Payment deliberately withheld due to billing dispute, meter error, or slab-crossing confusion. Active complaint on file. Not a willful defaulter.</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Rev Risk: 55–80
Complaint Risk: 65+
Bill Shock: Y</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Freeze enforcement. Resolve billing dispute first. Reissue bill. Collect only after resolution.</w:t>
            </w:r>
          </w:p>
        </w:tc>
      </w:tr>
      <w:tr>
        <w:tc>
          <w:tcPr>
            <w:tcW w:type="dxa" w:w="1400"/>
            <w:gridSpan w:val="1"/>
            <w:tcBorders>
              <w:top w:val="single" w:color="D0D0D0" w:sz="1"/>
              <w:left w:val="single" w:color="D0D0D0" w:sz="1"/>
              <w:bottom w:val="single" w:color="D0D0D0" w:sz="1"/>
              <w:right w:val="single" w:color="D0D0D0" w:sz="1"/>
            </w:tcBorders>
            <w:shd w:fill="444441"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Special</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Vacant / Abandoned Premises</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Tenant has vacated. Landlord unreachable. Bills accruing with no payment or engagement. Meter access unavailable.</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Rev Risk: 85+
Engagement: &lt;10</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Disconnect supply. Issue legal notice. Adjust security deposit against arrears.</w:t>
            </w:r>
          </w:p>
        </w:tc>
      </w:tr>
    </w:tbl>
    <w:p>
      <w:pPr>
        <w:spacing w:after="80" w:before="160"/>
      </w:pPr>
    </w:p>
    <w:p>
      <w:pPr>
        <w:pStyle w:val="Heading2"/>
        <w:spacing w:after="160" w:before="300"/>
      </w:pPr>
      <w:r>
        <w:rPr>
          <w:rFonts w:ascii="Arial" w:cs="Arial" w:eastAsia="Arial" w:hAnsi="Arial"/>
          <w:b/>
          <w:bCs/>
          <w:color w:val="2563A8"/>
          <w:sz w:val="28"/>
          <w:szCs w:val="28"/>
        </w:rPr>
        <w:t xml:space="preserve">4.2  Network &amp; DSM Personas</w:t>
      </w:r>
    </w:p>
    <w:p>
      <w:pPr>
        <w:spacing w:after="160" w:before="0"/>
        <w:jc w:val="left"/>
      </w:pPr>
      <w:r>
        <w:rPr>
          <w:rFonts w:ascii="Arial" w:cs="Arial" w:eastAsia="Arial" w:hAnsi="Arial"/>
          <w:b w:val="false"/>
          <w:bCs w:val="false"/>
          <w:color w:val="444441"/>
          <w:sz w:val="20"/>
          <w:szCs w:val="20"/>
        </w:rPr>
        <w:t xml:space="preserve">Six personas identifying consumers by their impact on network infrastructure and their potential for Demand Side Management participation. These personas drive DSM programme targeting, network investment deferral, and peak load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1560"/>
        <w:gridCol w:w="1600"/>
      </w:tblGrid>
      <w:tr>
        <w:trPr>
          <w:tblHeader/>
        </w:trPr>
        <w:tc>
          <w:tcPr>
            <w:tcW w:type="dxa" w:w="14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Tier / Type</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Persona Name</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Description &amp; Trigger</w:t>
            </w:r>
          </w:p>
        </w:tc>
        <w:tc>
          <w:tcPr>
            <w:tcW w:type="dxa" w:w="15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Score Signals</w:t>
            </w:r>
          </w:p>
        </w:tc>
        <w:tc>
          <w:tcPr>
            <w:tcW w:type="dxa" w:w="16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Recommended Action</w:t>
            </w:r>
          </w:p>
        </w:tc>
      </w:tr>
      <w:tr>
        <w:tc>
          <w:tcPr>
            <w:tcW w:type="dxa" w:w="1400"/>
            <w:gridSpan w:val="1"/>
            <w:tcBorders>
              <w:top w:val="single" w:color="D0D0D0" w:sz="1"/>
              <w:left w:val="single" w:color="D0D0D0" w:sz="1"/>
              <w:bottom w:val="single" w:color="D0D0D0" w:sz="1"/>
              <w:right w:val="single" w:color="D0D0D0" w:sz="1"/>
            </w:tcBorders>
            <w:shd w:fill="8B1A1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Peak Stressor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High Coincident Peak User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Peak usage aligns precisely with DT/feeder peak. Contributes directly to overload risk. NILM flags heavy AC usage. Non-flexible load pattern.</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Peak Impact: 75+
Flex Load: &lt;35
Coincidence: High</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DR enrolment offer with financial incentive. TOD tariff information campaign.</w:t>
            </w:r>
          </w:p>
        </w:tc>
      </w:tr>
      <w:tr>
        <w:tc>
          <w:tcPr>
            <w:tcW w:type="dxa" w:w="1400"/>
            <w:gridSpan w:val="1"/>
            <w:tcBorders>
              <w:top w:val="single" w:color="D0D0D0" w:sz="1"/>
              <w:left w:val="single" w:color="D0D0D0" w:sz="1"/>
              <w:bottom w:val="single" w:color="D0D0D0" w:sz="1"/>
              <w:right w:val="single" w:color="D0D0D0" w:sz="1"/>
            </w:tcBorders>
            <w:shd w:fill="0F6E56"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DR Candidate</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Flexible Load Consumer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High flexible load score. Usage pattern can be shifted off-peak. Willing to participate in Demand Response if incentivised. Ideal DSM target.</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Flex Load Score: 65+
Peak Impact: 40–75
Engagement: 45+</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DR programme enrolment + incentive offer via app notification. Priority DSM outreach.</w:t>
            </w:r>
          </w:p>
        </w:tc>
      </w:tr>
      <w:tr>
        <w:tc>
          <w:tcPr>
            <w:tcW w:type="dxa" w:w="1400"/>
            <w:gridSpan w:val="1"/>
            <w:tcBorders>
              <w:top w:val="single" w:color="D0D0D0" w:sz="1"/>
              <w:left w:val="single" w:color="D0D0D0" w:sz="1"/>
              <w:bottom w:val="single" w:color="D0D0D0" w:sz="1"/>
              <w:right w:val="single" w:color="D0D0D0" w:sz="1"/>
            </w:tcBorders>
            <w:shd w:fill="3C348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EV-Ready</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EV Adopter / Night Charger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NILM algorithm has detected EV charging signature. Daytime charging is increasing peak coincidence. Candidate for night tariff shift.</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NILM EV: Y
Peak Impact: 55+
Engagement: 50+</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EV night tariff offer + smart charging schedule guidance. Long-term: EV tariff enrolment.</w:t>
            </w:r>
          </w:p>
        </w:tc>
      </w:tr>
      <w:tr>
        <w:tc>
          <w:tcPr>
            <w:tcW w:type="dxa" w:w="1400"/>
            <w:gridSpan w:val="1"/>
            <w:tcBorders>
              <w:top w:val="single" w:color="D0D0D0" w:sz="1"/>
              <w:left w:val="single" w:color="D0D0D0" w:sz="1"/>
              <w:bottom w:val="single" w:color="D0D0D0" w:sz="1"/>
              <w:right w:val="single" w:color="D0D0D0" w:sz="1"/>
            </w:tcBorders>
            <w:shd w:fill="3B6D11"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Solar Ready</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Renewable Adopter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High renewable score based on consumption profile, location, and property type. High monthly consumption makes rooftop solar economically viable.</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Renewable Score: 60+
Consumption: &gt;250 kWh/mo
Engagement: 45+</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Rooftop solar subsidy scheme offer. Net metering application guidance. State scheme eligibility.</w:t>
            </w:r>
          </w:p>
        </w:tc>
      </w:tr>
      <w:tr>
        <w:tc>
          <w:tcPr>
            <w:tcW w:type="dxa" w:w="1400"/>
            <w:gridSpan w:val="1"/>
            <w:tcBorders>
              <w:top w:val="single" w:color="D0D0D0" w:sz="1"/>
              <w:left w:val="single" w:color="D0D0D0" w:sz="1"/>
              <w:bottom w:val="single" w:color="D0D0D0" w:sz="1"/>
              <w:right w:val="single" w:color="D0D0D0" w:sz="1"/>
            </w:tcBorders>
            <w:shd w:fill="7C4A00"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A1A1A"/>
                <w:sz w:val="17"/>
                <w:szCs w:val="17"/>
              </w:rPr>
              <w:t xml:space="preserve">Load Violator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Sanctioned Load Exceeder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Consistently drawing more kW than sanctioned load. Load violation flag active multiple months. Risk of equipment damage and DT overload.</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Load Violation: Y (3+ months)
Peak Impact: 60+</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Load enhancement notice + field survey for formal load revision. Revenue leakage correction.</w:t>
            </w:r>
          </w:p>
        </w:tc>
      </w:tr>
      <w:tr>
        <w:tc>
          <w:tcPr>
            <w:tcW w:type="dxa" w:w="140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Efficient User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Low-Consumption Efficient User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Below-average consumption relative to household profile. Low peak contribution. Possible BEE star-rated appliance use. Good network citizen.</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Peak Impact: &lt;20
Consumption: &lt;100 kWh/mo</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Efficiency certification acknowledgement. Loyalty reward. No DSM action required.</w:t>
            </w:r>
          </w:p>
        </w:tc>
      </w:tr>
    </w:tbl>
    <w:p>
      <w:pPr>
        <w:spacing w:after="80" w:before="160"/>
      </w:pPr>
    </w:p>
    <w:p>
      <w:pPr>
        <w:pStyle w:val="Heading2"/>
        <w:spacing w:after="160" w:before="300"/>
      </w:pPr>
      <w:r>
        <w:rPr>
          <w:rFonts w:ascii="Arial" w:cs="Arial" w:eastAsia="Arial" w:hAnsi="Arial"/>
          <w:b/>
          <w:bCs/>
          <w:color w:val="2563A8"/>
          <w:sz w:val="28"/>
          <w:szCs w:val="28"/>
        </w:rPr>
        <w:t xml:space="preserve">4.3  Customer Experience &amp; Complaint Personas</w:t>
      </w:r>
    </w:p>
    <w:p>
      <w:pPr>
        <w:spacing w:after="160" w:before="0"/>
        <w:jc w:val="left"/>
      </w:pPr>
      <w:r>
        <w:rPr>
          <w:rFonts w:ascii="Arial" w:cs="Arial" w:eastAsia="Arial" w:hAnsi="Arial"/>
          <w:b w:val="false"/>
          <w:bCs w:val="false"/>
          <w:color w:val="444441"/>
          <w:sz w:val="20"/>
          <w:szCs w:val="20"/>
        </w:rPr>
        <w:t xml:space="preserve">Three personas capturing complaint behaviour and regulatory risk exposure. These personas drive customer care prioritisation, resolution SLA allocation, and legal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1560"/>
        <w:gridCol w:w="1600"/>
      </w:tblGrid>
      <w:tr>
        <w:trPr>
          <w:tblHeader/>
        </w:trPr>
        <w:tc>
          <w:tcPr>
            <w:tcW w:type="dxa" w:w="14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Tier / Type</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Persona Name</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Description &amp; Trigger</w:t>
            </w:r>
          </w:p>
        </w:tc>
        <w:tc>
          <w:tcPr>
            <w:tcW w:type="dxa" w:w="15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Score Signals</w:t>
            </w:r>
          </w:p>
        </w:tc>
        <w:tc>
          <w:tcPr>
            <w:tcW w:type="dxa" w:w="16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Recommended Action</w:t>
            </w:r>
          </w:p>
        </w:tc>
      </w:tr>
      <w:tr>
        <w:tc>
          <w:tcPr>
            <w:tcW w:type="dxa" w:w="1400"/>
            <w:gridSpan w:val="1"/>
            <w:tcBorders>
              <w:top w:val="single" w:color="D0D0D0" w:sz="1"/>
              <w:left w:val="single" w:color="D0D0D0" w:sz="1"/>
              <w:bottom w:val="single" w:color="D0D0D0" w:sz="1"/>
              <w:right w:val="single" w:color="D0D0D0" w:sz="1"/>
            </w:tcBorders>
            <w:shd w:fill="8B1A1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High Risk</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Repeat Complainant</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Three or more complaints in a quarter. Same underlying issue recurring across cycles. Escalation flag active. High frustration level.</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Complaint Risk: 75+
Escalation Flag: Y
Repeat Flag: Y</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Dedicated case manager assigned. Root cause investigation. Compensation consideration.</w:t>
            </w:r>
          </w:p>
        </w:tc>
      </w:tr>
      <w:tr>
        <w:tc>
          <w:tcPr>
            <w:tcW w:type="dxa" w:w="1400"/>
            <w:gridSpan w:val="1"/>
            <w:tcBorders>
              <w:top w:val="single" w:color="D0D0D0" w:sz="1"/>
              <w:left w:val="single" w:color="D0D0D0" w:sz="1"/>
              <w:bottom w:val="single" w:color="D0D0D0" w:sz="1"/>
              <w:right w:val="single" w:color="D0D0D0" w:sz="1"/>
            </w:tcBorders>
            <w:shd w:fill="8B1A1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Regulatory Risk</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Ombudsman / Forum Escalator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Complaint has already been or is about to be escalated to SERC, Ombudsman, or State Consumer Forum. Maximum regulatory exposure. Penalty risk.</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Reg Risk Flag: Y
Complaint Risk: 80+
TAT: &gt;30 days</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Senior officer direct outreach. Fast-track resolution. Formal written response. Legal team loop-in.</w:t>
            </w:r>
          </w:p>
        </w:tc>
      </w:tr>
      <w:tr>
        <w:tc>
          <w:tcPr>
            <w:tcW w:type="dxa" w:w="1400"/>
            <w:gridSpan w:val="1"/>
            <w:tcBorders>
              <w:top w:val="single" w:color="D0D0D0" w:sz="1"/>
              <w:left w:val="single" w:color="D0D0D0" w:sz="1"/>
              <w:bottom w:val="single" w:color="D0D0D0" w:sz="1"/>
              <w:right w:val="single" w:color="D0D0D0" w:sz="1"/>
            </w:tcBorders>
            <w:shd w:fill="7C4A00"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A1A1A"/>
                <w:sz w:val="17"/>
                <w:szCs w:val="17"/>
              </w:rPr>
              <w:t xml:space="preserve">Watch</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Bill Shock Prone Consumer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Frequent bill shock flags. Slab-crossing confusion. Does not understand tariff structure. Likely to dispute or withhold payment without proactive explanation.</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Bill Shock Flag: Y
Bill Variance: &gt;30%
Complaint Risk: 45–70</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Proactive plain-language slab explanation via WhatsApp before due date. Prevent dispute from forming.</w:t>
            </w:r>
          </w:p>
        </w:tc>
      </w:tr>
    </w:tbl>
    <w:p>
      <w:pPr>
        <w:spacing w:after="80" w:before="160"/>
      </w:pPr>
    </w:p>
    <w:p>
      <w:pPr>
        <w:pStyle w:val="Heading2"/>
        <w:spacing w:after="160" w:before="300"/>
      </w:pPr>
      <w:r>
        <w:rPr>
          <w:rFonts w:ascii="Arial" w:cs="Arial" w:eastAsia="Arial" w:hAnsi="Arial"/>
          <w:b/>
          <w:bCs/>
          <w:color w:val="2563A8"/>
          <w:sz w:val="28"/>
          <w:szCs w:val="28"/>
        </w:rPr>
        <w:t xml:space="preserve">4.4  Digital Engagement Personas</w:t>
      </w:r>
    </w:p>
    <w:p>
      <w:pPr>
        <w:spacing w:after="160" w:before="0"/>
        <w:jc w:val="left"/>
      </w:pPr>
      <w:r>
        <w:rPr>
          <w:rFonts w:ascii="Arial" w:cs="Arial" w:eastAsia="Arial" w:hAnsi="Arial"/>
          <w:b w:val="false"/>
          <w:bCs w:val="false"/>
          <w:color w:val="444441"/>
          <w:sz w:val="20"/>
          <w:szCs w:val="20"/>
        </w:rPr>
        <w:t xml:space="preserve">Three personas based on digital channel maturity. These determine which communication channel, message format, and timing will be used for all outreach — collections, DSM, billing, and 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1560"/>
        <w:gridCol w:w="1600"/>
      </w:tblGrid>
      <w:tr>
        <w:trPr>
          <w:tblHeader/>
        </w:trPr>
        <w:tc>
          <w:tcPr>
            <w:tcW w:type="dxa" w:w="14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Tier / Type</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Persona Name</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Description &amp; Trigger</w:t>
            </w:r>
          </w:p>
        </w:tc>
        <w:tc>
          <w:tcPr>
            <w:tcW w:type="dxa" w:w="15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Score Signals</w:t>
            </w:r>
          </w:p>
        </w:tc>
        <w:tc>
          <w:tcPr>
            <w:tcW w:type="dxa" w:w="16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Recommended Action</w:t>
            </w:r>
          </w:p>
        </w:tc>
      </w:tr>
      <w:tr>
        <w:tc>
          <w:tcPr>
            <w:tcW w:type="dxa" w:w="140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Digital Champion</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High-Engagement Digital User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Daily app user. Opens notifications within minutes. UPI-first payer. Self-service capable. Responds before enforcement is needed.</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Engagement: 75+
Digital Payment: Y
App Logins: 15+/mo</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App-first all communications. Auto-debit setup nudge. Self-service escalation path. No field contact.</w:t>
            </w:r>
          </w:p>
        </w:tc>
      </w:tr>
      <w:tr>
        <w:tc>
          <w:tcPr>
            <w:tcW w:type="dxa" w:w="1400"/>
            <w:gridSpan w:val="1"/>
            <w:tcBorders>
              <w:top w:val="single" w:color="D0D0D0" w:sz="1"/>
              <w:left w:val="single" w:color="D0D0D0" w:sz="1"/>
              <w:bottom w:val="single" w:color="D0D0D0" w:sz="1"/>
              <w:right w:val="single" w:color="D0D0D0" w:sz="1"/>
            </w:tcBorders>
            <w:shd w:fill="7C4A00"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A1A1A"/>
                <w:sz w:val="17"/>
                <w:szCs w:val="17"/>
              </w:rPr>
              <w:t xml:space="preserve">Partial Digital</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WhatsApp-Active / App-Passive</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Responds reliably to WhatsApp messages. Ignores app push notifications. Medium digital readiness. Prefers conversational interface over app.</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Engagement: 35–65
WhatsApp Responsive
App Logins: &lt;5/mo</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WhatsApp-led all journeys. Embed UPI deep link directly in message. Migrate to app over time.</w:t>
            </w:r>
          </w:p>
        </w:tc>
      </w:tr>
      <w:tr>
        <w:tc>
          <w:tcPr>
            <w:tcW w:type="dxa" w:w="1400"/>
            <w:gridSpan w:val="1"/>
            <w:tcBorders>
              <w:top w:val="single" w:color="D0D0D0" w:sz="1"/>
              <w:left w:val="single" w:color="D0D0D0" w:sz="1"/>
              <w:bottom w:val="single" w:color="D0D0D0" w:sz="1"/>
              <w:right w:val="single" w:color="D0D0D0" w:sz="1"/>
            </w:tcBorders>
            <w:shd w:fill="444441"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Offline User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Non-Digital / Cash Payer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Cash payment at counter or CSC. Does not use app. IVR or field agent is the primary contact channel. Low digital readiness score.</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Engagement: &lt;25
Digital Payment: N
App Logins: 0</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IVR automated reminder + CSC payment guidance. Field agent visit for recovery. Physical notice delivery.</w:t>
            </w:r>
          </w:p>
        </w:tc>
      </w:tr>
    </w:tbl>
    <w:p>
      <w:pPr>
        <w:spacing w:after="80" w:before="160"/>
      </w:pPr>
    </w:p>
    <w:p>
      <w:pPr>
        <w:pStyle w:val="Heading2"/>
        <w:spacing w:after="160" w:before="300"/>
      </w:pPr>
      <w:r>
        <w:rPr>
          <w:rFonts w:ascii="Arial" w:cs="Arial" w:eastAsia="Arial" w:hAnsi="Arial"/>
          <w:b/>
          <w:bCs/>
          <w:color w:val="2563A8"/>
          <w:sz w:val="28"/>
          <w:szCs w:val="28"/>
        </w:rPr>
        <w:t xml:space="preserve">4.5  High-Value Composite Personas</w:t>
      </w:r>
    </w:p>
    <w:p>
      <w:pPr>
        <w:spacing w:after="160" w:before="0"/>
        <w:jc w:val="left"/>
      </w:pPr>
      <w:r>
        <w:rPr>
          <w:rFonts w:ascii="Arial" w:cs="Arial" w:eastAsia="Arial" w:hAnsi="Arial"/>
          <w:b w:val="false"/>
          <w:bCs w:val="false"/>
          <w:color w:val="444441"/>
          <w:sz w:val="20"/>
          <w:szCs w:val="20"/>
        </w:rPr>
        <w:t xml:space="preserve">Three composite personas combining multiple dimensions. These represent consumers where a single-dimension view is insufficient and a coordinated multi-team response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1560"/>
        <w:gridCol w:w="1600"/>
      </w:tblGrid>
      <w:tr>
        <w:trPr>
          <w:tblHeader/>
        </w:trPr>
        <w:tc>
          <w:tcPr>
            <w:tcW w:type="dxa" w:w="14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Tier / Type</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Persona Name</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Description &amp; Trigger</w:t>
            </w:r>
          </w:p>
        </w:tc>
        <w:tc>
          <w:tcPr>
            <w:tcW w:type="dxa" w:w="15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Score Signals</w:t>
            </w:r>
          </w:p>
        </w:tc>
        <w:tc>
          <w:tcPr>
            <w:tcW w:type="dxa" w:w="16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Recommended Action</w:t>
            </w:r>
          </w:p>
        </w:tc>
      </w:tr>
      <w:tr>
        <w:tc>
          <w:tcPr>
            <w:tcW w:type="dxa" w:w="140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Top Tier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Digital High-Value Payer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Low revenue risk + high monthly bill value + high engagement. The most commercially valuable and easiest-to-serve segment. Protect relationship.</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Rev Risk: &lt;20
Bill Value: High bucket
Engagement: 80+</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Premium CX channel. Proactive consumption insights. First access to new tariff and scheme offers.</w:t>
            </w:r>
          </w:p>
        </w:tc>
      </w:tr>
      <w:tr>
        <w:tc>
          <w:tcPr>
            <w:tcW w:type="dxa" w:w="1400"/>
            <w:gridSpan w:val="1"/>
            <w:tcBorders>
              <w:top w:val="single" w:color="D0D0D0" w:sz="1"/>
              <w:left w:val="single" w:color="D0D0D0" w:sz="1"/>
              <w:bottom w:val="single" w:color="D0D0D0" w:sz="1"/>
              <w:right w:val="single" w:color="D0D0D0" w:sz="1"/>
            </w:tcBorders>
            <w:shd w:fill="8B1A1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High Priority</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At-Risk High-Value Defaulter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High monthly bill + high revenue risk = maximum revenue exposure per consumer. Warrants dedicated senior collections resource.</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Rev Risk: 65+
Bill Value: High bucket
Overdue: &gt;15 days</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Senior collections agent. Part-payment offer. Instalment plan. Weekly follow-up until resolved.</w:t>
            </w:r>
          </w:p>
        </w:tc>
      </w:tr>
      <w:tr>
        <w:tc>
          <w:tcPr>
            <w:tcW w:type="dxa" w:w="1400"/>
            <w:gridSpan w:val="1"/>
            <w:tcBorders>
              <w:top w:val="single" w:color="D0D0D0" w:sz="1"/>
              <w:left w:val="single" w:color="D0D0D0" w:sz="1"/>
              <w:bottom w:val="single" w:color="D0D0D0" w:sz="1"/>
              <w:right w:val="single" w:color="D0D0D0" w:sz="1"/>
            </w:tcBorders>
            <w:shd w:fill="3C3489"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7"/>
                <w:szCs w:val="17"/>
              </w:rPr>
              <w:t xml:space="preserve">Complex Case</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9"/>
                <w:szCs w:val="19"/>
              </w:rPr>
              <w:t xml:space="preserve">Complaint-Prone Defaulter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8"/>
                <w:szCs w:val="18"/>
              </w:rPr>
              <w:t xml:space="preserve">Active default AND active complaint simultaneously. Billing dispute is the likely root cause of payment withholding. Requires coordinated CX + collections response.</w:t>
            </w:r>
          </w:p>
        </w:tc>
        <w:tc>
          <w:tcPr>
            <w:tcW w:type="dxa" w:w="15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Rev Risk: 60+
Complaint Risk: 65+
Bill Shock: Y</w:t>
            </w:r>
          </w:p>
        </w:tc>
        <w:tc>
          <w:tcPr>
            <w:tcW w:type="dxa" w:w="16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Collections team pauses enforcement. CX team resolves complaint. Joint handoff after resolution.</w:t>
            </w:r>
          </w:p>
        </w:tc>
      </w:tr>
    </w:tbl>
    <w:p>
      <w:pPr>
        <w:spacing w:after="120" w:before="160"/>
      </w:pPr>
    </w:p>
    <w:p>
      <w:pPr>
        <w:pStyle w:val="Heading1"/>
        <w:spacing w:after="200" w:before="400"/>
      </w:pPr>
      <w:r>
        <w:rPr>
          <w:rFonts w:ascii="Arial" w:cs="Arial" w:eastAsia="Arial" w:hAnsi="Arial"/>
          <w:b/>
          <w:bCs/>
          <w:color w:val="1B3A6B"/>
          <w:sz w:val="36"/>
          <w:szCs w:val="36"/>
        </w:rPr>
        <w:t xml:space="preserve">5. Action Scenarios — Cross-Segment Use Cases</w:t>
      </w:r>
    </w:p>
    <w:p>
      <w:pPr>
        <w:pBdr>
          <w:bottom w:val="single" w:color="2563A8" w:sz="6" w:space="1"/>
        </w:pBdr>
        <w:spacing w:after="120" w:before="120"/>
      </w:pPr>
    </w:p>
    <w:p>
      <w:pPr>
        <w:spacing w:after="200" w:before="80"/>
        <w:jc w:val="left"/>
      </w:pPr>
      <w:r>
        <w:rPr>
          <w:rFonts w:ascii="Arial" w:cs="Arial" w:eastAsia="Arial" w:hAnsi="Arial"/>
          <w:b w:val="false"/>
          <w:bCs w:val="false"/>
          <w:color w:val="1A1A1A"/>
          <w:sz w:val="22"/>
          <w:szCs w:val="22"/>
        </w:rPr>
        <w:t xml:space="preserve">Scenarios are the operational heart of the framework. Each scenario defines the exact score combination that triggers it, the recommended action, and the team responsible. These are implemented as rule-based triggers in the analytical engine.</w:t>
      </w:r>
    </w:p>
    <w:p>
      <w:pPr>
        <w:pStyle w:val="Heading2"/>
        <w:spacing w:after="160" w:before="300"/>
      </w:pPr>
      <w:r>
        <w:rPr>
          <w:rFonts w:ascii="Arial" w:cs="Arial" w:eastAsia="Arial" w:hAnsi="Arial"/>
          <w:b/>
          <w:bCs/>
          <w:color w:val="2563A8"/>
          <w:sz w:val="28"/>
          <w:szCs w:val="28"/>
        </w:rPr>
        <w:t xml:space="preserve">5.1  Revenue &amp; Collections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rPr>
          <w:tblHeader/>
        </w:trPr>
        <w:tc>
          <w:tcPr>
            <w:tcW w:type="dxa" w:w="22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Scenario</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Condition Logic</w:t>
            </w:r>
          </w:p>
        </w:tc>
        <w:tc>
          <w:tcPr>
            <w:tcW w:type="dxa" w:w="23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Action</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Owner</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 Accidental default prevention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Revenue Risk 25–55
Engagement &gt; 40
No active complaint
Due date within 3 days</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WhatsApp reminder D-3 before due date. Include exact bill amount + UPI deep link. No human intervention required. Estimated impact: 20–25% reduction in accidental defaults.</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Digital Collections</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2. Digital vs field visit triage</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Revenue Risk &gt; 55
Overdue &gt; 15 days
Digital path: Engagement &gt; 50
Field path: Engagement &lt; 30</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Digital path: WhatsApp + IVR outbound call. Field path: Scheduled field agent visit with 30-minute advance WhatsApp notice to consumer. Saves 40–50% of field visit cost.</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993C1D"/>
                <w:sz w:val="17"/>
                <w:szCs w:val="17"/>
              </w:rPr>
              <w:t xml:space="preserve">Collections + Field Ops</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3. High-value defaulter priority</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Revenue Risk &gt; 65
Bill Value = High bucket (&gt; Rs. 5,000)
Overdue &gt; 15 days</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Senior collections agent assigned. Outbound call with consumer name + amount. Part-payment acceptance to break all-or-nothing barrier. Structured instalment plan.</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8B1A1A"/>
                <w:sz w:val="17"/>
                <w:szCs w:val="17"/>
              </w:rPr>
              <w:t xml:space="preserve">Senior Collections</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4. Dispute-linked default resolution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Revenue Risk &gt; 50
Complaint Risk &gt; 60
Bill Shock Flag = Y
Active complaint open</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Enforce freeze: no field visit, no disconnection notice while complaint is open. Billing team investigates within 7 days. Revised bill issued. Collections resumes only after resolution.</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C3489"/>
                <w:sz w:val="17"/>
                <w:szCs w:val="17"/>
              </w:rPr>
              <w:t xml:space="preserve">Billing Ops + CX</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5. Cash-flow instalment offer</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Revenue Risk 45–70
Overdue 15–30 days
No prior instalment plan
First or second default this year</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Offer 2–3 month instalment plan entirely via WhatsApp. Consumer responds '1' to accept. UPI mandate set up in-flow. No DISCOM office visit required. Minimum 50% upfront.</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993C1D"/>
                <w:sz w:val="17"/>
                <w:szCs w:val="17"/>
              </w:rPr>
              <w:t xml:space="preserve">Collections</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6. Pre-payment meter conversion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Revenue Risk &gt; 70
Field visits &gt; 3 in last 6 months
Consistent chronic pattern</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Pre-payment meter installation. Security deposit top-up review. Consumer briefed on credit loading process. Eliminates repeat field visit cycle permanently.</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8B1A1A"/>
                <w:sz w:val="17"/>
                <w:szCs w:val="17"/>
              </w:rPr>
              <w:t xml:space="preserve">Field Ops + Collections</w:t>
            </w:r>
          </w:p>
        </w:tc>
      </w:tr>
    </w:tbl>
    <w:p>
      <w:pPr>
        <w:spacing w:after="80" w:before="160"/>
      </w:pPr>
    </w:p>
    <w:p>
      <w:pPr>
        <w:pStyle w:val="Heading2"/>
        <w:spacing w:after="160" w:before="300"/>
      </w:pPr>
      <w:r>
        <w:rPr>
          <w:rFonts w:ascii="Arial" w:cs="Arial" w:eastAsia="Arial" w:hAnsi="Arial"/>
          <w:b/>
          <w:bCs/>
          <w:color w:val="2563A8"/>
          <w:sz w:val="28"/>
          <w:szCs w:val="28"/>
        </w:rPr>
        <w:t xml:space="preserve">5.2  DSM &amp; Network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rPr>
          <w:tblHeader/>
        </w:trPr>
        <w:tc>
          <w:tcPr>
            <w:tcW w:type="dxa" w:w="22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Scenario</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Condition Logic</w:t>
            </w:r>
          </w:p>
        </w:tc>
        <w:tc>
          <w:tcPr>
            <w:tcW w:type="dxa" w:w="23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Action</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Owner</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7. DT overload — consumer DSM targeting</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DT peak loading &gt; 90%
Consumer Peak Impact &gt; 70
Consumer Flex Load &gt; 55
Engagement &gt; 45</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DR enrolment offer with incentive via app notification. Target flexible consumers on overloaded DTs first. Avoids premature DT upgrade. Estimated capex deferral: Rs. 15–40L per DT.</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F6E56"/>
                <w:sz w:val="17"/>
                <w:szCs w:val="17"/>
              </w:rPr>
              <w:t xml:space="preserve">DSM Team</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8. EV night tariff conversion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NILM EV Flag = Y
Peak coincidence = High
Engagement &gt; 50
Daytime charging detected</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EV night tariff offer + smart charging schedule personalised to consumer's usage pattern. Shift charging from 6–10pm to 11pm–6am. Reduces peak coincidence by 60–80% for this consumer.</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C3489"/>
                <w:sz w:val="17"/>
                <w:szCs w:val="17"/>
              </w:rPr>
              <w:t xml:space="preserve">DSM / Commercial</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9. DSM vs infrastructure upgrade decision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DT loading &gt; 85%
DSM path: &gt;40% of DT consumers have Flex Score &gt; 60
Upgrade path: Infra age &gt; 15 yrs + all loads non-flexible</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DSM-first protocol: run DR programme for 3 months. If peak not reduced by 15%+, trigger capex upgrade review. Prevents premature network investment.</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7C4A00"/>
                <w:sz w:val="17"/>
                <w:szCs w:val="17"/>
              </w:rPr>
              <w:t xml:space="preserve">Network Planning</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10. Rooftop solar scheme targeting</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Renewable Score &gt; 60
Monthly consumption &gt; 250 kWh
Engagement &gt; 45
Residential / own property</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Rooftop solar subsidy scheme offer via app. Net metering application guide. State scheme eligibility check. Reduces consumer's long-term consumption and DT load.</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B6D11"/>
                <w:sz w:val="17"/>
                <w:szCs w:val="17"/>
              </w:rPr>
              <w:t xml:space="preserve">DSM / Commercial</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11. Load violation revenue recovery</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Load Violation Flag = Y (3+ consecutive months)
Actual load &gt; 130% of sanctioned load</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Field survey to formally reassess sanctioned load. Issue load enhancement notice. Recover additional charges retrospectively. Correct DT loading calculations.</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7C4A00"/>
                <w:sz w:val="17"/>
                <w:szCs w:val="17"/>
              </w:rPr>
              <w:t xml:space="preserve">Field Ops / Billing</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12. TOD tariff migration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Peak Coincidence = High
TOD Sensitivity = Medium-High
Smart meter installed
Engagement &gt; 50</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Educate consumer on TOD tariff savings potential via personalised WhatsApp message showing estimated savings. Facilitate tariff change application.</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F6E56"/>
                <w:sz w:val="17"/>
                <w:szCs w:val="17"/>
              </w:rPr>
              <w:t xml:space="preserve">Commercial / DSM</w:t>
            </w:r>
          </w:p>
        </w:tc>
      </w:tr>
    </w:tbl>
    <w:p>
      <w:pPr>
        <w:spacing w:after="80" w:before="160"/>
      </w:pPr>
    </w:p>
    <w:p>
      <w:pPr>
        <w:pStyle w:val="Heading2"/>
        <w:spacing w:after="160" w:before="300"/>
      </w:pPr>
      <w:r>
        <w:rPr>
          <w:rFonts w:ascii="Arial" w:cs="Arial" w:eastAsia="Arial" w:hAnsi="Arial"/>
          <w:b/>
          <w:bCs/>
          <w:color w:val="2563A8"/>
          <w:sz w:val="28"/>
          <w:szCs w:val="28"/>
        </w:rPr>
        <w:t xml:space="preserve">5.3  Customer Experience &amp; Complaint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rPr>
          <w:tblHeader/>
        </w:trPr>
        <w:tc>
          <w:tcPr>
            <w:tcW w:type="dxa" w:w="22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Scenario</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Condition Logic</w:t>
            </w:r>
          </w:p>
        </w:tc>
        <w:tc>
          <w:tcPr>
            <w:tcW w:type="dxa" w:w="23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Action</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Owner</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13. Regulatory escalation pre-emption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Complaint Risk &gt; 75
Escalation Flag = Y
Resolution TAT &gt; 15 days
Complaint open &gt; 20 days</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Senior officer direct outreach to consumer within 24 hours. Fast-track resolution SLA. Compensation consideration. Formal written response. Legal team loop-in.</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8B1A1A"/>
                <w:sz w:val="17"/>
                <w:szCs w:val="17"/>
              </w:rPr>
              <w:t xml:space="preserve">CX Head / Legal</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14. Bill shock surge detection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Bill Shock Flag = Y
Bill variance vs 6-month avg &gt; 30%
New bill generated today</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Proactive WhatsApp message before consumer calls. Plain-language slab explanation: 'You used 230 units. First 100 units at Rs. 3.50, next 130 at Rs. 5.50.' Reduces dispute calls by ~35%.</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7C4A00"/>
                <w:sz w:val="17"/>
                <w:szCs w:val="17"/>
              </w:rPr>
              <w:t xml:space="preserve">Billing Ops</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15. Repeat complaint + consumption surge combo</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Complaint Risk &gt; 65
Repeat Complaint Flag = Y
Bill Shock Flag = Y
Consumption variance &gt; 40%</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Meter accuracy test initiated. Full billing audit. Senior billing officer proactive outreach. Likely meter fault or tariff application error. Do not send collections notice until resolved.</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993C1D"/>
                <w:sz w:val="17"/>
                <w:szCs w:val="17"/>
              </w:rPr>
              <w:t xml:space="preserve">Billing + Metering</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16. Estimated billing elimination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Estimated Bills &gt;= 2 consecutive cycles
Complaint Risk &gt; 40</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Prioritise meter reading appointment scheduling. Flag for smart meter installation if not already assigned. Estimated billing is a leading predictor of disputes and defaults.</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444441"/>
                <w:sz w:val="17"/>
                <w:szCs w:val="17"/>
              </w:rPr>
              <w:t xml:space="preserve">Metering / Field Ops</w:t>
            </w:r>
          </w:p>
        </w:tc>
      </w:tr>
    </w:tbl>
    <w:p>
      <w:pPr>
        <w:spacing w:after="80" w:before="160"/>
      </w:pPr>
    </w:p>
    <w:p>
      <w:pPr>
        <w:pStyle w:val="Heading2"/>
        <w:spacing w:after="160" w:before="300"/>
      </w:pPr>
      <w:r>
        <w:rPr>
          <w:rFonts w:ascii="Arial" w:cs="Arial" w:eastAsia="Arial" w:hAnsi="Arial"/>
          <w:b/>
          <w:bCs/>
          <w:color w:val="2563A8"/>
          <w:sz w:val="28"/>
          <w:szCs w:val="28"/>
        </w:rPr>
        <w:t xml:space="preserve">5.4  Field Operations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rPr>
          <w:tblHeader/>
        </w:trPr>
        <w:tc>
          <w:tcPr>
            <w:tcW w:type="dxa" w:w="22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Scenario</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Condition Logic</w:t>
            </w:r>
          </w:p>
        </w:tc>
        <w:tc>
          <w:tcPr>
            <w:tcW w:type="dxa" w:w="23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Action</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Owner</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17. Field visit priority &amp; routing</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Revenue Risk &gt; 70
Engagement &lt; 25
Overdue &gt; 20 days
All digital channels exhausted</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Cluster field visits by DT/area to minimise travel cost. Agent sends WhatsApp 30 minutes before arrival. Script includes name + amount + resolution options. Target same-visit payment.</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444441"/>
                <w:sz w:val="17"/>
                <w:szCs w:val="17"/>
              </w:rPr>
              <w:t xml:space="preserve">Field Ops</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18. Repeat field visit elimination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Field visits &gt; 3 in last 6 months
Revenue Risk consistently &gt; 65
Same consumer each cycle</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Root cause analysis: is this a willful defaulter or a structural access issue? If willful: pre-pay meter. If access issue (tenant/landlord dynamic): registered letter + landlord contact.</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7C4A00"/>
                <w:sz w:val="17"/>
                <w:szCs w:val="17"/>
              </w:rPr>
              <w:t xml:space="preserve">Field Ops + Collections</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19. Pre-disconnection final nudge</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Overdue = Day 28–29
Revenue Risk &gt; 70
Engagement: Any level</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Final WhatsApp + SMS with exact amount and payment link. Note that disconnection will occur tomorrow if not paid. For medium-engagement consumers: this is highest-conversion moment.</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8B1A1A"/>
                <w:sz w:val="17"/>
                <w:szCs w:val="17"/>
              </w:rPr>
              <w:t xml:space="preserve">Collections</w:t>
            </w:r>
          </w:p>
        </w:tc>
      </w:tr>
    </w:tbl>
    <w:p>
      <w:pPr>
        <w:spacing w:after="80" w:before="160"/>
      </w:pPr>
    </w:p>
    <w:p>
      <w:pPr>
        <w:pStyle w:val="Heading2"/>
        <w:spacing w:after="160" w:before="300"/>
      </w:pPr>
      <w:r>
        <w:rPr>
          <w:rFonts w:ascii="Arial" w:cs="Arial" w:eastAsia="Arial" w:hAnsi="Arial"/>
          <w:b/>
          <w:bCs/>
          <w:color w:val="2563A8"/>
          <w:sz w:val="28"/>
          <w:szCs w:val="28"/>
        </w:rPr>
        <w:t xml:space="preserve">5.5  Auto-Debit &amp; Engagement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rPr>
          <w:tblHeader/>
        </w:trPr>
        <w:tc>
          <w:tcPr>
            <w:tcW w:type="dxa" w:w="22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Scenario</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Condition Logic</w:t>
            </w:r>
          </w:p>
        </w:tc>
        <w:tc>
          <w:tcPr>
            <w:tcW w:type="dxa" w:w="23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Action</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Owner</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20. Auto-debit conversion campaign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Payment Method: UPI regular user
Auto-debit: Not set up
Default pattern: 1–3 times/year</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Guided auto-debit setup flow within utility app or BBPS. Include monthly cap consent (consumer sets maximum amount). Eliminates accidental defaults entirely for enrolled consumers.</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Digital / CX</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21. Digital channel migration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Payment: Cash/counter
Engagement Score: 20–40
Smartphone detected in CRM</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Field agent or CSC staff guides consumer to make first digital payment on-site. Follow up with WhatsApp setup. Progressive digital adoption pathway.</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Field Ops / Digital</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22. Best contact time optimisation</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Engagement Score: Any
Best Contact Time: Available from app data</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Schedule all reminder and outreach messages at consumer's known best contact time window. Increases open rate by 25–35%. Reduces 'wrong time' complaint calls.</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F6E56"/>
                <w:sz w:val="17"/>
                <w:szCs w:val="17"/>
              </w:rPr>
              <w:t xml:space="preserve">Digital / Collections</w:t>
            </w:r>
          </w:p>
        </w:tc>
      </w:tr>
    </w:tbl>
    <w:p>
      <w:pPr>
        <w:spacing w:after="80" w:before="160"/>
      </w:pPr>
    </w:p>
    <w:p>
      <w:pPr>
        <w:pStyle w:val="Heading2"/>
        <w:spacing w:after="160" w:before="300"/>
      </w:pPr>
      <w:r>
        <w:rPr>
          <w:rFonts w:ascii="Arial" w:cs="Arial" w:eastAsia="Arial" w:hAnsi="Arial"/>
          <w:b/>
          <w:bCs/>
          <w:color w:val="2563A8"/>
          <w:sz w:val="28"/>
          <w:szCs w:val="28"/>
        </w:rPr>
        <w:t xml:space="preserve">5.6  Combined Multi-Persona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rPr>
          <w:tblHeader/>
        </w:trPr>
        <w:tc>
          <w:tcPr>
            <w:tcW w:type="dxa" w:w="22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Scenario</w:t>
            </w:r>
          </w:p>
        </w:tc>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Condition Logic</w:t>
            </w:r>
          </w:p>
        </w:tc>
        <w:tc>
          <w:tcPr>
            <w:tcW w:type="dxa" w:w="23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Action</w:t>
            </w:r>
          </w:p>
        </w:tc>
        <w:tc>
          <w:tcPr>
            <w:tcW w:type="dxa" w:w="20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Owner</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23. High complaint + high consumption surge</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Complaint Risk &gt; 65
Bill Shock Flag = Y
Consumption spike: current month &gt; 150% of 6-month avg
Repeat Complaint: Y</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Do not send collections notice. Initiate meter test + billing audit. Assign senior billing officer. Resolve root cause before any revenue recovery action. Prevent regulatory escalation.</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8B1A1A"/>
                <w:sz w:val="17"/>
                <w:szCs w:val="17"/>
              </w:rPr>
              <w:t xml:space="preserve">Billing + CX + Collections</w:t>
            </w:r>
          </w:p>
        </w:tc>
      </w:tr>
      <w:tr>
        <w:tc>
          <w:tcPr>
            <w:tcW w:type="dxa" w:w="2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24. EV + peak stressor + DR opportunity</w:t>
            </w:r>
          </w:p>
        </w:tc>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NILM EV: Y
Peak Impact &gt; 75
Flex Load &gt; 60
Engagement &gt; 55</w:t>
            </w:r>
          </w:p>
        </w:tc>
        <w:tc>
          <w:tcPr>
            <w:tcW w:type="dxa" w:w="23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Highest-value DSM opportunity. EV consumer causing peak stress but with flexibility to shift. Offer night tariff + smart charging + DR enrolment simultaneously. Personalised savings projection.</w:t>
            </w:r>
          </w:p>
        </w:tc>
        <w:tc>
          <w:tcPr>
            <w:tcW w:type="dxa" w:w="20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C3489"/>
                <w:sz w:val="17"/>
                <w:szCs w:val="17"/>
              </w:rPr>
              <w:t xml:space="preserve">DSM + Commercial</w:t>
            </w:r>
          </w:p>
        </w:tc>
      </w:tr>
    </w:tbl>
    <w:p>
      <w:pPr>
        <w:spacing w:after="120" w:before="200"/>
      </w:pPr>
    </w:p>
    <w:p>
      <w:pPr>
        <w:pStyle w:val="Heading1"/>
        <w:spacing w:after="200" w:before="400"/>
      </w:pPr>
      <w:r>
        <w:rPr>
          <w:rFonts w:ascii="Arial" w:cs="Arial" w:eastAsia="Arial" w:hAnsi="Arial"/>
          <w:b/>
          <w:bCs/>
          <w:color w:val="1B3A6B"/>
          <w:sz w:val="36"/>
          <w:szCs w:val="36"/>
        </w:rPr>
        <w:t xml:space="preserve">6. Persona Decision Matrices</w:t>
      </w:r>
    </w:p>
    <w:p>
      <w:pPr>
        <w:pBdr>
          <w:bottom w:val="single" w:color="2563A8" w:sz="6" w:space="1"/>
        </w:pBdr>
        <w:spacing w:after="120" w:before="120"/>
      </w:pPr>
    </w:p>
    <w:p>
      <w:pPr>
        <w:spacing w:after="200" w:before="80"/>
        <w:jc w:val="left"/>
      </w:pPr>
      <w:r>
        <w:rPr>
          <w:rFonts w:ascii="Arial" w:cs="Arial" w:eastAsia="Arial" w:hAnsi="Arial"/>
          <w:b w:val="false"/>
          <w:bCs w:val="false"/>
          <w:color w:val="1A1A1A"/>
          <w:sz w:val="22"/>
          <w:szCs w:val="22"/>
        </w:rPr>
        <w:t xml:space="preserve">The matrices below show how persona assignment and action routing work when two dimensions are read together. These are the core logic tables used by the analytical engine.</w:t>
      </w:r>
    </w:p>
    <w:p>
      <w:pPr>
        <w:pStyle w:val="Heading2"/>
        <w:spacing w:after="160" w:before="300"/>
      </w:pPr>
      <w:r>
        <w:rPr>
          <w:rFonts w:ascii="Arial" w:cs="Arial" w:eastAsia="Arial" w:hAnsi="Arial"/>
          <w:b/>
          <w:bCs/>
          <w:color w:val="2563A8"/>
          <w:sz w:val="28"/>
          <w:szCs w:val="28"/>
        </w:rPr>
        <w:t xml:space="preserve">6.1  Revenue Risk × Engagement Matrix</w:t>
      </w:r>
    </w:p>
    <w:p>
      <w:pPr>
        <w:spacing w:after="140" w:before="0"/>
        <w:jc w:val="left"/>
      </w:pPr>
      <w:r>
        <w:rPr>
          <w:rFonts w:ascii="Arial" w:cs="Arial" w:eastAsia="Arial" w:hAnsi="Arial"/>
          <w:b w:val="false"/>
          <w:bCs w:val="false"/>
          <w:color w:val="444441"/>
          <w:sz w:val="20"/>
          <w:szCs w:val="20"/>
        </w:rPr>
        <w:t xml:space="preserve">This matrix drives the primary collections routing decision: digital, IVR, or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Revenue Risk →
Engagement ↓</w:t>
            </w:r>
          </w:p>
        </w:tc>
        <w:tc>
          <w:tcPr>
            <w:tcW w:type="dxa" w:w="242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Low risk (0–30)</w:t>
            </w:r>
          </w:p>
        </w:tc>
        <w:tc>
          <w:tcPr>
            <w:tcW w:type="dxa" w:w="242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Medium risk (31–65)</w:t>
            </w:r>
          </w:p>
        </w:tc>
        <w:tc>
          <w:tcPr>
            <w:tcW w:type="dxa" w:w="242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High risk (66–100)</w:t>
            </w:r>
          </w:p>
        </w:tc>
      </w:tr>
      <w:tr>
        <w:tc>
          <w:tcPr>
            <w:tcW w:type="dxa" w:w="2100"/>
            <w:gridSpan w:val="1"/>
            <w:tcBorders>
              <w:top w:val="single" w:color="D0D0D0" w:sz="1"/>
              <w:left w:val="single" w:color="D0D0D0" w:sz="1"/>
              <w:bottom w:val="single" w:color="D0D0D0" w:sz="1"/>
              <w:right w:val="single" w:color="D0D0D0" w:sz="1"/>
            </w:tcBorders>
            <w:shd w:fill="D6E4F7"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7"/>
                <w:szCs w:val="17"/>
              </w:rPr>
              <w:t xml:space="preserve">High engagement (70+)</w:t>
            </w:r>
          </w:p>
        </w:tc>
        <w:tc>
          <w:tcPr>
            <w:tcW w:type="dxa" w:w="2420"/>
            <w:tcBorders>
              <w:top w:val="single" w:color="D0D0D0" w:sz="1"/>
              <w:left w:val="single" w:color="D0D0D0" w:sz="1"/>
              <w:bottom w:val="single" w:color="D0D0D0" w:sz="1"/>
              <w:right w:val="single" w:color="D0D0D0" w:sz="1"/>
            </w:tcBorders>
            <w:shd w:fill="D8F0E8" w:val="clear"/>
            <w:tcMar>
              <w:top w:type="dxa" w:w="80"/>
              <w:left w:type="dxa" w:w="120"/>
              <w:bottom w:type="dxa" w:w="80"/>
              <w:right w:type="dxa" w:w="120"/>
            </w:tcMar>
            <w:vAlign w:val="center"/>
          </w:tcPr>
          <w:p>
            <w:pPr>
              <w:spacing w:after="40" w:before="0"/>
            </w:pPr>
            <w:r>
              <w:rPr>
                <w:rFonts w:ascii="Arial" w:cs="Arial" w:eastAsia="Arial" w:hAnsi="Arial"/>
                <w:b/>
                <w:bCs/>
                <w:color w:val="0F6E56"/>
                <w:sz w:val="17"/>
                <w:szCs w:val="17"/>
              </w:rPr>
              <w:t xml:space="preserve">Digital Champion</w:t>
            </w:r>
          </w:p>
          <w:p>
            <w:pPr>
              <w:spacing w:after="0" w:before="0"/>
            </w:pPr>
            <w:r>
              <w:rPr>
                <w:rFonts w:ascii="Arial" w:cs="Arial" w:eastAsia="Arial" w:hAnsi="Arial"/>
                <w:i/>
                <w:iCs/>
                <w:color w:val="444441"/>
                <w:sz w:val="16"/>
                <w:szCs w:val="16"/>
              </w:rPr>
              <w:t xml:space="preserve">Auto-debit + loyalty</w:t>
            </w:r>
          </w:p>
        </w:tc>
        <w:tc>
          <w:tcPr>
            <w:tcW w:type="dxa" w:w="2420"/>
            <w:tcBorders>
              <w:top w:val="single" w:color="D0D0D0" w:sz="1"/>
              <w:left w:val="single" w:color="D0D0D0" w:sz="1"/>
              <w:bottom w:val="single" w:color="D0D0D0" w:sz="1"/>
              <w:right w:val="single" w:color="D0D0D0" w:sz="1"/>
            </w:tcBorders>
            <w:shd w:fill="FEF3DC" w:val="clear"/>
            <w:tcMar>
              <w:top w:type="dxa" w:w="80"/>
              <w:left w:type="dxa" w:w="120"/>
              <w:bottom w:type="dxa" w:w="80"/>
              <w:right w:type="dxa" w:w="120"/>
            </w:tcMar>
            <w:vAlign w:val="center"/>
          </w:tcPr>
          <w:p>
            <w:pPr>
              <w:spacing w:after="40" w:before="0"/>
            </w:pPr>
            <w:r>
              <w:rPr>
                <w:rFonts w:ascii="Arial" w:cs="Arial" w:eastAsia="Arial" w:hAnsi="Arial"/>
                <w:b/>
                <w:bCs/>
                <w:color w:val="7C4A00"/>
                <w:sz w:val="17"/>
                <w:szCs w:val="17"/>
              </w:rPr>
              <w:t xml:space="preserve">Digital nudge target</w:t>
            </w:r>
          </w:p>
          <w:p>
            <w:pPr>
              <w:spacing w:after="0" w:before="0"/>
            </w:pPr>
            <w:r>
              <w:rPr>
                <w:rFonts w:ascii="Arial" w:cs="Arial" w:eastAsia="Arial" w:hAnsi="Arial"/>
                <w:i/>
                <w:iCs/>
                <w:color w:val="444441"/>
                <w:sz w:val="16"/>
                <w:szCs w:val="16"/>
              </w:rPr>
              <w:t xml:space="preserve">WhatsApp D-3 reminder</w:t>
            </w:r>
          </w:p>
        </w:tc>
        <w:tc>
          <w:tcPr>
            <w:tcW w:type="dxa" w:w="2420"/>
            <w:tcBorders>
              <w:top w:val="single" w:color="D0D0D0" w:sz="1"/>
              <w:left w:val="single" w:color="D0D0D0" w:sz="1"/>
              <w:bottom w:val="single" w:color="D0D0D0" w:sz="1"/>
              <w:right w:val="single" w:color="D0D0D0" w:sz="1"/>
            </w:tcBorders>
            <w:shd w:fill="FDEAEA" w:val="clear"/>
            <w:tcMar>
              <w:top w:type="dxa" w:w="80"/>
              <w:left w:type="dxa" w:w="120"/>
              <w:bottom w:type="dxa" w:w="80"/>
              <w:right w:type="dxa" w:w="120"/>
            </w:tcMar>
            <w:vAlign w:val="center"/>
          </w:tcPr>
          <w:p>
            <w:pPr>
              <w:spacing w:after="40" w:before="0"/>
            </w:pPr>
            <w:r>
              <w:rPr>
                <w:rFonts w:ascii="Arial" w:cs="Arial" w:eastAsia="Arial" w:hAnsi="Arial"/>
                <w:b/>
                <w:bCs/>
                <w:color w:val="8B1A1A"/>
                <w:sz w:val="17"/>
                <w:szCs w:val="17"/>
              </w:rPr>
              <w:t xml:space="preserve">Digital-recoverable defaulter</w:t>
            </w:r>
          </w:p>
          <w:p>
            <w:pPr>
              <w:spacing w:after="0" w:before="0"/>
            </w:pPr>
            <w:r>
              <w:rPr>
                <w:rFonts w:ascii="Arial" w:cs="Arial" w:eastAsia="Arial" w:hAnsi="Arial"/>
                <w:i/>
                <w:iCs/>
                <w:color w:val="444441"/>
                <w:sz w:val="16"/>
                <w:szCs w:val="16"/>
              </w:rPr>
              <w:t xml:space="preserve">Intensive digital recovery</w:t>
            </w:r>
          </w:p>
        </w:tc>
      </w:tr>
      <w:tr>
        <w:tc>
          <w:tcPr>
            <w:tcW w:type="dxa" w:w="2100"/>
            <w:gridSpan w:val="1"/>
            <w:tcBorders>
              <w:top w:val="single" w:color="D0D0D0" w:sz="1"/>
              <w:left w:val="single" w:color="D0D0D0" w:sz="1"/>
              <w:bottom w:val="single" w:color="D0D0D0" w:sz="1"/>
              <w:right w:val="single" w:color="D0D0D0" w:sz="1"/>
            </w:tcBorders>
            <w:shd w:fill="D6E4F7"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7"/>
                <w:szCs w:val="17"/>
              </w:rPr>
              <w:t xml:space="preserve">Medium engagement (30–69)</w:t>
            </w:r>
          </w:p>
        </w:tc>
        <w:tc>
          <w:tcPr>
            <w:tcW w:type="dxa" w:w="2420"/>
            <w:tcBorders>
              <w:top w:val="single" w:color="D0D0D0" w:sz="1"/>
              <w:left w:val="single" w:color="D0D0D0" w:sz="1"/>
              <w:bottom w:val="single" w:color="D0D0D0" w:sz="1"/>
              <w:right w:val="single" w:color="D0D0D0" w:sz="1"/>
            </w:tcBorders>
            <w:shd w:fill="D8F0E8" w:val="clear"/>
            <w:tcMar>
              <w:top w:type="dxa" w:w="80"/>
              <w:left w:type="dxa" w:w="120"/>
              <w:bottom w:type="dxa" w:w="80"/>
              <w:right w:type="dxa" w:w="120"/>
            </w:tcMar>
            <w:vAlign w:val="center"/>
          </w:tcPr>
          <w:p>
            <w:pPr>
              <w:spacing w:after="40" w:before="0"/>
            </w:pPr>
            <w:r>
              <w:rPr>
                <w:rFonts w:ascii="Arial" w:cs="Arial" w:eastAsia="Arial" w:hAnsi="Arial"/>
                <w:b/>
                <w:bCs/>
                <w:color w:val="0F6E56"/>
                <w:sz w:val="17"/>
                <w:szCs w:val="17"/>
              </w:rPr>
              <w:t xml:space="preserve">Reliable payer</w:t>
            </w:r>
          </w:p>
          <w:p>
            <w:pPr>
              <w:spacing w:after="0" w:before="0"/>
            </w:pPr>
            <w:r>
              <w:rPr>
                <w:rFonts w:ascii="Arial" w:cs="Arial" w:eastAsia="Arial" w:hAnsi="Arial"/>
                <w:i/>
                <w:iCs/>
                <w:color w:val="444441"/>
                <w:sz w:val="16"/>
                <w:szCs w:val="16"/>
              </w:rPr>
              <w:t xml:space="preserve">Maintain + upsell</w:t>
            </w:r>
          </w:p>
        </w:tc>
        <w:tc>
          <w:tcPr>
            <w:tcW w:type="dxa" w:w="2420"/>
            <w:tcBorders>
              <w:top w:val="single" w:color="D0D0D0" w:sz="1"/>
              <w:left w:val="single" w:color="D0D0D0" w:sz="1"/>
              <w:bottom w:val="single" w:color="D0D0D0" w:sz="1"/>
              <w:right w:val="single" w:color="D0D0D0" w:sz="1"/>
            </w:tcBorders>
            <w:shd w:fill="FEF3DC" w:val="clear"/>
            <w:tcMar>
              <w:top w:type="dxa" w:w="80"/>
              <w:left w:type="dxa" w:w="120"/>
              <w:bottom w:type="dxa" w:w="80"/>
              <w:right w:type="dxa" w:w="120"/>
            </w:tcMar>
            <w:vAlign w:val="center"/>
          </w:tcPr>
          <w:p>
            <w:pPr>
              <w:spacing w:after="40" w:before="0"/>
            </w:pPr>
            <w:r>
              <w:rPr>
                <w:rFonts w:ascii="Arial" w:cs="Arial" w:eastAsia="Arial" w:hAnsi="Arial"/>
                <w:b/>
                <w:bCs/>
                <w:color w:val="7C4A00"/>
                <w:sz w:val="17"/>
                <w:szCs w:val="17"/>
              </w:rPr>
              <w:t xml:space="preserve">Accidental late payer</w:t>
            </w:r>
          </w:p>
          <w:p>
            <w:pPr>
              <w:spacing w:after="0" w:before="0"/>
            </w:pPr>
            <w:r>
              <w:rPr>
                <w:rFonts w:ascii="Arial" w:cs="Arial" w:eastAsia="Arial" w:hAnsi="Arial"/>
                <w:i/>
                <w:iCs/>
                <w:color w:val="444441"/>
                <w:sz w:val="16"/>
                <w:szCs w:val="16"/>
              </w:rPr>
              <w:t xml:space="preserve">SMS + IVR mix</w:t>
            </w:r>
          </w:p>
        </w:tc>
        <w:tc>
          <w:tcPr>
            <w:tcW w:type="dxa" w:w="2420"/>
            <w:tcBorders>
              <w:top w:val="single" w:color="D0D0D0" w:sz="1"/>
              <w:left w:val="single" w:color="D0D0D0" w:sz="1"/>
              <w:bottom w:val="single" w:color="D0D0D0" w:sz="1"/>
              <w:right w:val="single" w:color="D0D0D0" w:sz="1"/>
            </w:tcBorders>
            <w:shd w:fill="FAECE7" w:val="clear"/>
            <w:tcMar>
              <w:top w:type="dxa" w:w="80"/>
              <w:left w:type="dxa" w:w="120"/>
              <w:bottom w:type="dxa" w:w="80"/>
              <w:right w:type="dxa" w:w="120"/>
            </w:tcMar>
            <w:vAlign w:val="center"/>
          </w:tcPr>
          <w:p>
            <w:pPr>
              <w:spacing w:after="40" w:before="0"/>
            </w:pPr>
            <w:r>
              <w:rPr>
                <w:rFonts w:ascii="Arial" w:cs="Arial" w:eastAsia="Arial" w:hAnsi="Arial"/>
                <w:b/>
                <w:bCs/>
                <w:color w:val="993C1D"/>
                <w:sz w:val="17"/>
                <w:szCs w:val="17"/>
              </w:rPr>
              <w:t xml:space="preserve">Outbound call required</w:t>
            </w:r>
          </w:p>
          <w:p>
            <w:pPr>
              <w:spacing w:after="0" w:before="0"/>
            </w:pPr>
            <w:r>
              <w:rPr>
                <w:rFonts w:ascii="Arial" w:cs="Arial" w:eastAsia="Arial" w:hAnsi="Arial"/>
                <w:i/>
                <w:iCs/>
                <w:color w:val="444441"/>
                <w:sz w:val="16"/>
                <w:szCs w:val="16"/>
              </w:rPr>
              <w:t xml:space="preserve">Live agent call D18+</w:t>
            </w:r>
          </w:p>
        </w:tc>
      </w:tr>
      <w:tr>
        <w:tc>
          <w:tcPr>
            <w:tcW w:type="dxa" w:w="2100"/>
            <w:gridSpan w:val="1"/>
            <w:tcBorders>
              <w:top w:val="single" w:color="D0D0D0" w:sz="1"/>
              <w:left w:val="single" w:color="D0D0D0" w:sz="1"/>
              <w:bottom w:val="single" w:color="D0D0D0" w:sz="1"/>
              <w:right w:val="single" w:color="D0D0D0" w:sz="1"/>
            </w:tcBorders>
            <w:shd w:fill="D6E4F7"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7"/>
                <w:szCs w:val="17"/>
              </w:rPr>
              <w:t xml:space="preserve">Low engagement (&lt;30)</w:t>
            </w:r>
          </w:p>
        </w:tc>
        <w:tc>
          <w:tcPr>
            <w:tcW w:type="dxa" w:w="242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vAlign w:val="center"/>
          </w:tcPr>
          <w:p>
            <w:pPr>
              <w:spacing w:after="40" w:before="0"/>
            </w:pPr>
            <w:r>
              <w:rPr>
                <w:rFonts w:ascii="Arial" w:cs="Arial" w:eastAsia="Arial" w:hAnsi="Arial"/>
                <w:b/>
                <w:bCs/>
                <w:color w:val="444441"/>
                <w:sz w:val="17"/>
                <w:szCs w:val="17"/>
              </w:rPr>
              <w:t xml:space="preserve">Silent reliable payer</w:t>
            </w:r>
          </w:p>
          <w:p>
            <w:pPr>
              <w:spacing w:after="0" w:before="0"/>
            </w:pPr>
            <w:r>
              <w:rPr>
                <w:rFonts w:ascii="Arial" w:cs="Arial" w:eastAsia="Arial" w:hAnsi="Arial"/>
                <w:i/>
                <w:iCs/>
                <w:color w:val="444441"/>
                <w:sz w:val="16"/>
                <w:szCs w:val="16"/>
              </w:rPr>
              <w:t xml:space="preserve">No action needed</w:t>
            </w:r>
          </w:p>
        </w:tc>
        <w:tc>
          <w:tcPr>
            <w:tcW w:type="dxa" w:w="2420"/>
            <w:tcBorders>
              <w:top w:val="single" w:color="D0D0D0" w:sz="1"/>
              <w:left w:val="single" w:color="D0D0D0" w:sz="1"/>
              <w:bottom w:val="single" w:color="D0D0D0" w:sz="1"/>
              <w:right w:val="single" w:color="D0D0D0" w:sz="1"/>
            </w:tcBorders>
            <w:shd w:fill="FEF3DC" w:val="clear"/>
            <w:tcMar>
              <w:top w:type="dxa" w:w="80"/>
              <w:left w:type="dxa" w:w="120"/>
              <w:bottom w:type="dxa" w:w="80"/>
              <w:right w:type="dxa" w:w="120"/>
            </w:tcMar>
            <w:vAlign w:val="center"/>
          </w:tcPr>
          <w:p>
            <w:pPr>
              <w:spacing w:after="40" w:before="0"/>
            </w:pPr>
            <w:r>
              <w:rPr>
                <w:rFonts w:ascii="Arial" w:cs="Arial" w:eastAsia="Arial" w:hAnsi="Arial"/>
                <w:b/>
                <w:bCs/>
                <w:color w:val="7C4A00"/>
                <w:sz w:val="17"/>
                <w:szCs w:val="17"/>
              </w:rPr>
              <w:t xml:space="preserve">Cash-flow constrained</w:t>
            </w:r>
          </w:p>
          <w:p>
            <w:pPr>
              <w:spacing w:after="0" w:before="0"/>
            </w:pPr>
            <w:r>
              <w:rPr>
                <w:rFonts w:ascii="Arial" w:cs="Arial" w:eastAsia="Arial" w:hAnsi="Arial"/>
                <w:i/>
                <w:iCs/>
                <w:color w:val="444441"/>
                <w:sz w:val="16"/>
                <w:szCs w:val="16"/>
              </w:rPr>
              <w:t xml:space="preserve">IVR + instalment offer</w:t>
            </w:r>
          </w:p>
        </w:tc>
        <w:tc>
          <w:tcPr>
            <w:tcW w:type="dxa" w:w="2420"/>
            <w:tcBorders>
              <w:top w:val="single" w:color="D0D0D0" w:sz="1"/>
              <w:left w:val="single" w:color="D0D0D0" w:sz="1"/>
              <w:bottom w:val="single" w:color="D0D0D0" w:sz="1"/>
              <w:right w:val="single" w:color="D0D0D0" w:sz="1"/>
            </w:tcBorders>
            <w:shd w:fill="FDEAEA" w:val="clear"/>
            <w:tcMar>
              <w:top w:type="dxa" w:w="80"/>
              <w:left w:type="dxa" w:w="120"/>
              <w:bottom w:type="dxa" w:w="80"/>
              <w:right w:type="dxa" w:w="120"/>
            </w:tcMar>
            <w:vAlign w:val="center"/>
          </w:tcPr>
          <w:p>
            <w:pPr>
              <w:spacing w:after="40" w:before="0"/>
            </w:pPr>
            <w:r>
              <w:rPr>
                <w:rFonts w:ascii="Arial" w:cs="Arial" w:eastAsia="Arial" w:hAnsi="Arial"/>
                <w:b/>
                <w:bCs/>
                <w:color w:val="8B1A1A"/>
                <w:sz w:val="17"/>
                <w:szCs w:val="17"/>
              </w:rPr>
              <w:t xml:space="preserve">Field visit required</w:t>
            </w:r>
          </w:p>
          <w:p>
            <w:pPr>
              <w:spacing w:after="0" w:before="0"/>
            </w:pPr>
            <w:r>
              <w:rPr>
                <w:rFonts w:ascii="Arial" w:cs="Arial" w:eastAsia="Arial" w:hAnsi="Arial"/>
                <w:i/>
                <w:iCs/>
                <w:color w:val="444441"/>
                <w:sz w:val="16"/>
                <w:szCs w:val="16"/>
              </w:rPr>
              <w:t xml:space="preserve">Field ops + pre-pay meter</w:t>
            </w:r>
          </w:p>
        </w:tc>
      </w:tr>
    </w:tbl>
    <w:p>
      <w:pPr>
        <w:spacing w:after="80" w:before="160"/>
      </w:pPr>
    </w:p>
    <w:p>
      <w:pPr>
        <w:pStyle w:val="Heading2"/>
        <w:spacing w:after="160" w:before="300"/>
      </w:pPr>
      <w:r>
        <w:rPr>
          <w:rFonts w:ascii="Arial" w:cs="Arial" w:eastAsia="Arial" w:hAnsi="Arial"/>
          <w:b/>
          <w:bCs/>
          <w:color w:val="2563A8"/>
          <w:sz w:val="28"/>
          <w:szCs w:val="28"/>
        </w:rPr>
        <w:t xml:space="preserve">6.2  Complaint Risk × Revenue Risk Matrix</w:t>
      </w:r>
    </w:p>
    <w:p>
      <w:pPr>
        <w:spacing w:after="140" w:before="0"/>
        <w:jc w:val="left"/>
      </w:pPr>
      <w:r>
        <w:rPr>
          <w:rFonts w:ascii="Arial" w:cs="Arial" w:eastAsia="Arial" w:hAnsi="Arial"/>
          <w:b w:val="false"/>
          <w:bCs w:val="false"/>
          <w:color w:val="444441"/>
          <w:sz w:val="20"/>
          <w:szCs w:val="20"/>
        </w:rPr>
        <w:t xml:space="preserve">This matrix drives the CX and collections coordination decision. The key insight: high complaint risk always takes precedence over collections in the action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Rev Risk →
Complaint Risk ↓</w:t>
            </w:r>
          </w:p>
        </w:tc>
        <w:tc>
          <w:tcPr>
            <w:tcW w:type="dxa" w:w="242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Low risk (0–30)</w:t>
            </w:r>
          </w:p>
        </w:tc>
        <w:tc>
          <w:tcPr>
            <w:tcW w:type="dxa" w:w="242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Medium risk (31–65)</w:t>
            </w:r>
          </w:p>
        </w:tc>
        <w:tc>
          <w:tcPr>
            <w:tcW w:type="dxa" w:w="242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High risk (66–100)</w:t>
            </w:r>
          </w:p>
        </w:tc>
      </w:tr>
      <w:tr>
        <w:tc>
          <w:tcPr>
            <w:tcW w:type="dxa" w:w="2100"/>
            <w:gridSpan w:val="1"/>
            <w:tcBorders>
              <w:top w:val="single" w:color="D0D0D0" w:sz="1"/>
              <w:left w:val="single" w:color="D0D0D0" w:sz="1"/>
              <w:bottom w:val="single" w:color="D0D0D0" w:sz="1"/>
              <w:right w:val="single" w:color="D0D0D0" w:sz="1"/>
            </w:tcBorders>
            <w:shd w:fill="D6E4F7"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7"/>
                <w:szCs w:val="17"/>
              </w:rPr>
              <w:t xml:space="preserve">High complaint (70+)</w:t>
            </w:r>
          </w:p>
        </w:tc>
        <w:tc>
          <w:tcPr>
            <w:tcW w:type="dxa" w:w="242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vAlign w:val="center"/>
          </w:tcPr>
          <w:p>
            <w:pPr>
              <w:spacing w:after="40" w:before="0"/>
            </w:pPr>
            <w:r>
              <w:rPr>
                <w:rFonts w:ascii="Arial" w:cs="Arial" w:eastAsia="Arial" w:hAnsi="Arial"/>
                <w:b/>
                <w:bCs/>
                <w:color w:val="3C3489"/>
                <w:sz w:val="17"/>
                <w:szCs w:val="17"/>
              </w:rPr>
              <w:t xml:space="preserve">Complaint-prone good payer</w:t>
            </w:r>
          </w:p>
          <w:p>
            <w:pPr>
              <w:spacing w:after="0" w:before="0"/>
            </w:pPr>
            <w:r>
              <w:rPr>
                <w:rFonts w:ascii="Arial" w:cs="Arial" w:eastAsia="Arial" w:hAnsi="Arial"/>
                <w:i/>
                <w:iCs/>
                <w:color w:val="444441"/>
                <w:sz w:val="16"/>
                <w:szCs w:val="16"/>
              </w:rPr>
              <w:t xml:space="preserve">CX priority — resolve fast</w:t>
            </w:r>
          </w:p>
        </w:tc>
        <w:tc>
          <w:tcPr>
            <w:tcW w:type="dxa" w:w="2420"/>
            <w:tcBorders>
              <w:top w:val="single" w:color="D0D0D0" w:sz="1"/>
              <w:left w:val="single" w:color="D0D0D0" w:sz="1"/>
              <w:bottom w:val="single" w:color="D0D0D0" w:sz="1"/>
              <w:right w:val="single" w:color="D0D0D0" w:sz="1"/>
            </w:tcBorders>
            <w:shd w:fill="EEEDFE" w:val="clear"/>
            <w:tcMar>
              <w:top w:type="dxa" w:w="80"/>
              <w:left w:type="dxa" w:w="120"/>
              <w:bottom w:type="dxa" w:w="80"/>
              <w:right w:type="dxa" w:w="120"/>
            </w:tcMar>
            <w:vAlign w:val="center"/>
          </w:tcPr>
          <w:p>
            <w:pPr>
              <w:spacing w:after="40" w:before="0"/>
            </w:pPr>
            <w:r>
              <w:rPr>
                <w:rFonts w:ascii="Arial" w:cs="Arial" w:eastAsia="Arial" w:hAnsi="Arial"/>
                <w:b/>
                <w:bCs/>
                <w:color w:val="3C3489"/>
                <w:sz w:val="17"/>
                <w:szCs w:val="17"/>
              </w:rPr>
              <w:t xml:space="preserve">Dispute-driven late payer</w:t>
            </w:r>
          </w:p>
          <w:p>
            <w:pPr>
              <w:spacing w:after="0" w:before="0"/>
            </w:pPr>
            <w:r>
              <w:rPr>
                <w:rFonts w:ascii="Arial" w:cs="Arial" w:eastAsia="Arial" w:hAnsi="Arial"/>
                <w:i/>
                <w:iCs/>
                <w:color w:val="444441"/>
                <w:sz w:val="16"/>
                <w:szCs w:val="16"/>
              </w:rPr>
              <w:t xml:space="preserve">Fix complaint → collect</w:t>
            </w:r>
          </w:p>
        </w:tc>
        <w:tc>
          <w:tcPr>
            <w:tcW w:type="dxa" w:w="2420"/>
            <w:tcBorders>
              <w:top w:val="single" w:color="D0D0D0" w:sz="1"/>
              <w:left w:val="single" w:color="D0D0D0" w:sz="1"/>
              <w:bottom w:val="single" w:color="D0D0D0" w:sz="1"/>
              <w:right w:val="single" w:color="D0D0D0" w:sz="1"/>
            </w:tcBorders>
            <w:shd w:fill="FDEAEA" w:val="clear"/>
            <w:tcMar>
              <w:top w:type="dxa" w:w="80"/>
              <w:left w:type="dxa" w:w="120"/>
              <w:bottom w:type="dxa" w:w="80"/>
              <w:right w:type="dxa" w:w="120"/>
            </w:tcMar>
            <w:vAlign w:val="center"/>
          </w:tcPr>
          <w:p>
            <w:pPr>
              <w:spacing w:after="40" w:before="0"/>
            </w:pPr>
            <w:r>
              <w:rPr>
                <w:rFonts w:ascii="Arial" w:cs="Arial" w:eastAsia="Arial" w:hAnsi="Arial"/>
                <w:b/>
                <w:bCs/>
                <w:color w:val="8B1A1A"/>
                <w:sz w:val="17"/>
                <w:szCs w:val="17"/>
              </w:rPr>
              <w:t xml:space="preserve">Regulatory risk + defaulter</w:t>
            </w:r>
          </w:p>
          <w:p>
            <w:pPr>
              <w:spacing w:after="0" w:before="0"/>
            </w:pPr>
            <w:r>
              <w:rPr>
                <w:rFonts w:ascii="Arial" w:cs="Arial" w:eastAsia="Arial" w:hAnsi="Arial"/>
                <w:i/>
                <w:iCs/>
                <w:color w:val="444441"/>
                <w:sz w:val="16"/>
                <w:szCs w:val="16"/>
              </w:rPr>
              <w:t xml:space="preserve">Senior officer + legal alert</w:t>
            </w:r>
          </w:p>
        </w:tc>
      </w:tr>
      <w:tr>
        <w:tc>
          <w:tcPr>
            <w:tcW w:type="dxa" w:w="2100"/>
            <w:gridSpan w:val="1"/>
            <w:tcBorders>
              <w:top w:val="single" w:color="D0D0D0" w:sz="1"/>
              <w:left w:val="single" w:color="D0D0D0" w:sz="1"/>
              <w:bottom w:val="single" w:color="D0D0D0" w:sz="1"/>
              <w:right w:val="single" w:color="D0D0D0" w:sz="1"/>
            </w:tcBorders>
            <w:shd w:fill="D6E4F7"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7"/>
                <w:szCs w:val="17"/>
              </w:rPr>
              <w:t xml:space="preserve">Medium complaint (30–69)</w:t>
            </w:r>
          </w:p>
        </w:tc>
        <w:tc>
          <w:tcPr>
            <w:tcW w:type="dxa" w:w="2420"/>
            <w:tcBorders>
              <w:top w:val="single" w:color="D0D0D0" w:sz="1"/>
              <w:left w:val="single" w:color="D0D0D0" w:sz="1"/>
              <w:bottom w:val="single" w:color="D0D0D0" w:sz="1"/>
              <w:right w:val="single" w:color="D0D0D0" w:sz="1"/>
            </w:tcBorders>
            <w:shd w:fill="D8F0E8" w:val="clear"/>
            <w:tcMar>
              <w:top w:type="dxa" w:w="80"/>
              <w:left w:type="dxa" w:w="120"/>
              <w:bottom w:type="dxa" w:w="80"/>
              <w:right w:type="dxa" w:w="120"/>
            </w:tcMar>
            <w:vAlign w:val="center"/>
          </w:tcPr>
          <w:p>
            <w:pPr>
              <w:spacing w:after="40" w:before="0"/>
            </w:pPr>
            <w:r>
              <w:rPr>
                <w:rFonts w:ascii="Arial" w:cs="Arial" w:eastAsia="Arial" w:hAnsi="Arial"/>
                <w:b/>
                <w:bCs/>
                <w:color w:val="0F6E56"/>
                <w:sz w:val="17"/>
                <w:szCs w:val="17"/>
              </w:rPr>
              <w:t xml:space="preserve">Low friction payer</w:t>
            </w:r>
          </w:p>
          <w:p>
            <w:pPr>
              <w:spacing w:after="0" w:before="0"/>
            </w:pPr>
            <w:r>
              <w:rPr>
                <w:rFonts w:ascii="Arial" w:cs="Arial" w:eastAsia="Arial" w:hAnsi="Arial"/>
                <w:i/>
                <w:iCs/>
                <w:color w:val="444441"/>
                <w:sz w:val="16"/>
                <w:szCs w:val="16"/>
              </w:rPr>
              <w:t xml:space="preserve">Retain + bill clarity</w:t>
            </w:r>
          </w:p>
        </w:tc>
        <w:tc>
          <w:tcPr>
            <w:tcW w:type="dxa" w:w="2420"/>
            <w:tcBorders>
              <w:top w:val="single" w:color="D0D0D0" w:sz="1"/>
              <w:left w:val="single" w:color="D0D0D0" w:sz="1"/>
              <w:bottom w:val="single" w:color="D0D0D0" w:sz="1"/>
              <w:right w:val="single" w:color="D0D0D0" w:sz="1"/>
            </w:tcBorders>
            <w:shd w:fill="FEF3DC" w:val="clear"/>
            <w:tcMar>
              <w:top w:type="dxa" w:w="80"/>
              <w:left w:type="dxa" w:w="120"/>
              <w:bottom w:type="dxa" w:w="80"/>
              <w:right w:type="dxa" w:w="120"/>
            </w:tcMar>
            <w:vAlign w:val="center"/>
          </w:tcPr>
          <w:p>
            <w:pPr>
              <w:spacing w:after="40" w:before="0"/>
            </w:pPr>
            <w:r>
              <w:rPr>
                <w:rFonts w:ascii="Arial" w:cs="Arial" w:eastAsia="Arial" w:hAnsi="Arial"/>
                <w:b/>
                <w:bCs/>
                <w:color w:val="7C4A00"/>
                <w:sz w:val="17"/>
                <w:szCs w:val="17"/>
              </w:rPr>
              <w:t xml:space="preserve">Bill shock watch</w:t>
            </w:r>
          </w:p>
          <w:p>
            <w:pPr>
              <w:spacing w:after="0" w:before="0"/>
            </w:pPr>
            <w:r>
              <w:rPr>
                <w:rFonts w:ascii="Arial" w:cs="Arial" w:eastAsia="Arial" w:hAnsi="Arial"/>
                <w:i/>
                <w:iCs/>
                <w:color w:val="444441"/>
                <w:sz w:val="16"/>
                <w:szCs w:val="16"/>
              </w:rPr>
              <w:t xml:space="preserve">Proactive slab explanation</w:t>
            </w:r>
          </w:p>
        </w:tc>
        <w:tc>
          <w:tcPr>
            <w:tcW w:type="dxa" w:w="2420"/>
            <w:tcBorders>
              <w:top w:val="single" w:color="D0D0D0" w:sz="1"/>
              <w:left w:val="single" w:color="D0D0D0" w:sz="1"/>
              <w:bottom w:val="single" w:color="D0D0D0" w:sz="1"/>
              <w:right w:val="single" w:color="D0D0D0" w:sz="1"/>
            </w:tcBorders>
            <w:shd w:fill="FAECE7" w:val="clear"/>
            <w:tcMar>
              <w:top w:type="dxa" w:w="80"/>
              <w:left w:type="dxa" w:w="120"/>
              <w:bottom w:type="dxa" w:w="80"/>
              <w:right w:type="dxa" w:w="120"/>
            </w:tcMar>
            <w:vAlign w:val="center"/>
          </w:tcPr>
          <w:p>
            <w:pPr>
              <w:spacing w:after="40" w:before="0"/>
            </w:pPr>
            <w:r>
              <w:rPr>
                <w:rFonts w:ascii="Arial" w:cs="Arial" w:eastAsia="Arial" w:hAnsi="Arial"/>
                <w:b/>
                <w:bCs/>
                <w:color w:val="993C1D"/>
                <w:sz w:val="17"/>
                <w:szCs w:val="17"/>
              </w:rPr>
              <w:t xml:space="preserve">At-risk defaulter</w:t>
            </w:r>
          </w:p>
          <w:p>
            <w:pPr>
              <w:spacing w:after="0" w:before="0"/>
            </w:pPr>
            <w:r>
              <w:rPr>
                <w:rFonts w:ascii="Arial" w:cs="Arial" w:eastAsia="Arial" w:hAnsi="Arial"/>
                <w:i/>
                <w:iCs/>
                <w:color w:val="444441"/>
                <w:sz w:val="16"/>
                <w:szCs w:val="16"/>
              </w:rPr>
              <w:t xml:space="preserve">Collections + CX monitoring</w:t>
            </w:r>
          </w:p>
        </w:tc>
      </w:tr>
      <w:tr>
        <w:tc>
          <w:tcPr>
            <w:tcW w:type="dxa" w:w="2100"/>
            <w:gridSpan w:val="1"/>
            <w:tcBorders>
              <w:top w:val="single" w:color="D0D0D0" w:sz="1"/>
              <w:left w:val="single" w:color="D0D0D0" w:sz="1"/>
              <w:bottom w:val="single" w:color="D0D0D0" w:sz="1"/>
              <w:right w:val="single" w:color="D0D0D0" w:sz="1"/>
            </w:tcBorders>
            <w:shd w:fill="D6E4F7"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7"/>
                <w:szCs w:val="17"/>
              </w:rPr>
              <w:t xml:space="preserve">Low complaint (&lt;30)</w:t>
            </w:r>
          </w:p>
        </w:tc>
        <w:tc>
          <w:tcPr>
            <w:tcW w:type="dxa" w:w="2420"/>
            <w:tcBorders>
              <w:top w:val="single" w:color="D0D0D0" w:sz="1"/>
              <w:left w:val="single" w:color="D0D0D0" w:sz="1"/>
              <w:bottom w:val="single" w:color="D0D0D0" w:sz="1"/>
              <w:right w:val="single" w:color="D0D0D0" w:sz="1"/>
            </w:tcBorders>
            <w:shd w:fill="EAF3DE" w:val="clear"/>
            <w:tcMar>
              <w:top w:type="dxa" w:w="80"/>
              <w:left w:type="dxa" w:w="120"/>
              <w:bottom w:type="dxa" w:w="80"/>
              <w:right w:type="dxa" w:w="120"/>
            </w:tcMar>
            <w:vAlign w:val="center"/>
          </w:tcPr>
          <w:p>
            <w:pPr>
              <w:spacing w:after="40" w:before="0"/>
            </w:pPr>
            <w:r>
              <w:rPr>
                <w:rFonts w:ascii="Arial" w:cs="Arial" w:eastAsia="Arial" w:hAnsi="Arial"/>
                <w:b/>
                <w:bCs/>
                <w:color w:val="3B6D11"/>
                <w:sz w:val="17"/>
                <w:szCs w:val="17"/>
              </w:rPr>
              <w:t xml:space="preserve">Ideal consumer</w:t>
            </w:r>
          </w:p>
          <w:p>
            <w:pPr>
              <w:spacing w:after="0" w:before="0"/>
            </w:pPr>
            <w:r>
              <w:rPr>
                <w:rFonts w:ascii="Arial" w:cs="Arial" w:eastAsia="Arial" w:hAnsi="Arial"/>
                <w:i/>
                <w:iCs/>
                <w:color w:val="444441"/>
                <w:sz w:val="16"/>
                <w:szCs w:val="16"/>
              </w:rPr>
              <w:t xml:space="preserve">Protect + reward</w:t>
            </w:r>
          </w:p>
        </w:tc>
        <w:tc>
          <w:tcPr>
            <w:tcW w:type="dxa" w:w="2420"/>
            <w:tcBorders>
              <w:top w:val="single" w:color="D0D0D0" w:sz="1"/>
              <w:left w:val="single" w:color="D0D0D0" w:sz="1"/>
              <w:bottom w:val="single" w:color="D0D0D0" w:sz="1"/>
              <w:right w:val="single" w:color="D0D0D0" w:sz="1"/>
            </w:tcBorders>
            <w:shd w:fill="FEF3DC" w:val="clear"/>
            <w:tcMar>
              <w:top w:type="dxa" w:w="80"/>
              <w:left w:type="dxa" w:w="120"/>
              <w:bottom w:type="dxa" w:w="80"/>
              <w:right w:type="dxa" w:w="120"/>
            </w:tcMar>
            <w:vAlign w:val="center"/>
          </w:tcPr>
          <w:p>
            <w:pPr>
              <w:spacing w:after="40" w:before="0"/>
            </w:pPr>
            <w:r>
              <w:rPr>
                <w:rFonts w:ascii="Arial" w:cs="Arial" w:eastAsia="Arial" w:hAnsi="Arial"/>
                <w:b/>
                <w:bCs/>
                <w:color w:val="7C4A00"/>
                <w:sz w:val="17"/>
                <w:szCs w:val="17"/>
              </w:rPr>
              <w:t xml:space="preserve">Accidental late payer</w:t>
            </w:r>
          </w:p>
          <w:p>
            <w:pPr>
              <w:spacing w:after="0" w:before="0"/>
            </w:pPr>
            <w:r>
              <w:rPr>
                <w:rFonts w:ascii="Arial" w:cs="Arial" w:eastAsia="Arial" w:hAnsi="Arial"/>
                <w:i/>
                <w:iCs/>
                <w:color w:val="444441"/>
                <w:sz w:val="16"/>
                <w:szCs w:val="16"/>
              </w:rPr>
              <w:t xml:space="preserve">Reminder-only intervention</w:t>
            </w:r>
          </w:p>
        </w:tc>
        <w:tc>
          <w:tcPr>
            <w:tcW w:type="dxa" w:w="2420"/>
            <w:tcBorders>
              <w:top w:val="single" w:color="D0D0D0" w:sz="1"/>
              <w:left w:val="single" w:color="D0D0D0" w:sz="1"/>
              <w:bottom w:val="single" w:color="D0D0D0" w:sz="1"/>
              <w:right w:val="single" w:color="D0D0D0" w:sz="1"/>
            </w:tcBorders>
            <w:shd w:fill="FDEAEA" w:val="clear"/>
            <w:tcMar>
              <w:top w:type="dxa" w:w="80"/>
              <w:left w:type="dxa" w:w="120"/>
              <w:bottom w:type="dxa" w:w="80"/>
              <w:right w:type="dxa" w:w="120"/>
            </w:tcMar>
            <w:vAlign w:val="center"/>
          </w:tcPr>
          <w:p>
            <w:pPr>
              <w:spacing w:after="40" w:before="0"/>
            </w:pPr>
            <w:r>
              <w:rPr>
                <w:rFonts w:ascii="Arial" w:cs="Arial" w:eastAsia="Arial" w:hAnsi="Arial"/>
                <w:b/>
                <w:bCs/>
                <w:color w:val="8B1A1A"/>
                <w:sz w:val="17"/>
                <w:szCs w:val="17"/>
              </w:rPr>
              <w:t xml:space="preserve">Pure defaulter</w:t>
            </w:r>
          </w:p>
          <w:p>
            <w:pPr>
              <w:spacing w:after="0" w:before="0"/>
            </w:pPr>
            <w:r>
              <w:rPr>
                <w:rFonts w:ascii="Arial" w:cs="Arial" w:eastAsia="Arial" w:hAnsi="Arial"/>
                <w:i/>
                <w:iCs/>
                <w:color w:val="444441"/>
                <w:sz w:val="16"/>
                <w:szCs w:val="16"/>
              </w:rPr>
              <w:t xml:space="preserve">Standard enforcement track</w:t>
            </w:r>
          </w:p>
        </w:tc>
      </w:tr>
    </w:tbl>
    <w:p>
      <w:pPr>
        <w:spacing w:after="80" w:before="160"/>
      </w:pPr>
    </w:p>
    <w:p>
      <w:pPr>
        <w:pStyle w:val="Heading2"/>
        <w:spacing w:after="160" w:before="300"/>
      </w:pPr>
      <w:r>
        <w:rPr>
          <w:rFonts w:ascii="Arial" w:cs="Arial" w:eastAsia="Arial" w:hAnsi="Arial"/>
          <w:b/>
          <w:bCs/>
          <w:color w:val="2563A8"/>
          <w:sz w:val="28"/>
          <w:szCs w:val="28"/>
        </w:rPr>
        <w:t xml:space="preserve">6.3  Peak Impact × Flexible Load Matrix (DSM)</w:t>
      </w:r>
    </w:p>
    <w:p>
      <w:pPr>
        <w:spacing w:after="140" w:before="0"/>
        <w:jc w:val="left"/>
      </w:pPr>
      <w:r>
        <w:rPr>
          <w:rFonts w:ascii="Arial" w:cs="Arial" w:eastAsia="Arial" w:hAnsi="Arial"/>
          <w:b w:val="false"/>
          <w:bCs w:val="false"/>
          <w:color w:val="444441"/>
          <w:sz w:val="20"/>
          <w:szCs w:val="20"/>
        </w:rPr>
        <w:t xml:space="preserve">This matrix drives the DSM vs network investment decision. The bottom-right cell (high peak + low flexibility) is the infrastructure upgrade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Peak Impact →
Flex Load ↓</w:t>
            </w:r>
          </w:p>
        </w:tc>
        <w:tc>
          <w:tcPr>
            <w:tcW w:type="dxa" w:w="242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Low peak (&lt;40)</w:t>
            </w:r>
          </w:p>
        </w:tc>
        <w:tc>
          <w:tcPr>
            <w:tcW w:type="dxa" w:w="242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Medium peak (40–70)</w:t>
            </w:r>
          </w:p>
        </w:tc>
        <w:tc>
          <w:tcPr>
            <w:tcW w:type="dxa" w:w="2420"/>
            <w:gridSpan w:val="1"/>
            <w:tcBorders>
              <w:top w:val="single" w:color="D0D0D0" w:sz="1"/>
              <w:left w:val="single" w:color="D0D0D0" w:sz="1"/>
              <w:bottom w:val="single" w:color="D0D0D0" w:sz="1"/>
              <w:right w:val="single" w:color="D0D0D0" w:sz="1"/>
            </w:tcBorders>
            <w:shd w:fill="2563A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High peak (&gt;70)</w:t>
            </w:r>
          </w:p>
        </w:tc>
      </w:tr>
      <w:tr>
        <w:tc>
          <w:tcPr>
            <w:tcW w:type="dxa" w:w="2100"/>
            <w:gridSpan w:val="1"/>
            <w:tcBorders>
              <w:top w:val="single" w:color="D0D0D0" w:sz="1"/>
              <w:left w:val="single" w:color="D0D0D0" w:sz="1"/>
              <w:bottom w:val="single" w:color="D0D0D0" w:sz="1"/>
              <w:right w:val="single" w:color="D0D0D0" w:sz="1"/>
            </w:tcBorders>
            <w:shd w:fill="D6E4F7"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7"/>
                <w:szCs w:val="17"/>
              </w:rPr>
              <w:t xml:space="preserve">High flexibility (&gt;65)</w:t>
            </w:r>
          </w:p>
        </w:tc>
        <w:tc>
          <w:tcPr>
            <w:tcW w:type="dxa" w:w="2420"/>
            <w:tcBorders>
              <w:top w:val="single" w:color="D0D0D0" w:sz="1"/>
              <w:left w:val="single" w:color="D0D0D0" w:sz="1"/>
              <w:bottom w:val="single" w:color="D0D0D0" w:sz="1"/>
              <w:right w:val="single" w:color="D0D0D0" w:sz="1"/>
            </w:tcBorders>
            <w:shd w:fill="EAF3DE" w:val="clear"/>
            <w:tcMar>
              <w:top w:type="dxa" w:w="80"/>
              <w:left w:type="dxa" w:w="120"/>
              <w:bottom w:type="dxa" w:w="80"/>
              <w:right w:type="dxa" w:w="120"/>
            </w:tcMar>
            <w:vAlign w:val="center"/>
          </w:tcPr>
          <w:p>
            <w:pPr>
              <w:spacing w:after="40" w:before="0"/>
            </w:pPr>
            <w:r>
              <w:rPr>
                <w:rFonts w:ascii="Arial" w:cs="Arial" w:eastAsia="Arial" w:hAnsi="Arial"/>
                <w:b/>
                <w:bCs/>
                <w:color w:val="3B6D11"/>
                <w:sz w:val="17"/>
                <w:szCs w:val="17"/>
              </w:rPr>
              <w:t xml:space="preserve">Efficient off-peak user</w:t>
            </w:r>
          </w:p>
          <w:p>
            <w:pPr>
              <w:spacing w:after="0" w:before="0"/>
            </w:pPr>
            <w:r>
              <w:rPr>
                <w:rFonts w:ascii="Arial" w:cs="Arial" w:eastAsia="Arial" w:hAnsi="Arial"/>
                <w:i/>
                <w:iCs/>
                <w:color w:val="444441"/>
                <w:sz w:val="16"/>
                <w:szCs w:val="16"/>
              </w:rPr>
              <w:t xml:space="preserve">Efficiency reward</w:t>
            </w:r>
          </w:p>
        </w:tc>
        <w:tc>
          <w:tcPr>
            <w:tcW w:type="dxa" w:w="2420"/>
            <w:tcBorders>
              <w:top w:val="single" w:color="D0D0D0" w:sz="1"/>
              <w:left w:val="single" w:color="D0D0D0" w:sz="1"/>
              <w:bottom w:val="single" w:color="D0D0D0" w:sz="1"/>
              <w:right w:val="single" w:color="D0D0D0" w:sz="1"/>
            </w:tcBorders>
            <w:shd w:fill="D8F0E8" w:val="clear"/>
            <w:tcMar>
              <w:top w:type="dxa" w:w="80"/>
              <w:left w:type="dxa" w:w="120"/>
              <w:bottom w:type="dxa" w:w="80"/>
              <w:right w:type="dxa" w:w="120"/>
            </w:tcMar>
            <w:vAlign w:val="center"/>
          </w:tcPr>
          <w:p>
            <w:pPr>
              <w:spacing w:after="40" w:before="0"/>
            </w:pPr>
            <w:r>
              <w:rPr>
                <w:rFonts w:ascii="Arial" w:cs="Arial" w:eastAsia="Arial" w:hAnsi="Arial"/>
                <w:b/>
                <w:bCs/>
                <w:color w:val="0F6E56"/>
                <w:sz w:val="17"/>
                <w:szCs w:val="17"/>
              </w:rPr>
              <w:t xml:space="preserve">DR enrolment candidate</w:t>
            </w:r>
          </w:p>
          <w:p>
            <w:pPr>
              <w:spacing w:after="0" w:before="0"/>
            </w:pPr>
            <w:r>
              <w:rPr>
                <w:rFonts w:ascii="Arial" w:cs="Arial" w:eastAsia="Arial" w:hAnsi="Arial"/>
                <w:i/>
                <w:iCs/>
                <w:color w:val="444441"/>
                <w:sz w:val="16"/>
                <w:szCs w:val="16"/>
              </w:rPr>
              <w:t xml:space="preserve">DR programme offer</w:t>
            </w:r>
          </w:p>
        </w:tc>
        <w:tc>
          <w:tcPr>
            <w:tcW w:type="dxa" w:w="2420"/>
            <w:tcBorders>
              <w:top w:val="single" w:color="D0D0D0" w:sz="1"/>
              <w:left w:val="single" w:color="D0D0D0" w:sz="1"/>
              <w:bottom w:val="single" w:color="D0D0D0" w:sz="1"/>
              <w:right w:val="single" w:color="D0D0D0" w:sz="1"/>
            </w:tcBorders>
            <w:shd w:fill="D8F0E8" w:val="clear"/>
            <w:tcMar>
              <w:top w:type="dxa" w:w="80"/>
              <w:left w:type="dxa" w:w="120"/>
              <w:bottom w:type="dxa" w:w="80"/>
              <w:right w:type="dxa" w:w="120"/>
            </w:tcMar>
            <w:vAlign w:val="center"/>
          </w:tcPr>
          <w:p>
            <w:pPr>
              <w:spacing w:after="40" w:before="0"/>
            </w:pPr>
            <w:r>
              <w:rPr>
                <w:rFonts w:ascii="Arial" w:cs="Arial" w:eastAsia="Arial" w:hAnsi="Arial"/>
                <w:b/>
                <w:bCs/>
                <w:color w:val="0F6E56"/>
                <w:sz w:val="17"/>
                <w:szCs w:val="17"/>
              </w:rPr>
              <w:t xml:space="preserve">Priority DR target</w:t>
            </w:r>
          </w:p>
          <w:p>
            <w:pPr>
              <w:spacing w:after="0" w:before="0"/>
            </w:pPr>
            <w:r>
              <w:rPr>
                <w:rFonts w:ascii="Arial" w:cs="Arial" w:eastAsia="Arial" w:hAnsi="Arial"/>
                <w:i/>
                <w:iCs/>
                <w:color w:val="444441"/>
                <w:sz w:val="16"/>
                <w:szCs w:val="16"/>
              </w:rPr>
              <w:t xml:space="preserve">Immediate DR enrolment</w:t>
            </w:r>
          </w:p>
        </w:tc>
      </w:tr>
      <w:tr>
        <w:tc>
          <w:tcPr>
            <w:tcW w:type="dxa" w:w="2100"/>
            <w:gridSpan w:val="1"/>
            <w:tcBorders>
              <w:top w:val="single" w:color="D0D0D0" w:sz="1"/>
              <w:left w:val="single" w:color="D0D0D0" w:sz="1"/>
              <w:bottom w:val="single" w:color="D0D0D0" w:sz="1"/>
              <w:right w:val="single" w:color="D0D0D0" w:sz="1"/>
            </w:tcBorders>
            <w:shd w:fill="D6E4F7"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7"/>
                <w:szCs w:val="17"/>
              </w:rPr>
              <w:t xml:space="preserve">Medium flexibility (35–65)</w:t>
            </w:r>
          </w:p>
        </w:tc>
        <w:tc>
          <w:tcPr>
            <w:tcW w:type="dxa" w:w="242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vAlign w:val="center"/>
          </w:tcPr>
          <w:p>
            <w:pPr>
              <w:spacing w:after="40" w:before="0"/>
            </w:pPr>
            <w:r>
              <w:rPr>
                <w:rFonts w:ascii="Arial" w:cs="Arial" w:eastAsia="Arial" w:hAnsi="Arial"/>
                <w:b/>
                <w:bCs/>
                <w:color w:val="444441"/>
                <w:sz w:val="17"/>
                <w:szCs w:val="17"/>
              </w:rPr>
              <w:t xml:space="preserve">Non-critical</w:t>
            </w:r>
          </w:p>
          <w:p>
            <w:pPr>
              <w:spacing w:after="0" w:before="0"/>
            </w:pPr>
            <w:r>
              <w:rPr>
                <w:rFonts w:ascii="Arial" w:cs="Arial" w:eastAsia="Arial" w:hAnsi="Arial"/>
                <w:i/>
                <w:iCs/>
                <w:color w:val="444441"/>
                <w:sz w:val="16"/>
                <w:szCs w:val="16"/>
              </w:rPr>
              <w:t xml:space="preserve">Monitor only</w:t>
            </w:r>
          </w:p>
        </w:tc>
        <w:tc>
          <w:tcPr>
            <w:tcW w:type="dxa" w:w="2420"/>
            <w:tcBorders>
              <w:top w:val="single" w:color="D0D0D0" w:sz="1"/>
              <w:left w:val="single" w:color="D0D0D0" w:sz="1"/>
              <w:bottom w:val="single" w:color="D0D0D0" w:sz="1"/>
              <w:right w:val="single" w:color="D0D0D0" w:sz="1"/>
            </w:tcBorders>
            <w:shd w:fill="FEF3DC" w:val="clear"/>
            <w:tcMar>
              <w:top w:type="dxa" w:w="80"/>
              <w:left w:type="dxa" w:w="120"/>
              <w:bottom w:type="dxa" w:w="80"/>
              <w:right w:type="dxa" w:w="120"/>
            </w:tcMar>
            <w:vAlign w:val="center"/>
          </w:tcPr>
          <w:p>
            <w:pPr>
              <w:spacing w:after="40" w:before="0"/>
            </w:pPr>
            <w:r>
              <w:rPr>
                <w:rFonts w:ascii="Arial" w:cs="Arial" w:eastAsia="Arial" w:hAnsi="Arial"/>
                <w:b/>
                <w:bCs/>
                <w:color w:val="7C4A00"/>
                <w:sz w:val="17"/>
                <w:szCs w:val="17"/>
              </w:rPr>
              <w:t xml:space="preserve">TOD tariff candidate</w:t>
            </w:r>
          </w:p>
          <w:p>
            <w:pPr>
              <w:spacing w:after="0" w:before="0"/>
            </w:pPr>
            <w:r>
              <w:rPr>
                <w:rFonts w:ascii="Arial" w:cs="Arial" w:eastAsia="Arial" w:hAnsi="Arial"/>
                <w:i/>
                <w:iCs/>
                <w:color w:val="444441"/>
                <w:sz w:val="16"/>
                <w:szCs w:val="16"/>
              </w:rPr>
              <w:t xml:space="preserve">TOD tariff nudge</w:t>
            </w:r>
          </w:p>
        </w:tc>
        <w:tc>
          <w:tcPr>
            <w:tcW w:type="dxa" w:w="2420"/>
            <w:tcBorders>
              <w:top w:val="single" w:color="D0D0D0" w:sz="1"/>
              <w:left w:val="single" w:color="D0D0D0" w:sz="1"/>
              <w:bottom w:val="single" w:color="D0D0D0" w:sz="1"/>
              <w:right w:val="single" w:color="D0D0D0" w:sz="1"/>
            </w:tcBorders>
            <w:shd w:fill="FEF3DC" w:val="clear"/>
            <w:tcMar>
              <w:top w:type="dxa" w:w="80"/>
              <w:left w:type="dxa" w:w="120"/>
              <w:bottom w:type="dxa" w:w="80"/>
              <w:right w:type="dxa" w:w="120"/>
            </w:tcMar>
            <w:vAlign w:val="center"/>
          </w:tcPr>
          <w:p>
            <w:pPr>
              <w:spacing w:after="40" w:before="0"/>
            </w:pPr>
            <w:r>
              <w:rPr>
                <w:rFonts w:ascii="Arial" w:cs="Arial" w:eastAsia="Arial" w:hAnsi="Arial"/>
                <w:b/>
                <w:bCs/>
                <w:color w:val="7C4A00"/>
                <w:sz w:val="17"/>
                <w:szCs w:val="17"/>
              </w:rPr>
              <w:t xml:space="preserve">DSM outreach needed</w:t>
            </w:r>
          </w:p>
          <w:p>
            <w:pPr>
              <w:spacing w:after="0" w:before="0"/>
            </w:pPr>
            <w:r>
              <w:rPr>
                <w:rFonts w:ascii="Arial" w:cs="Arial" w:eastAsia="Arial" w:hAnsi="Arial"/>
                <w:i/>
                <w:iCs/>
                <w:color w:val="444441"/>
                <w:sz w:val="16"/>
                <w:szCs w:val="16"/>
              </w:rPr>
              <w:t xml:space="preserve">Behavioural DR offer</w:t>
            </w:r>
          </w:p>
        </w:tc>
      </w:tr>
      <w:tr>
        <w:tc>
          <w:tcPr>
            <w:tcW w:type="dxa" w:w="2100"/>
            <w:gridSpan w:val="1"/>
            <w:tcBorders>
              <w:top w:val="single" w:color="D0D0D0" w:sz="1"/>
              <w:left w:val="single" w:color="D0D0D0" w:sz="1"/>
              <w:bottom w:val="single" w:color="D0D0D0" w:sz="1"/>
              <w:right w:val="single" w:color="D0D0D0" w:sz="1"/>
            </w:tcBorders>
            <w:shd w:fill="D6E4F7"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7"/>
                <w:szCs w:val="17"/>
              </w:rPr>
              <w:t xml:space="preserve">Low flexibility (&lt;35)</w:t>
            </w:r>
          </w:p>
        </w:tc>
        <w:tc>
          <w:tcPr>
            <w:tcW w:type="dxa" w:w="242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vAlign w:val="center"/>
          </w:tcPr>
          <w:p>
            <w:pPr>
              <w:spacing w:after="40" w:before="0"/>
            </w:pPr>
            <w:r>
              <w:rPr>
                <w:rFonts w:ascii="Arial" w:cs="Arial" w:eastAsia="Arial" w:hAnsi="Arial"/>
                <w:b/>
                <w:bCs/>
                <w:color w:val="444441"/>
                <w:sz w:val="17"/>
                <w:szCs w:val="17"/>
              </w:rPr>
              <w:t xml:space="preserve">Base load user</w:t>
            </w:r>
          </w:p>
          <w:p>
            <w:pPr>
              <w:spacing w:after="0" w:before="0"/>
            </w:pPr>
            <w:r>
              <w:rPr>
                <w:rFonts w:ascii="Arial" w:cs="Arial" w:eastAsia="Arial" w:hAnsi="Arial"/>
                <w:i/>
                <w:iCs/>
                <w:color w:val="444441"/>
                <w:sz w:val="16"/>
                <w:szCs w:val="16"/>
              </w:rPr>
              <w:t xml:space="preserve">No DSM action</w:t>
            </w:r>
          </w:p>
        </w:tc>
        <w:tc>
          <w:tcPr>
            <w:tcW w:type="dxa" w:w="242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vAlign w:val="center"/>
          </w:tcPr>
          <w:p>
            <w:pPr>
              <w:spacing w:after="40" w:before="0"/>
            </w:pPr>
            <w:r>
              <w:rPr>
                <w:rFonts w:ascii="Arial" w:cs="Arial" w:eastAsia="Arial" w:hAnsi="Arial"/>
                <w:b/>
                <w:bCs/>
                <w:color w:val="444441"/>
                <w:sz w:val="17"/>
                <w:szCs w:val="17"/>
              </w:rPr>
              <w:t xml:space="preserve">Non-shiftable watcher</w:t>
            </w:r>
          </w:p>
          <w:p>
            <w:pPr>
              <w:spacing w:after="0" w:before="0"/>
            </w:pPr>
            <w:r>
              <w:rPr>
                <w:rFonts w:ascii="Arial" w:cs="Arial" w:eastAsia="Arial" w:hAnsi="Arial"/>
                <w:i/>
                <w:iCs/>
                <w:color w:val="444441"/>
                <w:sz w:val="16"/>
                <w:szCs w:val="16"/>
              </w:rPr>
              <w:t xml:space="preserve">Network planning flag</w:t>
            </w:r>
          </w:p>
        </w:tc>
        <w:tc>
          <w:tcPr>
            <w:tcW w:type="dxa" w:w="2420"/>
            <w:tcBorders>
              <w:top w:val="single" w:color="D0D0D0" w:sz="1"/>
              <w:left w:val="single" w:color="D0D0D0" w:sz="1"/>
              <w:bottom w:val="single" w:color="D0D0D0" w:sz="1"/>
              <w:right w:val="single" w:color="D0D0D0" w:sz="1"/>
            </w:tcBorders>
            <w:shd w:fill="FDEAEA" w:val="clear"/>
            <w:tcMar>
              <w:top w:type="dxa" w:w="80"/>
              <w:left w:type="dxa" w:w="120"/>
              <w:bottom w:type="dxa" w:w="80"/>
              <w:right w:type="dxa" w:w="120"/>
            </w:tcMar>
            <w:vAlign w:val="center"/>
          </w:tcPr>
          <w:p>
            <w:pPr>
              <w:spacing w:after="40" w:before="0"/>
            </w:pPr>
            <w:r>
              <w:rPr>
                <w:rFonts w:ascii="Arial" w:cs="Arial" w:eastAsia="Arial" w:hAnsi="Arial"/>
                <w:b/>
                <w:bCs/>
                <w:color w:val="8B1A1A"/>
                <w:sz w:val="17"/>
                <w:szCs w:val="17"/>
              </w:rPr>
              <w:t xml:space="preserve">Infrastructure upgrade trigger</w:t>
            </w:r>
          </w:p>
          <w:p>
            <w:pPr>
              <w:spacing w:after="0" w:before="0"/>
            </w:pPr>
            <w:r>
              <w:rPr>
                <w:rFonts w:ascii="Arial" w:cs="Arial" w:eastAsia="Arial" w:hAnsi="Arial"/>
                <w:i/>
                <w:iCs/>
                <w:color w:val="444441"/>
                <w:sz w:val="16"/>
                <w:szCs w:val="16"/>
              </w:rPr>
              <w:t xml:space="preserve">DT/feeder upgrade review</w:t>
            </w:r>
          </w:p>
        </w:tc>
      </w:tr>
    </w:tbl>
    <w:p>
      <w:pPr>
        <w:spacing w:after="120" w:before="200"/>
      </w:pPr>
    </w:p>
    <w:p>
      <w:pPr>
        <w:pStyle w:val="Heading1"/>
        <w:spacing w:after="200" w:before="400"/>
      </w:pPr>
      <w:r>
        <w:rPr>
          <w:rFonts w:ascii="Arial" w:cs="Arial" w:eastAsia="Arial" w:hAnsi="Arial"/>
          <w:b/>
          <w:bCs/>
          <w:color w:val="1B3A6B"/>
          <w:sz w:val="36"/>
          <w:szCs w:val="36"/>
        </w:rPr>
        <w:t xml:space="preserve">7. Persona Assignment Logic</w:t>
      </w:r>
    </w:p>
    <w:p>
      <w:pPr>
        <w:pBdr>
          <w:bottom w:val="single" w:color="2563A8" w:sz="6" w:space="1"/>
        </w:pBdr>
        <w:spacing w:after="120" w:before="120"/>
      </w:pPr>
    </w:p>
    <w:p>
      <w:pPr>
        <w:spacing w:after="200" w:before="80"/>
        <w:jc w:val="left"/>
      </w:pPr>
      <w:r>
        <w:rPr>
          <w:rFonts w:ascii="Arial" w:cs="Arial" w:eastAsia="Arial" w:hAnsi="Arial"/>
          <w:b w:val="false"/>
          <w:bCs w:val="false"/>
          <w:color w:val="1A1A1A"/>
          <w:sz w:val="22"/>
          <w:szCs w:val="22"/>
        </w:rPr>
        <w:t xml:space="preserve">Persona assignment is rule-based and explainable. Rules are evaluated in priority order. The first matching rule sets the primary persona. The second-highest signal sets the secondary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800"/>
        <w:gridCol w:w="2860"/>
      </w:tblGrid>
      <w:tr>
        <w:trPr>
          <w:tblHeader/>
        </w:trPr>
        <w:tc>
          <w:tcPr>
            <w:tcW w:type="dxa" w:w="5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w:t>
            </w:r>
          </w:p>
        </w:tc>
        <w:tc>
          <w:tcPr>
            <w:tcW w:type="dxa" w:w="42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Condition</w:t>
            </w:r>
          </w:p>
        </w:tc>
        <w:tc>
          <w:tcPr>
            <w:tcW w:type="dxa" w:w="1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Assigned Persona</w:t>
            </w:r>
          </w:p>
        </w:tc>
        <w:tc>
          <w:tcPr>
            <w:tcW w:type="dxa" w:w="28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Primary Action</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1</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Revenue Risk &gt; 65</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At-Risk Defaulter</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Collections routing: digital or field based on engagement</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2</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Revenue Risk &gt; 65 AND Bill Value = High</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At-Risk High-Value Defaulter</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Senior collections agent. Priority recovery.</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3</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Complaint Risk &gt; 70 AND Escalation Flag = Y</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Ombudsman / Forum Escalator</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Senior officer intervention. Legal loop-in.</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4</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Complaint Risk &gt; 70 AND Revenue Risk &gt; 50</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Complaint-Prone Defaulter</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CX resolves first. Collections resumes after.</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5</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Peak Impact &gt; 70 AND Flexible Load &gt; 55</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Flexible Peak Contributor</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Immediate DR enrolment offer with incentive.</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6</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Peak Impact &gt; 70 AND Flexible Load &lt; 35</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Infrastructure Upgrade Trigger</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Flag DT/feeder for network planning review.</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7</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NILM EV = Y AND Engagement &gt; 50</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EV-Ready Consumer</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EV night tariff offer + smart charging.</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8</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Renewable Score &gt; 65 AND Consumption &gt; 250 kWh</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Renewable Adopter</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Rooftop solar scheme offer.</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9</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Engagement &gt; 75 AND Revenue Risk &lt; 30</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Digital High-Value</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Auto-debit + premium CX + loyalty program.</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10</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Bill Shock Flag = Y AND Complaint Risk &gt; 45</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Bill Shock Prone</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Proactive slab explanation before due date.</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11</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Revenue Risk 25–55 AND Engagement &gt; 40</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Accidental Late Payer</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Pre-due-date WhatsApp nudge D-3.</w:t>
            </w:r>
          </w:p>
        </w:tc>
      </w:tr>
      <w:tr>
        <w:tc>
          <w:tcPr>
            <w:tcW w:type="dxa" w:w="500"/>
            <w:gridSpan w:val="1"/>
            <w:tcBorders>
              <w:top w:val="single" w:color="D0D0D0" w:sz="1"/>
              <w:left w:val="single" w:color="D0D0D0" w:sz="1"/>
              <w:bottom w:val="single" w:color="D0D0D0" w:sz="1"/>
              <w:right w:val="single" w:color="D0D0D0" w:sz="1"/>
            </w:tcBorders>
            <w:shd w:fill="F1EFE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12</w:t>
            </w:r>
          </w:p>
        </w:tc>
        <w:tc>
          <w:tcPr>
            <w:tcW w:type="dxa" w:w="42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All scores low / below thresholds</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563A8"/>
                <w:sz w:val="17"/>
                <w:szCs w:val="17"/>
              </w:rPr>
              <w:t xml:space="preserve">Base Load / No Action</w:t>
            </w:r>
          </w:p>
        </w:tc>
        <w:tc>
          <w:tcPr>
            <w:tcW w:type="dxa" w:w="28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17"/>
                <w:szCs w:val="17"/>
              </w:rPr>
              <w:t xml:space="preserve">No intervention. Monitor monthly.</w:t>
            </w:r>
          </w:p>
        </w:tc>
      </w:tr>
    </w:tbl>
    <w:p>
      <w:pPr>
        <w:spacing w:after="120" w:before="200"/>
      </w:pPr>
    </w:p>
    <w:p>
      <w:pPr>
        <w:pStyle w:val="Heading1"/>
        <w:spacing w:after="200" w:before="400"/>
      </w:pPr>
      <w:r>
        <w:rPr>
          <w:rFonts w:ascii="Arial" w:cs="Arial" w:eastAsia="Arial" w:hAnsi="Arial"/>
          <w:b/>
          <w:bCs/>
          <w:color w:val="1B3A6B"/>
          <w:sz w:val="36"/>
          <w:szCs w:val="36"/>
        </w:rPr>
        <w:t xml:space="preserve">8. Key Performance Indicators</w:t>
      </w:r>
    </w:p>
    <w:p>
      <w:pPr>
        <w:pBdr>
          <w:bottom w:val="single" w:color="2563A8" w:sz="6" w:space="1"/>
        </w:pBdr>
        <w:spacing w:after="120" w:before="120"/>
      </w:pPr>
    </w:p>
    <w:p>
      <w:pPr>
        <w:spacing w:after="200" w:before="80"/>
        <w:jc w:val="left"/>
      </w:pPr>
      <w:r>
        <w:rPr>
          <w:rFonts w:ascii="Arial" w:cs="Arial" w:eastAsia="Arial" w:hAnsi="Arial"/>
          <w:b w:val="false"/>
          <w:bCs w:val="false"/>
          <w:color w:val="1A1A1A"/>
          <w:sz w:val="22"/>
          <w:szCs w:val="22"/>
        </w:rPr>
        <w:t xml:space="preserve">The following KPIs measure framework effectiveness across all operational domains. Baseline measurement should be taken at framework launch; targets are reviewed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KPI</w:t>
            </w:r>
          </w:p>
        </w:tc>
        <w:tc>
          <w:tcPr>
            <w:tcW w:type="dxa" w:w="1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Target</w:t>
            </w:r>
          </w:p>
        </w:tc>
        <w:tc>
          <w:tcPr>
            <w:tcW w:type="dxa" w:w="180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Domain</w:t>
            </w:r>
          </w:p>
        </w:tc>
        <w:tc>
          <w:tcPr>
            <w:tcW w:type="dxa" w:w="2960"/>
            <w:gridSpan w:val="1"/>
            <w:tcBorders>
              <w:top w:val="single" w:color="D0D0D0" w:sz="1"/>
              <w:left w:val="single" w:color="D0D0D0" w:sz="1"/>
              <w:bottom w:val="single" w:color="D0D0D0" w:sz="1"/>
              <w:right w:val="single" w:color="D0D0D0" w:sz="1"/>
            </w:tcBorders>
            <w:shd w:fill="1B3A6B"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Days Sales Outstanding (DSO) — B2C</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&lt; 30 days</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Collections</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Overall collection health indicator</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Accidental default rate</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&lt; 5% per month</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Collections</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Measures pre-due-date communication effectiveness</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Day 15 message payment conversion</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&gt; 55%</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Collections</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 who pay within 48 hrs of Day 15 overdue notice</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Field visit resolution rate</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&gt; 70%</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Field Ops</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 of field visits resulting in same-visit payment or plan</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DR programme enrolment rate</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&gt; 15% of eligible</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DSM</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Flexible load consumers enrolled in Demand Response</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DT peak load reduction post-DSM</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&gt; 15% within 3 months</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DSM / Network</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Validates DSM-first protocol before upgrade approval</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Dispute resolution time</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&lt; 15 days</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CX / Billing</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Days from ticket raise to revised bill issuance</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Regulatory escalation rate</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&lt; 0.5% of complaints</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CX / Legal</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Complaints that reach Ombudsman or SERC</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Reconnection time (urban)</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&lt; 24 hours</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Field Ops</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Post-payment reconnection SLA — critical for satisfaction</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Auto-debit enrolment rate</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&gt; 20% of base</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Digital</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Best long-term default prevention metric</w:t>
            </w:r>
          </w:p>
        </w:tc>
      </w:tr>
      <w:tr>
        <w:tc>
          <w:tcPr>
            <w:tcW w:type="dxa" w:w="2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B3A6B"/>
                <w:sz w:val="18"/>
                <w:szCs w:val="18"/>
              </w:rPr>
              <w:t xml:space="preserve">Write-off ratio — B2C</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F6E56"/>
                <w:sz w:val="18"/>
                <w:szCs w:val="18"/>
              </w:rPr>
              <w:t xml:space="preserve">&lt; 0.8% of billed revenue</w:t>
            </w:r>
          </w:p>
        </w:tc>
        <w:tc>
          <w:tcPr>
            <w:tcW w:type="dxa" w:w="180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Finance</w:t>
            </w:r>
          </w:p>
        </w:tc>
        <w:tc>
          <w:tcPr>
            <w:tcW w:type="dxa" w:w="2960"/>
            <w:gridSpan w:val="1"/>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444441"/>
                <w:sz w:val="17"/>
                <w:szCs w:val="17"/>
              </w:rPr>
              <w:t xml:space="preserve">Uncollectable debt as % of revenue</w:t>
            </w:r>
          </w:p>
        </w:tc>
      </w:tr>
    </w:tbl>
    <w:p>
      <w:pPr>
        <w:spacing w:after="120" w:before="200"/>
      </w:pPr>
    </w:p>
    <w:p>
      <w:pPr>
        <w:pStyle w:val="Heading1"/>
        <w:spacing w:after="200" w:before="400"/>
      </w:pPr>
      <w:r>
        <w:rPr>
          <w:rFonts w:ascii="Arial" w:cs="Arial" w:eastAsia="Arial" w:hAnsi="Arial"/>
          <w:b/>
          <w:bCs/>
          <w:color w:val="1B3A6B"/>
          <w:sz w:val="36"/>
          <w:szCs w:val="36"/>
        </w:rPr>
        <w:t xml:space="preserve">9. Conclusion &amp; Next Steps</w:t>
      </w:r>
    </w:p>
    <w:p>
      <w:pPr>
        <w:pBdr>
          <w:bottom w:val="single" w:color="2563A8" w:sz="6" w:space="1"/>
        </w:pBdr>
        <w:spacing w:after="120" w:before="120"/>
      </w:pPr>
    </w:p>
    <w:p>
      <w:pPr>
        <w:spacing w:after="160" w:before="80"/>
        <w:jc w:val="left"/>
      </w:pPr>
      <w:r>
        <w:rPr>
          <w:rFonts w:ascii="Arial" w:cs="Arial" w:eastAsia="Arial" w:hAnsi="Arial"/>
          <w:b w:val="false"/>
          <w:bCs w:val="false"/>
          <w:color w:val="1A1A1A"/>
          <w:sz w:val="22"/>
          <w:szCs w:val="22"/>
        </w:rPr>
        <w:t xml:space="preserve">The Consumer Persona &amp; Scenario Intelligence Framework gives every team in the DISCOM a single, consistent view of each consumer — updated every billing month — with a clear recommended action attached.</w:t>
      </w:r>
    </w:p>
    <w:p>
      <w:pPr>
        <w:spacing w:after="160" w:before="0"/>
        <w:jc w:val="left"/>
      </w:pPr>
      <w:r>
        <w:rPr>
          <w:rFonts w:ascii="Arial" w:cs="Arial" w:eastAsia="Arial" w:hAnsi="Arial"/>
          <w:b w:val="false"/>
          <w:bCs w:val="false"/>
          <w:color w:val="1A1A1A"/>
          <w:sz w:val="22"/>
          <w:szCs w:val="22"/>
        </w:rPr>
        <w:t xml:space="preserve">The framework is explainable (every persona is traceable to specific score inputs), regulator-safe (no black-box AI), and scalable (monthly batch processing on existing data infrastructure).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pPr>
              <w:spacing w:after="0" w:before="0"/>
            </w:pPr>
            <w:r>
              <w:rPr>
                <w:rFonts w:ascii="Arial" w:cs="Arial" w:eastAsia="Arial" w:hAnsi="Arial"/>
                <w:b/>
                <w:bCs/>
                <w:color w:val="1B3A6B"/>
                <w:sz w:val="22"/>
                <w:szCs w:val="22"/>
              </w:rPr>
              <w:t xml:space="preserve">Recommended Implementation Phases</w:t>
            </w:r>
          </w:p>
        </w:tc>
      </w:tr>
    </w:tbl>
    <w:p>
      <w:pPr>
        <w:spacing w:after="80" w:before="80"/>
      </w:pPr>
    </w:p>
    <w:p>
      <w:pPr>
        <w:pStyle w:val="ListParagraph"/>
        <w:numPr>
          <w:ilvl w:val="0"/>
          <w:numId w:val="2"/>
        </w:numPr>
        <w:spacing w:after="40" w:before="40"/>
      </w:pPr>
      <w:r>
        <w:rPr>
          <w:rFonts w:ascii="Arial" w:cs="Arial" w:eastAsia="Arial" w:hAnsi="Arial"/>
          <w:color w:val="1A1A1A"/>
          <w:sz w:val="20"/>
          <w:szCs w:val="20"/>
        </w:rPr>
        <w:t xml:space="preserve">Phase 1 — Data foundation: Implement the 6-table Consumer 360 data model. Validate attribute extraction from MDMS, billing, payment, CRM, and app systems.</w:t>
      </w:r>
    </w:p>
    <w:p>
      <w:pPr>
        <w:pStyle w:val="ListParagraph"/>
        <w:numPr>
          <w:ilvl w:val="0"/>
          <w:numId w:val="2"/>
        </w:numPr>
        <w:spacing w:after="40" w:before="40"/>
      </w:pPr>
      <w:r>
        <w:rPr>
          <w:rFonts w:ascii="Arial" w:cs="Arial" w:eastAsia="Arial" w:hAnsi="Arial"/>
          <w:color w:val="1A1A1A"/>
          <w:sz w:val="20"/>
          <w:szCs w:val="20"/>
        </w:rPr>
        <w:t xml:space="preserve">Phase 2 — Scoring engine: Build the 6 scoring algorithms. Run shadow scoring for 2 billing cycles to validate distributions and thresholds.</w:t>
      </w:r>
    </w:p>
    <w:p>
      <w:pPr>
        <w:pStyle w:val="ListParagraph"/>
        <w:numPr>
          <w:ilvl w:val="0"/>
          <w:numId w:val="2"/>
        </w:numPr>
        <w:spacing w:after="40" w:before="40"/>
      </w:pPr>
      <w:r>
        <w:rPr>
          <w:rFonts w:ascii="Arial" w:cs="Arial" w:eastAsia="Arial" w:hAnsi="Arial"/>
          <w:color w:val="1A1A1A"/>
          <w:sz w:val="20"/>
          <w:szCs w:val="20"/>
        </w:rPr>
        <w:t xml:space="preserve">Phase 3 — Persona assignment: Deploy rule-based persona assignment. Integrate with CRM and collections workflow for action routing.</w:t>
      </w:r>
    </w:p>
    <w:p>
      <w:pPr>
        <w:pStyle w:val="ListParagraph"/>
        <w:numPr>
          <w:ilvl w:val="0"/>
          <w:numId w:val="2"/>
        </w:numPr>
        <w:spacing w:after="40" w:before="40"/>
      </w:pPr>
      <w:r>
        <w:rPr>
          <w:rFonts w:ascii="Arial" w:cs="Arial" w:eastAsia="Arial" w:hAnsi="Arial"/>
          <w:color w:val="1A1A1A"/>
          <w:sz w:val="20"/>
          <w:szCs w:val="20"/>
        </w:rPr>
        <w:t xml:space="preserve">Phase 4 — LLM explainability layer: Connect analytical outputs to LLM-based query interface for business teams to interrogate consumer, DT, feeder, and area-level insights in natural language.</w:t>
      </w:r>
    </w:p>
    <w:p>
      <w:pPr>
        <w:pStyle w:val="ListParagraph"/>
        <w:numPr>
          <w:ilvl w:val="0"/>
          <w:numId w:val="2"/>
        </w:numPr>
        <w:spacing w:after="40" w:before="40"/>
      </w:pPr>
      <w:r>
        <w:rPr>
          <w:rFonts w:ascii="Arial" w:cs="Arial" w:eastAsia="Arial" w:hAnsi="Arial"/>
          <w:color w:val="1A1A1A"/>
          <w:sz w:val="20"/>
          <w:szCs w:val="20"/>
        </w:rPr>
        <w:t xml:space="preserve">Phase 5 — Feedback loop: Measure KPIs monthly. Refine thresholds based on actual intervention outcomes. Add secondary persona routing.</w:t>
      </w:r>
    </w:p>
    <w:p>
      <w:pPr>
        <w:spacing w:after="80" w:before="120"/>
      </w:pPr>
    </w:p>
    <w:p>
      <w:pPr>
        <w:spacing w:after="80" w:before="80"/>
        <w:jc w:val="left"/>
      </w:pPr>
      <w:r>
        <w:rPr>
          <w:rFonts w:ascii="Arial" w:cs="Arial" w:eastAsia="Arial" w:hAnsi="Arial"/>
          <w:b w:val="false"/>
          <w:bCs w:val="false"/>
          <w:color w:val="444441"/>
          <w:sz w:val="20"/>
          <w:szCs w:val="20"/>
        </w:rPr>
        <w:t xml:space="preserve">For questions on implementation, data model specifications, or scenario prioritisation, contact the Revenue Assurance &amp; CX Strategy team.</w:t>
      </w:r>
    </w:p>
    <w:p>
      <w:pPr>
        <w:pBdr>
          <w:bottom w:val="single" w:color="2563A8" w:sz="6" w:space="1"/>
        </w:pBdr>
        <w:spacing w:after="120" w:before="120"/>
      </w:pPr>
    </w:p>
    <w:p>
      <w:pPr>
        <w:spacing w:after="80" w:before="160"/>
        <w:jc w:val="center"/>
      </w:pPr>
      <w:r>
        <w:rPr>
          <w:rFonts w:ascii="Arial" w:cs="Arial" w:eastAsia="Arial" w:hAnsi="Arial"/>
          <w:b w:val="false"/>
          <w:bCs w:val="false"/>
          <w:color w:val="444441"/>
          <w:sz w:val="18"/>
          <w:szCs w:val="18"/>
        </w:rPr>
        <w:t xml:space="preserve">End of document — Consumer Persona &amp; Scenario Intelligence Framework  |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spacing w:after="0" w:before="120"/>
      <w:jc w:val="center"/>
    </w:pPr>
    <w:r>
      <w:rPr>
        <w:rFonts w:ascii="Arial" w:cs="Arial" w:eastAsia="Arial" w:hAnsi="Arial"/>
        <w:color w:val="444441"/>
        <w:sz w:val="18"/>
        <w:szCs w:val="18"/>
      </w:rPr>
      <w:t xml:space="preserve">Internal Use Only  |  Page </w:t>
    </w:r>
    <w:r>
      <w:rPr>
        <w:rFonts w:ascii="Arial" w:cs="Arial" w:eastAsia="Arial" w:hAnsi="Arial"/>
        <w:color w:val="444441"/>
        <w:sz w:val="18"/>
        <w:szCs w:val="18"/>
      </w:rPr>
      <w:fldChar w:fldCharType="begin"/>
      <w:instrText xml:space="preserve">PAGE</w:instrText>
      <w:fldChar w:fldCharType="separate"/>
      <w:fldChar w:fldCharType="end"/>
    </w:r>
    <w:r>
      <w:rPr>
        <w:rFonts w:ascii="Arial" w:cs="Arial" w:eastAsia="Arial" w:hAnsi="Arial"/>
        <w:color w:val="444441"/>
        <w:sz w:val="18"/>
        <w:szCs w:val="18"/>
      </w:rPr>
      <w:t xml:space="preserve">  |  Revenue Assurance &amp; CX Strategy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spacing w:after="120" w:before="0"/>
      <w:jc w:val="right"/>
    </w:pPr>
    <w:r>
      <w:rPr>
        <w:rFonts w:ascii="Arial" w:cs="Arial" w:eastAsia="Arial" w:hAnsi="Arial"/>
        <w:color w:val="444441"/>
        <w:sz w:val="18"/>
        <w:szCs w:val="18"/>
      </w:rPr>
      <w:t xml:space="preserve">Consumer Persona &amp; Scenario Intelligence Framework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563A8"/>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2026-04-16T10:18:16.657Z</dcterms:created>
  <dcterms:modified xsi:type="dcterms:W3CDTF">2026-04-16T10:18:16.658Z</dcterms:modified>
</cp:coreProperties>
</file>

<file path=docProps/custom.xml><?xml version="1.0" encoding="utf-8"?>
<Properties xmlns="http://schemas.openxmlformats.org/officeDocument/2006/custom-properties" xmlns:vt="http://schemas.openxmlformats.org/officeDocument/2006/docPropsVTypes"/>
</file>