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rial" w:hAnsi="Arial"/>
          <w:b/>
          <w:i w:val="0"/>
          <w:color w:val="0E2B5C"/>
          <w:sz w:val="36"/>
        </w:rPr>
        <w:t>BankSight AI: An Explainable Customer Segmentation, Churn Prediction and Evidence-Aware Retention Intelligence Platform for European Retail Banking</w:t>
      </w:r>
    </w:p>
    <w:p>
      <w:pPr>
        <w:spacing w:after="280" w:line="276" w:lineRule="auto"/>
        <w:jc w:val="center"/>
      </w:pPr>
      <w:r>
        <w:rPr>
          <w:rFonts w:ascii="Arial" w:hAnsi="Arial"/>
          <w:b w:val="0"/>
          <w:i/>
          <w:color w:val="475569"/>
          <w:sz w:val="24"/>
        </w:rPr>
        <w:t>A Research-Oriented Final-Year Engineering System Architecture and Empirical Study</w:t>
      </w:r>
    </w:p>
    <w:p>
      <w:pPr>
        <w:spacing w:after="320" w:line="276" w:lineRule="auto"/>
        <w:jc w:val="center"/>
      </w:pPr>
      <w:r>
        <w:rPr>
          <w:rFonts w:ascii="Times New Roman" w:hAnsi="Times New Roman"/>
          <w:b w:val="0"/>
          <w:i w:val="0"/>
          <w:color w:val="0F172A"/>
          <w:sz w:val="20"/>
        </w:rPr>
        <w:t>Pranav Kokande</w:t>
        <w:br/>
      </w:r>
      <w:r>
        <w:rPr>
          <w:rFonts w:ascii="Times New Roman" w:hAnsi="Times New Roman"/>
          <w:b w:val="0"/>
          <w:i w:val="0"/>
          <w:color w:val="0F172A"/>
          <w:sz w:val="20"/>
        </w:rPr>
        <w:t>Department of Information Technology, Engineering Research Division</w:t>
        <w:br/>
        <w:t>Email: pranav.kokande@banksight.eu • GitHub: @pranavkokande60</w:t>
      </w:r>
    </w:p>
    <w:p>
      <w:pPr>
        <w:spacing w:after="160" w:line="276" w:lineRule="auto"/>
      </w:pPr>
      <w:r>
        <w:rPr>
          <w:rFonts w:ascii="Times New Roman" w:hAnsi="Times New Roman"/>
          <w:b w:val="0"/>
          <w:i/>
          <w:color w:val="0F172A"/>
          <w:sz w:val="20"/>
        </w:rPr>
        <w:t>Abstract—</w:t>
      </w:r>
      <w:r>
        <w:rPr>
          <w:rFonts w:ascii="Times New Roman" w:hAnsi="Times New Roman"/>
          <w:b w:val="0"/>
          <w:i/>
          <w:color w:val="0F172A"/>
          <w:sz w:val="20"/>
        </w:rPr>
        <w:t>Customer attrition in European retail banking generates severe capital exposure, with high-balance depositors defecting under complex, non-linear socioeconomic pressures. This paper presents BankSight AI, an integrated full-stack analytics and decision-support platform engineered to discover latent customer personas, evaluate statistical attrition significance, predict churn with calibrated ensemble consensus, explain decisions via Shapley Additive exPlanations (SHAP), and allocate intervention capital through a novel Evidence-Aware Retention Allocation (EARA) framework. Evaluating an empirical benchmark portfolio of 10,000 multi-territory banking records (France, Germany, Spain), our automated 10-point audit verifies zero missing records and eliminates historical time-series leakage from static temporal snapshots. Inferential statistics reveal a statistically significant territory disparity, with German accounts experiencing 32.44% churn (p &lt; 0.0001, Cramer's V = 0.1736) compared to 16.15% in France, driven by high deposit balances and an absence of zero-balance accounts. Furthermore, we document an empirical multi-product holding cliff where attrition surges from an optimal 7.58% at two products to 82.71% at three products and 100.0% at four products (p &lt; 0.0001, Cramer's V = 0.3878). Supervised learning with 5-fold Stratified Cross-Validation confirms a calibrated Gradient Boosting classifier as champion (ROC-AUC: 0.8612, PR-AUC: 0.7078, Brier Score: 0.1020). Simulation experiments indicate that EARA protects 18.4% more high-value balance exposure under constrained review budgets (B = 500) than unweighted probability ranking while actively suppressing model disagreement. The complete system is operationalized via a production FastAPI REST backend and an interactive React 18 / Three.js 3D WebGL Digital Twin command center.</w:t>
      </w:r>
    </w:p>
    <w:p>
      <w:pPr>
        <w:spacing w:after="360" w:line="276" w:lineRule="auto"/>
      </w:pPr>
      <w:r>
        <w:rPr>
          <w:rFonts w:ascii="Times New Roman" w:hAnsi="Times New Roman"/>
          <w:b w:val="0"/>
          <w:i w:val="0"/>
          <w:color w:val="0E2B5C"/>
          <w:sz w:val="19"/>
        </w:rPr>
        <w:t xml:space="preserve">Keywords— </w:t>
      </w:r>
      <w:r>
        <w:rPr>
          <w:rFonts w:ascii="Times New Roman" w:hAnsi="Times New Roman"/>
          <w:b w:val="0"/>
          <w:i w:val="0"/>
          <w:color w:val="0E2B5C"/>
          <w:sz w:val="19"/>
        </w:rPr>
        <w:t>Customer Churn Prediction, Explainable AI (XAI), SHAP, Customer Segmentation, Evidence-Aware Retention Allocation (EARA), Algorithmic Fairness, European Retail Banking, Three.js WebGL.</w:t>
      </w:r>
    </w:p>
    <w:p>
      <w:pPr>
        <w:spacing w:after="120" w:line="276" w:lineRule="auto" w:before="280"/>
      </w:pPr>
      <w:r>
        <w:rPr>
          <w:rFonts w:ascii="Arial" w:hAnsi="Arial"/>
          <w:b/>
          <w:i w:val="0"/>
          <w:color w:val="0E2B5C"/>
          <w:sz w:val="26"/>
        </w:rPr>
        <w:t>1. Introduction and Problem Context</w:t>
      </w:r>
    </w:p>
    <w:p>
      <w:pPr>
        <w:spacing w:after="120" w:line="276" w:lineRule="auto"/>
      </w:pPr>
      <w:r>
        <w:rPr>
          <w:rFonts w:ascii="Times New Roman" w:hAnsi="Times New Roman"/>
          <w:b w:val="0"/>
          <w:i w:val="0"/>
          <w:color w:val="0F172A"/>
          <w:sz w:val="21"/>
        </w:rPr>
        <w:t>Retail banking institutions across the European Union operate in an increasingly volatile financial landscape characterized by rising customer mobility, open-banking regulations (PSD2), and intense digital banking competition. In this environment, acquiring a new customer is estimated to cost between five to seven times more than retaining an existing account holder. However, conventional churn management systems suffer from three critical deficiencies:</w:t>
      </w:r>
    </w:p>
    <w:p>
      <w:pPr>
        <w:spacing w:after="120" w:line="276" w:lineRule="auto"/>
      </w:pPr>
      <w:r>
        <w:rPr>
          <w:rFonts w:ascii="Times New Roman" w:hAnsi="Times New Roman"/>
          <w:b w:val="0"/>
          <w:i w:val="0"/>
          <w:color w:val="0F172A"/>
          <w:sz w:val="21"/>
        </w:rPr>
        <w:t>1. Disconnection from Capital Exposure: Standard machine-learning models prioritize customers solely based on raw attrition probability (P_i), ignoring account balance disparity. In practice, a bank prioritizing ten low-balance depositors (e.g., €50 each) over a single high-net-worth customer (€150,000) incurs massive unmitigated capital loss.</w:t>
      </w:r>
    </w:p>
    <w:p>
      <w:pPr>
        <w:spacing w:after="120" w:line="276" w:lineRule="auto"/>
      </w:pPr>
      <w:r>
        <w:rPr>
          <w:rFonts w:ascii="Times New Roman" w:hAnsi="Times New Roman"/>
          <w:b w:val="0"/>
          <w:i w:val="0"/>
          <w:color w:val="0F172A"/>
          <w:sz w:val="21"/>
        </w:rPr>
        <w:t>2. Black-Box Opacity and Regulatory Non-Compliance: Modern banking governance frameworks (such as the EU Artificial Intelligence Act and GDPR Article 22) mandate explainability for automated decision systems. Opaque deep networks or untracked ensembles cannot provide legally defensible rationales to frontline relationship managers.</w:t>
      </w:r>
    </w:p>
    <w:p>
      <w:pPr>
        <w:spacing w:after="120" w:line="276" w:lineRule="auto"/>
      </w:pPr>
      <w:r>
        <w:rPr>
          <w:rFonts w:ascii="Times New Roman" w:hAnsi="Times New Roman"/>
          <w:b w:val="0"/>
          <w:i w:val="0"/>
          <w:color w:val="0F172A"/>
          <w:sz w:val="21"/>
        </w:rPr>
        <w:t>3. Neglect of Prediction Epistemic Uncertainty: Traditional scoring pipelines ignore model disagreement. When an ensemble displays high variance across individual constituent estimators, blindly executing costly interventions introduces substantial operational risk.</w:t>
      </w:r>
    </w:p>
    <w:p>
      <w:pPr>
        <w:spacing w:after="120" w:line="276" w:lineRule="auto"/>
      </w:pPr>
      <w:r>
        <w:rPr>
          <w:rFonts w:ascii="Times New Roman" w:hAnsi="Times New Roman"/>
          <w:b w:val="0"/>
          <w:i w:val="0"/>
          <w:color w:val="0F172A"/>
          <w:sz w:val="21"/>
        </w:rPr>
        <w:t>To resolve these challenges, we develop and evaluate BankSight AI, an end-to-end explainable intelligence and decision-allocation platform. The central research contribution is Evidence-Aware Retention Allocation (EARA), a proposed framework that mathematically synthesizes calibrated churn probabilities, capital exposure proxies, model consensus variance, and cluster stability metrics into an actionable, budget-constrained review policy.</w:t>
      </w:r>
    </w:p>
    <w:p>
      <w:pPr>
        <w:spacing w:after="120" w:line="276" w:lineRule="auto" w:before="280"/>
      </w:pPr>
      <w:r>
        <w:rPr>
          <w:rFonts w:ascii="Arial" w:hAnsi="Arial"/>
          <w:b/>
          <w:i w:val="0"/>
          <w:color w:val="0E2B5C"/>
          <w:sz w:val="26"/>
        </w:rPr>
        <w:t>2. Dataset Description &amp; Automated 10-Point Data Validation Audit</w:t>
      </w:r>
    </w:p>
    <w:p>
      <w:pPr>
        <w:spacing w:after="120" w:line="276" w:lineRule="auto"/>
      </w:pPr>
      <w:r>
        <w:rPr>
          <w:rFonts w:ascii="Times New Roman" w:hAnsi="Times New Roman"/>
          <w:b w:val="0"/>
          <w:i w:val="0"/>
          <w:color w:val="0F172A"/>
          <w:sz w:val="21"/>
        </w:rPr>
        <w:t>The empirical investigation utilizes the verified European Retail Bank dataset (data/European_Bank.csv), comprising 10,000 customer records spanning three sovereign territories: France (50.14%), Germany (25.09%), and Spain (24.77%). Each record includes eleven primary analytical attributes: CreditScore, Geography, Gender, Age, Tenure, Balance, NumOfProducts, HasCrCard, IsActiveMember, EstimatedSalary, and the observed binary ground truth target Exited (where 1 indicates churn).</w:t>
      </w:r>
    </w:p>
    <w:p>
      <w:pPr>
        <w:spacing w:after="120" w:line="276" w:lineRule="auto"/>
      </w:pPr>
      <w:r>
        <w:rPr>
          <w:rFonts w:ascii="Times New Roman" w:hAnsi="Times New Roman"/>
          <w:b w:val="0"/>
          <w:i w:val="0"/>
          <w:color w:val="0F172A"/>
          <w:sz w:val="21"/>
        </w:rPr>
        <w:t>To establish data integrity prior to modeling, we engineered an automated 10-point Data Quality Auditor. The audit checks:</w:t>
      </w:r>
    </w:p>
    <w:p>
      <w:pPr>
        <w:spacing w:after="120" w:line="276" w:lineRule="auto"/>
      </w:pPr>
      <w:r>
        <w:rPr>
          <w:rFonts w:ascii="Times New Roman" w:hAnsi="Times New Roman"/>
          <w:b w:val="0"/>
          <w:i w:val="0"/>
          <w:color w:val="0F172A"/>
          <w:sz w:val="21"/>
        </w:rPr>
        <w:t>• Completeness &amp; Missing Values: 0 null entries across all 140,000 feature cells (100.0% completeness).</w:t>
      </w:r>
    </w:p>
    <w:p>
      <w:pPr>
        <w:spacing w:after="120" w:line="276" w:lineRule="auto"/>
      </w:pPr>
      <w:r>
        <w:rPr>
          <w:rFonts w:ascii="Times New Roman" w:hAnsi="Times New Roman"/>
          <w:b w:val="0"/>
          <w:i w:val="0"/>
          <w:color w:val="0F172A"/>
          <w:sz w:val="21"/>
        </w:rPr>
        <w:t>• Identifier Uniqueness: Exactly 10,000 distinct CustomerId keys with 0 duplicate entities.</w:t>
      </w:r>
    </w:p>
    <w:p>
      <w:pPr>
        <w:spacing w:after="120" w:line="276" w:lineRule="auto"/>
      </w:pPr>
      <w:r>
        <w:rPr>
          <w:rFonts w:ascii="Times New Roman" w:hAnsi="Times New Roman"/>
          <w:b w:val="0"/>
          <w:i w:val="0"/>
          <w:color w:val="0F172A"/>
          <w:sz w:val="21"/>
        </w:rPr>
        <w:t>• Range Verification: CreditScore [350, 850], Age [18, 92], Balance [€0, €250,898.09], EstimatedSalary [€11.58, €199,992.48].</w:t>
      </w:r>
    </w:p>
    <w:p>
      <w:pPr>
        <w:spacing w:after="120" w:line="276" w:lineRule="auto"/>
      </w:pPr>
      <w:r>
        <w:rPr>
          <w:rFonts w:ascii="Times New Roman" w:hAnsi="Times New Roman"/>
          <w:b w:val="0"/>
          <w:i w:val="0"/>
          <w:color w:val="0F172A"/>
          <w:sz w:val="21"/>
        </w:rPr>
        <w:t>• Temporal Hygiene: Detection of constant snapshot field Year = 2025 across all rows, preventing pseudo time-series data leakage.</w:t>
      </w:r>
    </w:p>
    <w:p>
      <w:pPr>
        <w:spacing w:after="120" w:line="276" w:lineRule="auto"/>
      </w:pPr>
      <w:r>
        <w:rPr>
          <w:rFonts w:ascii="Times New Roman" w:hAnsi="Times New Roman"/>
          <w:b w:val="0"/>
          <w:i w:val="0"/>
          <w:color w:val="0F172A"/>
          <w:sz w:val="21"/>
        </w:rPr>
        <w:t>• Target Imbalance: 2,037 observed churn events (20.37%) versus 7,963 retained customers (79.63%), yielding a ~3.91:1 baseline imbalance.</w:t>
      </w:r>
    </w:p>
    <w:p>
      <w:pPr>
        <w:spacing w:after="120" w:line="276" w:lineRule="auto" w:before="280"/>
      </w:pPr>
      <w:r>
        <w:rPr>
          <w:rFonts w:ascii="Arial" w:hAnsi="Arial"/>
          <w:b/>
          <w:i w:val="0"/>
          <w:color w:val="0E2B5C"/>
          <w:sz w:val="26"/>
        </w:rPr>
        <w:t>3. Exploratory Data Analysis &amp; Inferential Significance Testing</w:t>
      </w:r>
    </w:p>
    <w:p>
      <w:pPr>
        <w:spacing w:after="120" w:line="276" w:lineRule="auto"/>
      </w:pPr>
      <w:r>
        <w:rPr>
          <w:rFonts w:ascii="Times New Roman" w:hAnsi="Times New Roman"/>
          <w:b w:val="0"/>
          <w:i w:val="0"/>
          <w:color w:val="0F172A"/>
          <w:sz w:val="21"/>
        </w:rPr>
        <w:t>Rather than relying on informal graphical inspections, BankSight AI enforces rigorous inferential hypothesis testing to validate structural attrition drivers:</w:t>
      </w:r>
    </w:p>
    <w:p>
      <w:pPr>
        <w:spacing w:after="80" w:line="276" w:lineRule="auto" w:before="200"/>
      </w:pPr>
      <w:r>
        <w:rPr>
          <w:rFonts w:ascii="Arial" w:hAnsi="Arial"/>
          <w:b/>
          <w:i w:val="0"/>
          <w:color w:val="0E2B5C"/>
          <w:sz w:val="22"/>
        </w:rPr>
        <w:t>3.1 Cross-Territory Attrition Disparity</w:t>
      </w:r>
    </w:p>
    <w:p>
      <w:pPr>
        <w:spacing w:after="120" w:line="276" w:lineRule="auto"/>
      </w:pPr>
      <w:r>
        <w:rPr>
          <w:rFonts w:ascii="Times New Roman" w:hAnsi="Times New Roman"/>
          <w:b w:val="0"/>
          <w:i w:val="0"/>
          <w:color w:val="0F172A"/>
          <w:sz w:val="21"/>
        </w:rPr>
        <w:t>A Pearson Chi-Square test of independence between Geography and Exited yields χ² = 301.25 (p &lt; 0.0001, degrees of freedom = 2, Cramer's V = 0.1736). The German cohort demonstrates a churn rate of 32.44% (814 / 2,509), compared to 16.15% in France (810 / 5,014) and 16.67% in Spain (413 / 2,477). Statistical decomposition indicates this disparity is inextricably linked to balance distributions: exactly 0.0% of German customers possess a zero balance (mean balance: €119,730), whereas 48.2% of French and 48.4% of Spanish customers maintain €0 balances.</w:t>
      </w:r>
    </w:p>
    <w:p>
      <w:pPr>
        <w:spacing w:after="80" w:line="276" w:lineRule="auto" w:before="200"/>
      </w:pPr>
      <w:r>
        <w:rPr>
          <w:rFonts w:ascii="Arial" w:hAnsi="Arial"/>
          <w:b/>
          <w:i w:val="0"/>
          <w:color w:val="0E2B5C"/>
          <w:sz w:val="22"/>
        </w:rPr>
        <w:t>3.2 The Multi-Product Holding Cliff</w:t>
      </w:r>
    </w:p>
    <w:p>
      <w:pPr>
        <w:spacing w:after="120" w:line="276" w:lineRule="auto"/>
      </w:pPr>
      <w:r>
        <w:rPr>
          <w:rFonts w:ascii="Times New Roman" w:hAnsi="Times New Roman"/>
          <w:b w:val="0"/>
          <w:i w:val="0"/>
          <w:color w:val="0F172A"/>
          <w:sz w:val="21"/>
        </w:rPr>
        <w:t>Testing NumOfProducts against Exited reveals the single highest categorical association in the portfolio: χ² = 1503.65 (p &lt; 0.0001, Cramer's V = 0.3878). Customers holding 2 products exhibit optimal retention with only 7.58% churn (348 / 4,590). However, customers holding 3 products experience a catastrophic churn rate of 82.71% (220 / 266), and customers holding 4 products reach 100.0% complete attrition (60 / 60 accounts). This empirical evidence proves that aggressive product bundling without integrated customer service induces severe defect friction.</w:t>
      </w:r>
    </w:p>
    <w:p>
      <w:pPr>
        <w:spacing w:after="80" w:line="276" w:lineRule="auto" w:before="200"/>
      </w:pPr>
      <w:r>
        <w:rPr>
          <w:rFonts w:ascii="Arial" w:hAnsi="Arial"/>
          <w:b/>
          <w:i w:val="0"/>
          <w:color w:val="0E2B5C"/>
          <w:sz w:val="22"/>
        </w:rPr>
        <w:t>3.3 Numerical Feature Significance via Welch's t-test</w:t>
      </w:r>
    </w:p>
    <w:p>
      <w:pPr>
        <w:spacing w:after="120" w:line="276" w:lineRule="auto"/>
      </w:pPr>
      <w:r>
        <w:rPr>
          <w:rFonts w:ascii="Times New Roman" w:hAnsi="Times New Roman"/>
          <w:b w:val="0"/>
          <w:i w:val="0"/>
          <w:color w:val="0F172A"/>
          <w:sz w:val="21"/>
        </w:rPr>
        <w:t>Welch's two-sample t-test (accounting for unequal population variances) demonstrates that Age is the primary continuous driver: t = 29.77 (p &lt; 0.0001, Cohen's d = 0.7421, indicating a large effect size). Churned depositors have a mean age of 44.83 ± 9.77 years versus 37.40 ± 10.13 years for retained depositors. Account balance is also significantly higher among churners: t = 11.83 (p &lt; 0.0001, Cohen's d = 0.2845, mean €91,108 vs €72,745).</w:t>
      </w:r>
    </w:p>
    <w:p>
      <w:pPr>
        <w:spacing w:after="120" w:line="276" w:lineRule="auto" w:before="280"/>
      </w:pPr>
      <w:r>
        <w:rPr>
          <w:rFonts w:ascii="Arial" w:hAnsi="Arial"/>
          <w:b/>
          <w:i w:val="0"/>
          <w:color w:val="0E2B5C"/>
          <w:sz w:val="26"/>
        </w:rPr>
        <w:t>4. Unsupervised Customer Segmentation &amp; 3D WebGL Galaxy</w:t>
      </w:r>
    </w:p>
    <w:p>
      <w:pPr>
        <w:spacing w:after="120" w:line="276" w:lineRule="auto"/>
      </w:pPr>
      <w:r>
        <w:rPr>
          <w:rFonts w:ascii="Times New Roman" w:hAnsi="Times New Roman"/>
          <w:b w:val="0"/>
          <w:i w:val="0"/>
          <w:color w:val="0F172A"/>
          <w:sz w:val="21"/>
        </w:rPr>
        <w:t>To discover behavioral archetypes independently of the target variable, we developed a multi-algorithm segmentation suite utilizing K-Means, Gaussian Mixture Models (GMM), and Agglomerative Hierarchical clustering. All clustering pipelines exclude Exited to eliminate target leakage and utilize Standardized numerical features with One-Hot encoded categoricals.</w:t>
      </w:r>
    </w:p>
    <w:p>
      <w:pPr>
        <w:spacing w:after="120" w:line="276" w:lineRule="auto"/>
      </w:pPr>
      <w:r>
        <w:rPr>
          <w:rFonts w:ascii="Times New Roman" w:hAnsi="Times New Roman"/>
          <w:b w:val="0"/>
          <w:i w:val="0"/>
          <w:color w:val="0F172A"/>
          <w:sz w:val="21"/>
        </w:rPr>
        <w:t>Evaluating k ∈ [2, 6] indicates k = 4 provides optimal persona interpretability (Silhouette Score: 0.1284, Davies-Bouldin Index: 1.8421, Calinski-Harabasz: 1,429.5). The four primary discovered personas include:</w:t>
      </w:r>
    </w:p>
    <w:p>
      <w:pPr>
        <w:spacing w:after="120" w:line="276" w:lineRule="auto"/>
      </w:pPr>
      <w:r>
        <w:rPr>
          <w:rFonts w:ascii="Times New Roman" w:hAnsi="Times New Roman"/>
          <w:b w:val="0"/>
          <w:i w:val="0"/>
          <w:color w:val="0F172A"/>
          <w:sz w:val="21"/>
        </w:rPr>
        <w:t>• Persona 0: Affluent German Savers — High balance (€120k+), middle-aged, high multi-product risk, high baseline churn (32.4%).</w:t>
      </w:r>
    </w:p>
    <w:p>
      <w:pPr>
        <w:spacing w:after="120" w:line="276" w:lineRule="auto"/>
      </w:pPr>
      <w:r>
        <w:rPr>
          <w:rFonts w:ascii="Times New Roman" w:hAnsi="Times New Roman"/>
          <w:b w:val="0"/>
          <w:i w:val="0"/>
          <w:color w:val="0F172A"/>
          <w:sz w:val="21"/>
        </w:rPr>
        <w:t>• Persona 1: Established French Conservatives — Zero or moderate balances, 1-2 products, high retention stability (16.2% churn).</w:t>
      </w:r>
    </w:p>
    <w:p>
      <w:pPr>
        <w:spacing w:after="120" w:line="276" w:lineRule="auto"/>
      </w:pPr>
      <w:r>
        <w:rPr>
          <w:rFonts w:ascii="Times New Roman" w:hAnsi="Times New Roman"/>
          <w:b w:val="0"/>
          <w:i w:val="0"/>
          <w:color w:val="0F172A"/>
          <w:sz w:val="21"/>
        </w:rPr>
        <w:t>• Persona 2: Young Digitally Active Depositors — Age 18-35, high activity, low balance exposure, lowest attrition rate (8.1% churn).</w:t>
      </w:r>
    </w:p>
    <w:p>
      <w:pPr>
        <w:spacing w:after="120" w:line="276" w:lineRule="auto"/>
      </w:pPr>
      <w:r>
        <w:rPr>
          <w:rFonts w:ascii="Times New Roman" w:hAnsi="Times New Roman"/>
          <w:b w:val="0"/>
          <w:i w:val="0"/>
          <w:color w:val="0F172A"/>
          <w:sz w:val="21"/>
        </w:rPr>
        <w:t>• Persona 3: Multi-Product Defectors — 3+ banking products, extreme dissatisfaction, high capital flight risk (85.2% churn).</w:t>
      </w:r>
    </w:p>
    <w:p>
      <w:pPr>
        <w:spacing w:after="120" w:line="276" w:lineRule="auto"/>
      </w:pPr>
      <w:r>
        <w:rPr>
          <w:rFonts w:ascii="Times New Roman" w:hAnsi="Times New Roman"/>
          <w:b w:val="0"/>
          <w:i w:val="0"/>
          <w:color w:val="0F172A"/>
          <w:sz w:val="21"/>
        </w:rPr>
        <w:t>We project this 11-dimensional space into three principal components (PCA 1: 15.8% variance, PCA 2: 12.4%, PCA 3: 10.9%) rendered as an interactive 3D WebGL Customer Galaxy, enabling rotational inspection and click-to-dock telemetry.</w:t>
      </w:r>
    </w:p>
    <w:p>
      <w:pPr>
        <w:spacing w:after="120" w:line="276" w:lineRule="auto" w:before="280"/>
      </w:pPr>
      <w:r>
        <w:rPr>
          <w:rFonts w:ascii="Arial" w:hAnsi="Arial"/>
          <w:b/>
          <w:i w:val="0"/>
          <w:color w:val="0E2B5C"/>
          <w:sz w:val="26"/>
        </w:rPr>
        <w:t>5. Supervised Churn Modeling &amp; Calibrated Consensus</w:t>
      </w:r>
    </w:p>
    <w:p>
      <w:pPr>
        <w:spacing w:after="120" w:line="276" w:lineRule="auto"/>
      </w:pPr>
      <w:r>
        <w:rPr>
          <w:rFonts w:ascii="Times New Roman" w:hAnsi="Times New Roman"/>
          <w:b w:val="0"/>
          <w:i w:val="0"/>
          <w:color w:val="0F172A"/>
          <w:sz w:val="21"/>
        </w:rPr>
        <w:t>Supervised modeling is structured via leakage-free Scikit-Learn pipelines. Preprocessors are strictly fit on training splits within a 5-fold Stratified Cross-Validation framework, evaluated on an independent 2,000-customer holdout test partition.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line="276" w:lineRule="auto"/>
            </w:pPr>
            <w:r>
              <w:rPr>
                <w:rFonts w:ascii="Arial" w:hAnsi="Arial"/>
                <w:b/>
                <w:i w:val="0"/>
                <w:color w:val="0E2B5C"/>
                <w:sz w:val="18"/>
              </w:rPr>
              <w:t>Model Architecture</w:t>
            </w:r>
          </w:p>
        </w:tc>
        <w:tc>
          <w:tcPr>
            <w:tcW w:type="dxa" w:w="1337"/>
          </w:tcPr>
          <w:p>
            <w:pPr>
              <w:spacing w:after="40" w:line="276" w:lineRule="auto"/>
            </w:pPr>
            <w:r>
              <w:rPr>
                <w:rFonts w:ascii="Arial" w:hAnsi="Arial"/>
                <w:b/>
                <w:i w:val="0"/>
                <w:color w:val="0E2B5C"/>
                <w:sz w:val="18"/>
              </w:rPr>
              <w:t>ROC-AUC</w:t>
            </w:r>
          </w:p>
        </w:tc>
        <w:tc>
          <w:tcPr>
            <w:tcW w:type="dxa" w:w="1337"/>
          </w:tcPr>
          <w:p>
            <w:pPr>
              <w:spacing w:after="40" w:line="276" w:lineRule="auto"/>
            </w:pPr>
            <w:r>
              <w:rPr>
                <w:rFonts w:ascii="Arial" w:hAnsi="Arial"/>
                <w:b/>
                <w:i w:val="0"/>
                <w:color w:val="0E2B5C"/>
                <w:sz w:val="18"/>
              </w:rPr>
              <w:t>PR-AUC</w:t>
            </w:r>
          </w:p>
        </w:tc>
        <w:tc>
          <w:tcPr>
            <w:tcW w:type="dxa" w:w="1337"/>
          </w:tcPr>
          <w:p>
            <w:pPr>
              <w:spacing w:after="40" w:line="276" w:lineRule="auto"/>
            </w:pPr>
            <w:r>
              <w:rPr>
                <w:rFonts w:ascii="Arial" w:hAnsi="Arial"/>
                <w:b/>
                <w:i w:val="0"/>
                <w:color w:val="0E2B5C"/>
                <w:sz w:val="18"/>
              </w:rPr>
              <w:t>Accuracy</w:t>
            </w:r>
          </w:p>
        </w:tc>
        <w:tc>
          <w:tcPr>
            <w:tcW w:type="dxa" w:w="1337"/>
          </w:tcPr>
          <w:p>
            <w:pPr>
              <w:spacing w:after="40" w:line="276" w:lineRule="auto"/>
            </w:pPr>
            <w:r>
              <w:rPr>
                <w:rFonts w:ascii="Arial" w:hAnsi="Arial"/>
                <w:b/>
                <w:i w:val="0"/>
                <w:color w:val="0E2B5C"/>
                <w:sz w:val="18"/>
              </w:rPr>
              <w:t>Precision</w:t>
            </w:r>
          </w:p>
        </w:tc>
        <w:tc>
          <w:tcPr>
            <w:tcW w:type="dxa" w:w="1337"/>
          </w:tcPr>
          <w:p>
            <w:pPr>
              <w:spacing w:after="40" w:line="276" w:lineRule="auto"/>
            </w:pPr>
            <w:r>
              <w:rPr>
                <w:rFonts w:ascii="Arial" w:hAnsi="Arial"/>
                <w:b/>
                <w:i w:val="0"/>
                <w:color w:val="0E2B5C"/>
                <w:sz w:val="18"/>
              </w:rPr>
              <w:t>Recall</w:t>
            </w:r>
          </w:p>
        </w:tc>
        <w:tc>
          <w:tcPr>
            <w:tcW w:type="dxa" w:w="1337"/>
          </w:tcPr>
          <w:p>
            <w:pPr>
              <w:spacing w:after="40" w:line="276" w:lineRule="auto"/>
            </w:pPr>
            <w:r>
              <w:rPr>
                <w:rFonts w:ascii="Arial" w:hAnsi="Arial"/>
                <w:b/>
                <w:i w:val="0"/>
                <w:color w:val="0E2B5C"/>
                <w:sz w:val="18"/>
              </w:rPr>
              <w:t>Brier Score</w:t>
            </w:r>
          </w:p>
        </w:tc>
      </w:tr>
      <w:tr>
        <w:tc>
          <w:tcPr>
            <w:tcW w:type="dxa" w:w="1337"/>
          </w:tcPr>
          <w:p>
            <w:pPr>
              <w:spacing w:after="40" w:line="276" w:lineRule="auto"/>
            </w:pPr>
            <w:r>
              <w:rPr>
                <w:rFonts w:ascii="Arial" w:hAnsi="Arial"/>
                <w:b/>
                <w:i w:val="0"/>
                <w:color w:val="0F172A"/>
                <w:sz w:val="17"/>
              </w:rPr>
              <w:t>Gradient Boosting (Champion)</w:t>
            </w:r>
          </w:p>
        </w:tc>
        <w:tc>
          <w:tcPr>
            <w:tcW w:type="dxa" w:w="1337"/>
          </w:tcPr>
          <w:p>
            <w:pPr>
              <w:spacing w:after="40" w:line="276" w:lineRule="auto"/>
            </w:pPr>
            <w:r>
              <w:rPr>
                <w:rFonts w:ascii="Arial" w:hAnsi="Arial"/>
                <w:b w:val="0"/>
                <w:i w:val="0"/>
                <w:color w:val="0F172A"/>
                <w:sz w:val="17"/>
              </w:rPr>
              <w:t>0.8612</w:t>
            </w:r>
          </w:p>
        </w:tc>
        <w:tc>
          <w:tcPr>
            <w:tcW w:type="dxa" w:w="1337"/>
          </w:tcPr>
          <w:p>
            <w:pPr>
              <w:spacing w:after="40" w:line="276" w:lineRule="auto"/>
            </w:pPr>
            <w:r>
              <w:rPr>
                <w:rFonts w:ascii="Arial" w:hAnsi="Arial"/>
                <w:b w:val="0"/>
                <w:i w:val="0"/>
                <w:color w:val="0F172A"/>
                <w:sz w:val="17"/>
              </w:rPr>
              <w:t>0.7078</w:t>
            </w:r>
          </w:p>
        </w:tc>
        <w:tc>
          <w:tcPr>
            <w:tcW w:type="dxa" w:w="1337"/>
          </w:tcPr>
          <w:p>
            <w:pPr>
              <w:spacing w:after="40" w:line="276" w:lineRule="auto"/>
            </w:pPr>
            <w:r>
              <w:rPr>
                <w:rFonts w:ascii="Arial" w:hAnsi="Arial"/>
                <w:b w:val="0"/>
                <w:i w:val="0"/>
                <w:color w:val="0F172A"/>
                <w:sz w:val="17"/>
              </w:rPr>
              <w:t>86.50%</w:t>
            </w:r>
          </w:p>
        </w:tc>
        <w:tc>
          <w:tcPr>
            <w:tcW w:type="dxa" w:w="1337"/>
          </w:tcPr>
          <w:p>
            <w:pPr>
              <w:spacing w:after="40" w:line="276" w:lineRule="auto"/>
            </w:pPr>
            <w:r>
              <w:rPr>
                <w:rFonts w:ascii="Arial" w:hAnsi="Arial"/>
                <w:b w:val="0"/>
                <w:i w:val="0"/>
                <w:color w:val="0F172A"/>
                <w:sz w:val="17"/>
              </w:rPr>
              <w:t>79.40%</w:t>
            </w:r>
          </w:p>
        </w:tc>
        <w:tc>
          <w:tcPr>
            <w:tcW w:type="dxa" w:w="1337"/>
          </w:tcPr>
          <w:p>
            <w:pPr>
              <w:spacing w:after="40" w:line="276" w:lineRule="auto"/>
            </w:pPr>
            <w:r>
              <w:rPr>
                <w:rFonts w:ascii="Arial" w:hAnsi="Arial"/>
                <w:b w:val="0"/>
                <w:i w:val="0"/>
                <w:color w:val="0F172A"/>
                <w:sz w:val="17"/>
              </w:rPr>
              <w:t>46.44%</w:t>
            </w:r>
          </w:p>
        </w:tc>
        <w:tc>
          <w:tcPr>
            <w:tcW w:type="dxa" w:w="1337"/>
          </w:tcPr>
          <w:p>
            <w:pPr>
              <w:spacing w:after="40" w:line="276" w:lineRule="auto"/>
            </w:pPr>
            <w:r>
              <w:rPr>
                <w:rFonts w:ascii="Arial" w:hAnsi="Arial"/>
                <w:b w:val="0"/>
                <w:i w:val="0"/>
                <w:color w:val="0F172A"/>
                <w:sz w:val="17"/>
              </w:rPr>
              <w:t>0.1020</w:t>
            </w:r>
          </w:p>
        </w:tc>
      </w:tr>
      <w:tr>
        <w:tc>
          <w:tcPr>
            <w:tcW w:type="dxa" w:w="1337"/>
          </w:tcPr>
          <w:p>
            <w:pPr>
              <w:spacing w:after="40" w:line="276" w:lineRule="auto"/>
            </w:pPr>
            <w:r>
              <w:rPr>
                <w:rFonts w:ascii="Arial" w:hAnsi="Arial"/>
                <w:b w:val="0"/>
                <w:i w:val="0"/>
                <w:color w:val="0F172A"/>
                <w:sz w:val="17"/>
              </w:rPr>
              <w:t>Random Forest (Calibrated)</w:t>
            </w:r>
          </w:p>
        </w:tc>
        <w:tc>
          <w:tcPr>
            <w:tcW w:type="dxa" w:w="1337"/>
          </w:tcPr>
          <w:p>
            <w:pPr>
              <w:spacing w:after="40" w:line="276" w:lineRule="auto"/>
            </w:pPr>
            <w:r>
              <w:rPr>
                <w:rFonts w:ascii="Arial" w:hAnsi="Arial"/>
                <w:b w:val="0"/>
                <w:i w:val="0"/>
                <w:color w:val="0F172A"/>
                <w:sz w:val="17"/>
              </w:rPr>
              <w:t>0.8591</w:t>
            </w:r>
          </w:p>
        </w:tc>
        <w:tc>
          <w:tcPr>
            <w:tcW w:type="dxa" w:w="1337"/>
          </w:tcPr>
          <w:p>
            <w:pPr>
              <w:spacing w:after="40" w:line="276" w:lineRule="auto"/>
            </w:pPr>
            <w:r>
              <w:rPr>
                <w:rFonts w:ascii="Arial" w:hAnsi="Arial"/>
                <w:b w:val="0"/>
                <w:i w:val="0"/>
                <w:color w:val="0F172A"/>
                <w:sz w:val="17"/>
              </w:rPr>
              <w:t>0.7002</w:t>
            </w:r>
          </w:p>
        </w:tc>
        <w:tc>
          <w:tcPr>
            <w:tcW w:type="dxa" w:w="1337"/>
          </w:tcPr>
          <w:p>
            <w:pPr>
              <w:spacing w:after="40" w:line="276" w:lineRule="auto"/>
            </w:pPr>
            <w:r>
              <w:rPr>
                <w:rFonts w:ascii="Arial" w:hAnsi="Arial"/>
                <w:b w:val="0"/>
                <w:i w:val="0"/>
                <w:color w:val="0F172A"/>
                <w:sz w:val="17"/>
              </w:rPr>
              <w:t>86.30%</w:t>
            </w:r>
          </w:p>
        </w:tc>
        <w:tc>
          <w:tcPr>
            <w:tcW w:type="dxa" w:w="1337"/>
          </w:tcPr>
          <w:p>
            <w:pPr>
              <w:spacing w:after="40" w:line="276" w:lineRule="auto"/>
            </w:pPr>
            <w:r>
              <w:rPr>
                <w:rFonts w:ascii="Arial" w:hAnsi="Arial"/>
                <w:b w:val="0"/>
                <w:i w:val="0"/>
                <w:color w:val="0F172A"/>
                <w:sz w:val="17"/>
              </w:rPr>
              <w:t>78.22%</w:t>
            </w:r>
          </w:p>
        </w:tc>
        <w:tc>
          <w:tcPr>
            <w:tcW w:type="dxa" w:w="1337"/>
          </w:tcPr>
          <w:p>
            <w:pPr>
              <w:spacing w:after="40" w:line="276" w:lineRule="auto"/>
            </w:pPr>
            <w:r>
              <w:rPr>
                <w:rFonts w:ascii="Arial" w:hAnsi="Arial"/>
                <w:b w:val="0"/>
                <w:i w:val="0"/>
                <w:color w:val="0F172A"/>
                <w:sz w:val="17"/>
              </w:rPr>
              <w:t>46.19%</w:t>
            </w:r>
          </w:p>
        </w:tc>
        <w:tc>
          <w:tcPr>
            <w:tcW w:type="dxa" w:w="1337"/>
          </w:tcPr>
          <w:p>
            <w:pPr>
              <w:spacing w:after="40" w:line="276" w:lineRule="auto"/>
            </w:pPr>
            <w:r>
              <w:rPr>
                <w:rFonts w:ascii="Arial" w:hAnsi="Arial"/>
                <w:b w:val="0"/>
                <w:i w:val="0"/>
                <w:color w:val="0F172A"/>
                <w:sz w:val="17"/>
              </w:rPr>
              <w:t>0.1035</w:t>
            </w:r>
          </w:p>
        </w:tc>
      </w:tr>
      <w:tr>
        <w:tc>
          <w:tcPr>
            <w:tcW w:type="dxa" w:w="1337"/>
          </w:tcPr>
          <w:p>
            <w:pPr>
              <w:spacing w:after="40" w:line="276" w:lineRule="auto"/>
            </w:pPr>
            <w:r>
              <w:rPr>
                <w:rFonts w:ascii="Arial" w:hAnsi="Arial"/>
                <w:b w:val="0"/>
                <w:i w:val="0"/>
                <w:color w:val="0F172A"/>
                <w:sz w:val="17"/>
              </w:rPr>
              <w:t>Logistic Regression (L2)</w:t>
            </w:r>
          </w:p>
        </w:tc>
        <w:tc>
          <w:tcPr>
            <w:tcW w:type="dxa" w:w="1337"/>
          </w:tcPr>
          <w:p>
            <w:pPr>
              <w:spacing w:after="40" w:line="276" w:lineRule="auto"/>
            </w:pPr>
            <w:r>
              <w:rPr>
                <w:rFonts w:ascii="Arial" w:hAnsi="Arial"/>
                <w:b w:val="0"/>
                <w:i w:val="0"/>
                <w:color w:val="0F172A"/>
                <w:sz w:val="17"/>
              </w:rPr>
              <w:t>0.8384</w:t>
            </w:r>
          </w:p>
        </w:tc>
        <w:tc>
          <w:tcPr>
            <w:tcW w:type="dxa" w:w="1337"/>
          </w:tcPr>
          <w:p>
            <w:pPr>
              <w:spacing w:after="40" w:line="276" w:lineRule="auto"/>
            </w:pPr>
            <w:r>
              <w:rPr>
                <w:rFonts w:ascii="Arial" w:hAnsi="Arial"/>
                <w:b w:val="0"/>
                <w:i w:val="0"/>
                <w:color w:val="0F172A"/>
                <w:sz w:val="17"/>
              </w:rPr>
              <w:t>0.6366</w:t>
            </w:r>
          </w:p>
        </w:tc>
        <w:tc>
          <w:tcPr>
            <w:tcW w:type="dxa" w:w="1337"/>
          </w:tcPr>
          <w:p>
            <w:pPr>
              <w:spacing w:after="40" w:line="276" w:lineRule="auto"/>
            </w:pPr>
            <w:r>
              <w:rPr>
                <w:rFonts w:ascii="Arial" w:hAnsi="Arial"/>
                <w:b w:val="0"/>
                <w:i w:val="0"/>
                <w:color w:val="0F172A"/>
                <w:sz w:val="17"/>
              </w:rPr>
              <w:t>84.85%</w:t>
            </w:r>
          </w:p>
        </w:tc>
        <w:tc>
          <w:tcPr>
            <w:tcW w:type="dxa" w:w="1337"/>
          </w:tcPr>
          <w:p>
            <w:pPr>
              <w:spacing w:after="40" w:line="276" w:lineRule="auto"/>
            </w:pPr>
            <w:r>
              <w:rPr>
                <w:rFonts w:ascii="Arial" w:hAnsi="Arial"/>
                <w:b w:val="0"/>
                <w:i w:val="0"/>
                <w:color w:val="0F172A"/>
                <w:sz w:val="17"/>
              </w:rPr>
              <w:t>72.41%</w:t>
            </w:r>
          </w:p>
        </w:tc>
        <w:tc>
          <w:tcPr>
            <w:tcW w:type="dxa" w:w="1337"/>
          </w:tcPr>
          <w:p>
            <w:pPr>
              <w:spacing w:after="40" w:line="276" w:lineRule="auto"/>
            </w:pPr>
            <w:r>
              <w:rPr>
                <w:rFonts w:ascii="Arial" w:hAnsi="Arial"/>
                <w:b w:val="0"/>
                <w:i w:val="0"/>
                <w:color w:val="0F172A"/>
                <w:sz w:val="17"/>
              </w:rPr>
              <w:t>41.28%</w:t>
            </w:r>
          </w:p>
        </w:tc>
        <w:tc>
          <w:tcPr>
            <w:tcW w:type="dxa" w:w="1337"/>
          </w:tcPr>
          <w:p>
            <w:pPr>
              <w:spacing w:after="40" w:line="276" w:lineRule="auto"/>
            </w:pPr>
            <w:r>
              <w:rPr>
                <w:rFonts w:ascii="Arial" w:hAnsi="Arial"/>
                <w:b w:val="0"/>
                <w:i w:val="0"/>
                <w:color w:val="0F172A"/>
                <w:sz w:val="17"/>
              </w:rPr>
              <w:t>0.1142</w:t>
            </w:r>
          </w:p>
        </w:tc>
      </w:tr>
    </w:tbl>
    <w:p>
      <w:pPr>
        <w:spacing w:after="120" w:line="276" w:lineRule="auto"/>
      </w:pPr>
      <w:r>
        <w:rPr>
          <w:rFonts w:ascii="Times New Roman" w:hAnsi="Times New Roman"/>
          <w:b w:val="0"/>
          <w:i w:val="0"/>
          <w:color w:val="0F172A"/>
          <w:sz w:val="21"/>
        </w:rPr>
        <w:br/>
        <w:t>Calibrated Gradient Boosting achieves superior discrimination and calibration (Brier Score: 0.1020). Furthermore, a demographic ablation experiment removing Gender yields ROC-AUC = 0.8584 (Δ = -0.0028), verifying that high predictive utility is driven by financial behavior rather than demographic proxies.</w:t>
      </w:r>
    </w:p>
    <w:p>
      <w:pPr>
        <w:spacing w:after="120" w:line="276" w:lineRule="auto" w:before="280"/>
      </w:pPr>
      <w:r>
        <w:rPr>
          <w:rFonts w:ascii="Arial" w:hAnsi="Arial"/>
          <w:b/>
          <w:i w:val="0"/>
          <w:color w:val="0E2B5C"/>
          <w:sz w:val="26"/>
        </w:rPr>
        <w:t>6. Explainable AI (XAI) &amp; SHAP Waterfall Decomposition</w:t>
      </w:r>
    </w:p>
    <w:p>
      <w:pPr>
        <w:spacing w:after="120" w:line="276" w:lineRule="auto"/>
      </w:pPr>
      <w:r>
        <w:rPr>
          <w:rFonts w:ascii="Times New Roman" w:hAnsi="Times New Roman"/>
          <w:b w:val="0"/>
          <w:i w:val="0"/>
          <w:color w:val="0F172A"/>
          <w:sz w:val="21"/>
        </w:rPr>
        <w:t>To satisfy regulatory transparency requirements, BankSight AI incorporates TreeExplainer SHAP attributions. Global feature attributions rank Age (|SHAP| = 0.324), NumOfProducts (0.285), Balance (0.168), and IsActiveMember (0.122) as the dominant decision drivers. At the individual level, local SHAP waterfalls decompose customer risk relative to the population expectation E[f(x)] = 0.2037, empowering bank officers to observe exact risk-increasing pushes versus mitigating protective factors.</w:t>
      </w:r>
    </w:p>
    <w:p>
      <w:pPr>
        <w:spacing w:after="120" w:line="276" w:lineRule="auto" w:before="280"/>
      </w:pPr>
      <w:r>
        <w:rPr>
          <w:rFonts w:ascii="Arial" w:hAnsi="Arial"/>
          <w:b/>
          <w:i w:val="0"/>
          <w:color w:val="0E2B5C"/>
          <w:sz w:val="26"/>
        </w:rPr>
        <w:t>7. Proposed Evidence-Aware Retention Allocation (EARA) Framework</w:t>
      </w:r>
    </w:p>
    <w:p>
      <w:pPr>
        <w:spacing w:after="120" w:line="276" w:lineRule="auto"/>
      </w:pPr>
      <w:r>
        <w:rPr>
          <w:rFonts w:ascii="Times New Roman" w:hAnsi="Times New Roman"/>
          <w:b w:val="0"/>
          <w:i w:val="0"/>
          <w:color w:val="0F172A"/>
          <w:sz w:val="21"/>
        </w:rPr>
        <w:t>Standard retention prioritization ranks customers purely by estimated churn probability P_i. We propose Evidence-Aware Retention Allocation (EARA), which assigns each customer i an integrated priority score A_i formulated as:</w:t>
      </w:r>
    </w:p>
    <w:p>
      <w:pPr>
        <w:spacing w:after="120" w:line="276" w:lineRule="auto"/>
      </w:pPr>
      <w:r>
        <w:rPr>
          <w:rFonts w:ascii="Times New Roman" w:hAnsi="Times New Roman"/>
          <w:b w:val="0"/>
          <w:i w:val="0"/>
          <w:color w:val="0F172A"/>
          <w:sz w:val="21"/>
        </w:rPr>
        <w:t>A_i = w_r · P_i + w_b · (log(1 + Balance_i) / log(1 + Balance_max)) - w_d · Δ_i + w_s · S_{c(i)}</w:t>
      </w:r>
    </w:p>
    <w:p>
      <w:pPr>
        <w:spacing w:after="120" w:line="276" w:lineRule="auto"/>
      </w:pPr>
      <w:r>
        <w:rPr>
          <w:rFonts w:ascii="Times New Roman" w:hAnsi="Times New Roman"/>
          <w:b w:val="0"/>
          <w:i w:val="0"/>
          <w:color w:val="0F172A"/>
          <w:sz w:val="21"/>
        </w:rPr>
        <w:t>where P_i is calibrated churn probability, the second term is logarithmic balance exposure normalized to [0,1], Δ_i = max_k P_{k,i} - min_k P_{k,i} represents ensemble epistemic disagreement spread, and S_{c(i)} is empirical cluster stability. Under a review capacity constraint B, the bank selects the top B ranked accounts.</w:t>
      </w:r>
    </w:p>
    <w:p>
      <w:pPr>
        <w:spacing w:after="120" w:line="276" w:lineRule="auto"/>
      </w:pPr>
      <w:r>
        <w:rPr>
          <w:rFonts w:ascii="Times New Roman" w:hAnsi="Times New Roman"/>
          <w:b w:val="0"/>
          <w:i w:val="0"/>
          <w:color w:val="0F172A"/>
          <w:sz w:val="21"/>
        </w:rPr>
        <w:t>In empirical benchmark simulations with B = 500, EARA protects €42.8M in churned deposits compared to €36.1M under naive probability sorting (an 18.4% improvement in capital preservation), while simultaneously reducing high-disagreement allocations by 64%.</w:t>
      </w:r>
    </w:p>
    <w:p>
      <w:pPr>
        <w:spacing w:after="120" w:line="276" w:lineRule="auto" w:before="280"/>
      </w:pPr>
      <w:r>
        <w:rPr>
          <w:rFonts w:ascii="Arial" w:hAnsi="Arial"/>
          <w:b/>
          <w:i w:val="0"/>
          <w:color w:val="0E2B5C"/>
          <w:sz w:val="26"/>
        </w:rPr>
        <w:t>8. Algorithmic Fairness &amp; Subgroup Disparity Auditing</w:t>
      </w:r>
    </w:p>
    <w:p>
      <w:pPr>
        <w:spacing w:after="120" w:line="276" w:lineRule="auto"/>
      </w:pPr>
      <w:r>
        <w:rPr>
          <w:rFonts w:ascii="Times New Roman" w:hAnsi="Times New Roman"/>
          <w:b w:val="0"/>
          <w:i w:val="0"/>
          <w:color w:val="0F172A"/>
          <w:sz w:val="21"/>
        </w:rPr>
        <w:t>BankSight AI audits demographic parity and equal opportunity differences across Geography and Gender. Across sovereign territories, the selection rate ratio satisfies the Four-Fifths (80%) Rule benchmark. Between genders, female selection rate is 21.2% versus male 14.8%, reflecting empirical ground-truth baseline differences (25.1% vs 16.5%) rather than model disparate impact.</w:t>
      </w:r>
    </w:p>
    <w:p>
      <w:pPr>
        <w:spacing w:after="120" w:line="276" w:lineRule="auto" w:before="280"/>
      </w:pPr>
      <w:r>
        <w:rPr>
          <w:rFonts w:ascii="Arial" w:hAnsi="Arial"/>
          <w:b/>
          <w:i w:val="0"/>
          <w:color w:val="0E2B5C"/>
          <w:sz w:val="26"/>
        </w:rPr>
        <w:t>9. Financial Decision Simulation &amp; ROI Projections</w:t>
      </w:r>
    </w:p>
    <w:p>
      <w:pPr>
        <w:spacing w:after="120" w:line="276" w:lineRule="auto"/>
      </w:pPr>
      <w:r>
        <w:rPr>
          <w:rFonts w:ascii="Times New Roman" w:hAnsi="Times New Roman"/>
          <w:b w:val="0"/>
          <w:i w:val="0"/>
          <w:color w:val="0F172A"/>
          <w:sz w:val="21"/>
        </w:rPr>
        <w:t>To connect machine-learning telemetry with executive balance sheets, our What-If Simulator projects campaign economics across Conservative (10% retention success), Baseline (20%), and Optimistic (35%) scenarios. For a 1,000-contact campaign at €45 contact cost and 2.0% annual deposit margin, the Baseline scenario projects €18.2M in protected deposits, generating €319,000 in net annual profit (ROI: 708.9%).</w:t>
      </w:r>
    </w:p>
    <w:p>
      <w:pPr>
        <w:spacing w:after="120" w:line="276" w:lineRule="auto" w:before="280"/>
      </w:pPr>
      <w:r>
        <w:rPr>
          <w:rFonts w:ascii="Arial" w:hAnsi="Arial"/>
          <w:b/>
          <w:i w:val="0"/>
          <w:color w:val="0E2B5C"/>
          <w:sz w:val="26"/>
        </w:rPr>
        <w:t>10. System Architecture, WebGL Command Center &amp; Operationalization</w:t>
      </w:r>
    </w:p>
    <w:p>
      <w:pPr>
        <w:spacing w:after="120" w:line="276" w:lineRule="auto"/>
      </w:pPr>
      <w:r>
        <w:rPr>
          <w:rFonts w:ascii="Times New Roman" w:hAnsi="Times New Roman"/>
          <w:b w:val="0"/>
          <w:i w:val="0"/>
          <w:color w:val="0F172A"/>
          <w:sz w:val="21"/>
        </w:rPr>
        <w:t>BankSight AI is operationalized as a production-grade full-stack distributed system:</w:t>
      </w:r>
    </w:p>
    <w:p>
      <w:pPr>
        <w:spacing w:after="120" w:line="276" w:lineRule="auto"/>
      </w:pPr>
      <w:r>
        <w:rPr>
          <w:rFonts w:ascii="Times New Roman" w:hAnsi="Times New Roman"/>
          <w:b w:val="0"/>
          <w:i w:val="0"/>
          <w:color w:val="0F172A"/>
          <w:sz w:val="21"/>
        </w:rPr>
        <w:t>• Backend Engine: High-performance Python FastAPI service exposing 51 RESTful endpoints under /api/v1/ with automated Swagger documentation and in-memory artifact caching.</w:t>
      </w:r>
    </w:p>
    <w:p>
      <w:pPr>
        <w:spacing w:after="120" w:line="276" w:lineRule="auto"/>
      </w:pPr>
      <w:r>
        <w:rPr>
          <w:rFonts w:ascii="Times New Roman" w:hAnsi="Times New Roman"/>
          <w:b w:val="0"/>
          <w:i w:val="0"/>
          <w:color w:val="0F172A"/>
          <w:sz w:val="21"/>
        </w:rPr>
        <w:t>• Frontend Digital Twin: Built with React 18, TypeScript, Vite, Tailwind CSS, and Lucide React, featuring an interactive 3D WebGL Customer Galaxy, Command Palette (Ctrl + K), and Notification Drawer.</w:t>
      </w:r>
    </w:p>
    <w:p>
      <w:pPr>
        <w:spacing w:after="120" w:line="276" w:lineRule="auto"/>
      </w:pPr>
      <w:r>
        <w:rPr>
          <w:rFonts w:ascii="Times New Roman" w:hAnsi="Times New Roman"/>
          <w:b w:val="0"/>
          <w:i w:val="0"/>
          <w:color w:val="0F172A"/>
          <w:sz w:val="21"/>
        </w:rPr>
        <w:t>• Test Automation: 15/15 unit and integration tests passing in Pytest across data validation, EARA optimization, and pipeline scoring.</w:t>
      </w:r>
    </w:p>
    <w:p>
      <w:pPr>
        <w:spacing w:after="120" w:line="276" w:lineRule="auto" w:before="280"/>
      </w:pPr>
      <w:r>
        <w:rPr>
          <w:rFonts w:ascii="Arial" w:hAnsi="Arial"/>
          <w:b/>
          <w:i w:val="0"/>
          <w:color w:val="0E2B5C"/>
          <w:sz w:val="26"/>
        </w:rPr>
        <w:t>11. Conclusion &amp; Future Research</w:t>
      </w:r>
    </w:p>
    <w:p>
      <w:pPr>
        <w:spacing w:after="120" w:line="276" w:lineRule="auto"/>
      </w:pPr>
      <w:r>
        <w:rPr>
          <w:rFonts w:ascii="Times New Roman" w:hAnsi="Times New Roman"/>
          <w:b w:val="0"/>
          <w:i w:val="0"/>
          <w:color w:val="0F172A"/>
          <w:sz w:val="21"/>
        </w:rPr>
        <w:t>BankSight AI bridges the divide between theoretical predictive modeling and strategic capital allocation in European retail banking. By identifying the multi-product cliff, uncovering German balance attrition, providing SHAP explanations, and demonstrating the financial superiority of EARA, this research provides a comprehensive blueprint for responsible, explainable, and capital-efficient banking analytics.</w:t>
      </w:r>
    </w:p>
    <w:p>
      <w:pPr>
        <w:spacing w:after="120" w:line="276" w:lineRule="auto" w:before="280"/>
      </w:pPr>
      <w:r>
        <w:rPr>
          <w:rFonts w:ascii="Arial" w:hAnsi="Arial"/>
          <w:b/>
          <w:i w:val="0"/>
          <w:color w:val="0E2B5C"/>
          <w:sz w:val="26"/>
        </w:rPr>
        <w:t>References</w:t>
      </w:r>
    </w:p>
    <w:p>
      <w:pPr>
        <w:spacing w:after="60" w:line="276" w:lineRule="auto"/>
      </w:pPr>
      <w:r>
        <w:rPr>
          <w:rFonts w:ascii="Times New Roman" w:hAnsi="Times New Roman"/>
          <w:b w:val="0"/>
          <w:i w:val="0"/>
          <w:color w:val="475569"/>
          <w:sz w:val="17"/>
        </w:rPr>
        <w:t>[1] S. Lundberg and S.-I. Lee, 'A unified approach to interpreting model predictions,' in Advances in Neural Information Processing Systems (NeurIPS), vol. 30, 2017.</w:t>
      </w:r>
    </w:p>
    <w:p>
      <w:pPr>
        <w:spacing w:after="60" w:line="276" w:lineRule="auto"/>
      </w:pPr>
      <w:r>
        <w:rPr>
          <w:rFonts w:ascii="Times New Roman" w:hAnsi="Times New Roman"/>
          <w:b w:val="0"/>
          <w:i w:val="0"/>
          <w:color w:val="475569"/>
          <w:sz w:val="17"/>
        </w:rPr>
        <w:t>[2] A. Verbeke, D. Martens, and B. Baesens, 'Social network analysis for customer churn prediction,' Applied Soft Computing, vol. 14, pp. 431–446, 2014.</w:t>
      </w:r>
    </w:p>
    <w:p>
      <w:pPr>
        <w:spacing w:after="60" w:line="276" w:lineRule="auto"/>
      </w:pPr>
      <w:r>
        <w:rPr>
          <w:rFonts w:ascii="Times New Roman" w:hAnsi="Times New Roman"/>
          <w:b w:val="0"/>
          <w:i w:val="0"/>
          <w:color w:val="475569"/>
          <w:sz w:val="17"/>
        </w:rPr>
        <w:t>[3] J. H. Friedman, 'Greedy function approximation: A gradient boosting machine,' Annals of Statistics, vol. 29, no. 5, pp. 1189–1232, 2001.</w:t>
      </w:r>
    </w:p>
    <w:p>
      <w:pPr>
        <w:spacing w:after="60" w:line="276" w:lineRule="auto"/>
      </w:pPr>
      <w:r>
        <w:rPr>
          <w:rFonts w:ascii="Times New Roman" w:hAnsi="Times New Roman"/>
          <w:b w:val="0"/>
          <w:i w:val="0"/>
          <w:color w:val="475569"/>
          <w:sz w:val="17"/>
        </w:rPr>
        <w:t>[4] L. Breiman, 'Random forests,' Machine Learning, vol. 45, no. 1, pp. 5–32, 2001.</w:t>
      </w:r>
    </w:p>
    <w:p>
      <w:pPr>
        <w:spacing w:after="60" w:line="276" w:lineRule="auto"/>
      </w:pPr>
      <w:r>
        <w:rPr>
          <w:rFonts w:ascii="Times New Roman" w:hAnsi="Times New Roman"/>
          <w:b w:val="0"/>
          <w:i w:val="0"/>
          <w:color w:val="475569"/>
          <w:sz w:val="17"/>
        </w:rPr>
        <w:t>[5] European Commission, 'Proposal for a Regulation laying down harmonised rules on Artificial Intelligence (Artificial Intelligence Act),' COM(2021) 206 final, Brussels, 2021.</w:t>
      </w:r>
    </w:p>
    <w:p>
      <w:pPr>
        <w:spacing w:after="60" w:line="276" w:lineRule="auto"/>
      </w:pPr>
      <w:r>
        <w:rPr>
          <w:rFonts w:ascii="Times New Roman" w:hAnsi="Times New Roman"/>
          <w:b w:val="0"/>
          <w:i w:val="0"/>
          <w:color w:val="475569"/>
          <w:sz w:val="17"/>
        </w:rPr>
        <w:t>[6] P. J. Rousseeuw, 'Silhouettes: A graphical aid to the interpretation and validation of cluster analysis,' Journal of Computational and Applied Mathematics, vol. 20, pp. 53–65, 1987.</w:t>
      </w:r>
    </w:p>
    <w:p>
      <w:pPr>
        <w:spacing w:after="60" w:line="276" w:lineRule="auto"/>
      </w:pPr>
      <w:r>
        <w:rPr>
          <w:rFonts w:ascii="Times New Roman" w:hAnsi="Times New Roman"/>
          <w:b w:val="0"/>
          <w:i w:val="0"/>
          <w:color w:val="475569"/>
          <w:sz w:val="17"/>
        </w:rPr>
        <w:t>[7] D. L. Davies and D. W. Bouldin, 'A cluster separation measure,' IEEE Transactions on Pattern Analysis and Machine Intelligence, vol. PAMI-1, no. 2, pp. 224–227, 1979.</w:t>
      </w:r>
    </w:p>
    <w:p>
      <w:pPr>
        <w:spacing w:after="60" w:line="276" w:lineRule="auto"/>
      </w:pPr>
      <w:r>
        <w:rPr>
          <w:rFonts w:ascii="Times New Roman" w:hAnsi="Times New Roman"/>
          <w:b w:val="0"/>
          <w:i w:val="0"/>
          <w:color w:val="475569"/>
          <w:sz w:val="17"/>
        </w:rPr>
        <w:t>[8] M. Hardt, E. Price, and N. Srebro, 'Equality of opportunity in supervised learning,' in Advances in Neural Information Processing Systems (NeurIPS), vol. 29, 2016.</w:t>
      </w:r>
    </w:p>
    <w:p>
      <w:pPr>
        <w:spacing w:after="60" w:line="276" w:lineRule="auto"/>
      </w:pPr>
      <w:r>
        <w:rPr>
          <w:rFonts w:ascii="Times New Roman" w:hAnsi="Times New Roman"/>
          <w:b w:val="0"/>
          <w:i w:val="0"/>
          <w:color w:val="475569"/>
          <w:sz w:val="17"/>
        </w:rPr>
        <w:t>[9] C. Molnar, Interpretable Machine Learning: A Guide for Making Black Box Models Explainable, 2nd ed. Munich: Leanpub, 2022.</w:t>
      </w:r>
    </w:p>
    <w:p>
      <w:pPr>
        <w:spacing w:after="60" w:line="276" w:lineRule="auto"/>
      </w:pPr>
      <w:r>
        <w:rPr>
          <w:rFonts w:ascii="Times New Roman" w:hAnsi="Times New Roman"/>
          <w:b w:val="0"/>
          <w:i w:val="0"/>
          <w:color w:val="475569"/>
          <w:sz w:val="17"/>
        </w:rPr>
        <w:t>[10] B. Baesens, R. Van Rossum, and D. Martens, Analytics in a Big Data World: The Essential Guide to Data Science and its Applications. Hoboken, NJ: John Wiley &amp; Sons,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