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right"/>
      </w:pPr>
      <w:r>
        <w:rPr>
          <w:rFonts w:ascii="Arial" w:hAnsi="Arial"/>
          <w:b/>
          <w:i w:val="0"/>
          <w:color w:val="475569"/>
          <w:sz w:val="17"/>
        </w:rPr>
        <w:t>CONFIDENTIAL / REGULATORY BRIEFING</w:t>
        <w:br/>
        <w:t>Target Audience: European Central Bank (ECB) &amp; National Supervisory Authorities</w:t>
      </w:r>
    </w:p>
    <w:p>
      <w:pPr>
        <w:spacing w:after="120" w:line="276" w:lineRule="auto"/>
        <w:jc w:val="center"/>
      </w:pPr>
      <w:r>
        <w:rPr>
          <w:rFonts w:ascii="Arial" w:hAnsi="Arial"/>
          <w:b/>
          <w:i w:val="0"/>
          <w:color w:val="0E2B5C"/>
          <w:sz w:val="32"/>
        </w:rPr>
        <w:t>EXECUTIVE SUMMARY: CUSTOMER SEGMENTATION &amp; CHURN PATTERN ANALYTICS IN EUROPEAN RETAIL BANKING</w:t>
      </w:r>
    </w:p>
    <w:p>
      <w:pPr>
        <w:spacing w:after="280" w:line="276" w:lineRule="auto"/>
        <w:jc w:val="center"/>
      </w:pPr>
      <w:r>
        <w:rPr>
          <w:rFonts w:ascii="Arial" w:hAnsi="Arial"/>
          <w:b w:val="0"/>
          <w:i/>
          <w:color w:val="475569"/>
          <w:sz w:val="22"/>
        </w:rPr>
        <w:t>A High-Level Strategic Audit of Systemic Attrition, Geographic Capital Exposure, and Policy Recommendations for Banking Stability</w:t>
      </w:r>
    </w:p>
    <w:p>
      <w:pPr>
        <w:spacing w:after="320" w:line="276" w:lineRule="auto"/>
        <w:jc w:val="center"/>
      </w:pPr>
      <w:r>
        <w:rPr>
          <w:rFonts w:ascii="Times New Roman" w:hAnsi="Times New Roman"/>
          <w:b w:val="0"/>
          <w:i w:val="0"/>
          <w:color w:val="0F172A"/>
          <w:sz w:val="19"/>
        </w:rPr>
        <w:t>Prepared by: Pranav Kokande, Lead Quantitative Researcher</w:t>
        <w:br/>
        <w:t>BankSight AI Engineering Initiative • In Collaboration with Unified Mentor &amp; European Banking Frameworks</w:t>
        <w:br/>
        <w:t>Date of Audit: October 2026 • European Retail Banking Benchmark Portfolio (N = 10,000)</w:t>
      </w:r>
    </w:p>
    <w:p>
      <w:pPr>
        <w:spacing w:after="120" w:line="276" w:lineRule="auto" w:before="280"/>
      </w:pPr>
      <w:r>
        <w:rPr>
          <w:rFonts w:ascii="Arial" w:hAnsi="Arial"/>
          <w:b/>
          <w:i w:val="0"/>
          <w:color w:val="0E2B5C"/>
          <w:sz w:val="26"/>
        </w:rPr>
        <w:t>1. Context, Regulatory Scope &amp; Executive Mandate</w:t>
      </w:r>
    </w:p>
    <w:p>
      <w:pPr>
        <w:spacing w:after="120" w:line="276" w:lineRule="auto"/>
      </w:pPr>
      <w:r>
        <w:rPr>
          <w:rFonts w:ascii="Times New Roman" w:hAnsi="Times New Roman"/>
          <w:b w:val="0"/>
          <w:i w:val="0"/>
          <w:color w:val="0F172A"/>
          <w:sz w:val="21"/>
        </w:rPr>
        <w:t>Customer churn in European retail banking is not merely a commercial marketing friction; it represents a significant structural risk to deposit stability, liquidity coverage ratios (LCR), and net interest income. Under the Single Supervisory Mechanism (SSM) of the European Central Bank (ECB), financial institutions are required to demonstrate robust stress-resilience, fair customer treatment, and granular asset liability visibility.</w:t>
      </w:r>
    </w:p>
    <w:p>
      <w:pPr>
        <w:spacing w:after="120" w:line="276" w:lineRule="auto"/>
      </w:pPr>
      <w:r>
        <w:rPr>
          <w:rFonts w:ascii="Times New Roman" w:hAnsi="Times New Roman"/>
          <w:b w:val="0"/>
          <w:i w:val="0"/>
          <w:color w:val="0F172A"/>
          <w:sz w:val="21"/>
        </w:rPr>
        <w:t>This briefing provides government stakeholders, central bankers, and board-level risk committees with an empirical diagnosis of 10,000 multi-territory retail banking customers across France, Germany, and Spain. Moving beyond aggregate averages, this analysis applies systematic segmentation across geography, age brackets, creditworthiness, customer tenure, and account balance tiers to isolate capital flight vulnerabilities and deliver transparent, evidence-based intervention directives.</w:t>
      </w:r>
    </w:p>
    <w:p>
      <w:pPr>
        <w:spacing w:after="120" w:line="276" w:lineRule="auto" w:before="280"/>
      </w:pPr>
      <w:r>
        <w:rPr>
          <w:rFonts w:ascii="Arial" w:hAnsi="Arial"/>
          <w:b/>
          <w:i w:val="0"/>
          <w:color w:val="0E2B5C"/>
          <w:sz w:val="26"/>
        </w:rPr>
        <w:t>2. Core Key Performance Indicators (KPI Telemetry)</w:t>
      </w:r>
    </w:p>
    <w:p>
      <w:pPr>
        <w:spacing w:after="120" w:line="276" w:lineRule="auto"/>
      </w:pPr>
      <w:r>
        <w:rPr>
          <w:rFonts w:ascii="Times New Roman" w:hAnsi="Times New Roman"/>
          <w:b w:val="0"/>
          <w:i w:val="0"/>
          <w:color w:val="0F172A"/>
          <w:sz w:val="21"/>
        </w:rPr>
        <w:t>To establish an objective baseline for policy evaluation, five standardized regulatory KPIs were calculated from verified empirical data:</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76" w:lineRule="auto"/>
            </w:pPr>
            <w:r>
              <w:rPr>
                <w:rFonts w:ascii="Arial" w:hAnsi="Arial"/>
                <w:b/>
                <w:i w:val="0"/>
                <w:color w:val="0E2B5C"/>
                <w:sz w:val="18"/>
              </w:rPr>
              <w:t>Key Performance Indicator (KPI)</w:t>
            </w:r>
          </w:p>
        </w:tc>
        <w:tc>
          <w:tcPr>
            <w:tcW w:type="dxa" w:w="2340"/>
          </w:tcPr>
          <w:p>
            <w:pPr>
              <w:spacing w:after="40" w:line="276" w:lineRule="auto"/>
            </w:pPr>
            <w:r>
              <w:rPr>
                <w:rFonts w:ascii="Arial" w:hAnsi="Arial"/>
                <w:b/>
                <w:i w:val="0"/>
                <w:color w:val="0E2B5C"/>
                <w:sz w:val="18"/>
              </w:rPr>
              <w:t>Empirical Value</w:t>
            </w:r>
          </w:p>
        </w:tc>
        <w:tc>
          <w:tcPr>
            <w:tcW w:type="dxa" w:w="2340"/>
          </w:tcPr>
          <w:p>
            <w:pPr>
              <w:spacing w:after="40" w:line="276" w:lineRule="auto"/>
            </w:pPr>
            <w:r>
              <w:rPr>
                <w:rFonts w:ascii="Arial" w:hAnsi="Arial"/>
                <w:b/>
                <w:i w:val="0"/>
                <w:color w:val="0E2B5C"/>
                <w:sz w:val="18"/>
              </w:rPr>
              <w:t>Regulatory Benchmark</w:t>
            </w:r>
          </w:p>
        </w:tc>
        <w:tc>
          <w:tcPr>
            <w:tcW w:type="dxa" w:w="2340"/>
          </w:tcPr>
          <w:p>
            <w:pPr>
              <w:spacing w:after="40" w:line="276" w:lineRule="auto"/>
            </w:pPr>
            <w:r>
              <w:rPr>
                <w:rFonts w:ascii="Arial" w:hAnsi="Arial"/>
                <w:b/>
                <w:i w:val="0"/>
                <w:color w:val="0E2B5C"/>
                <w:sz w:val="18"/>
              </w:rPr>
              <w:t>Strategic Diagnosis</w:t>
            </w:r>
          </w:p>
        </w:tc>
      </w:tr>
      <w:tr>
        <w:tc>
          <w:tcPr>
            <w:tcW w:type="dxa" w:w="2340"/>
          </w:tcPr>
          <w:p>
            <w:pPr>
              <w:spacing w:after="40" w:line="276" w:lineRule="auto"/>
            </w:pPr>
            <w:r>
              <w:rPr>
                <w:rFonts w:ascii="Arial" w:hAnsi="Arial"/>
                <w:b/>
                <w:i w:val="0"/>
                <w:color w:val="0F172A"/>
                <w:sz w:val="17"/>
              </w:rPr>
              <w:t>1. Overall Churn Rate</w:t>
            </w:r>
          </w:p>
        </w:tc>
        <w:tc>
          <w:tcPr>
            <w:tcW w:type="dxa" w:w="2340"/>
          </w:tcPr>
          <w:p>
            <w:pPr>
              <w:spacing w:after="40" w:line="276" w:lineRule="auto"/>
            </w:pPr>
            <w:r>
              <w:rPr>
                <w:rFonts w:ascii="Arial" w:hAnsi="Arial"/>
                <w:b w:val="0"/>
                <w:i w:val="0"/>
                <w:color w:val="0F172A"/>
                <w:sz w:val="17"/>
              </w:rPr>
              <w:t>20.37% (2,037 / 10,000)</w:t>
            </w:r>
          </w:p>
        </w:tc>
        <w:tc>
          <w:tcPr>
            <w:tcW w:type="dxa" w:w="2340"/>
          </w:tcPr>
          <w:p>
            <w:pPr>
              <w:spacing w:after="40" w:line="276" w:lineRule="auto"/>
            </w:pPr>
            <w:r>
              <w:rPr>
                <w:rFonts w:ascii="Arial" w:hAnsi="Arial"/>
                <w:b w:val="0"/>
                <w:i w:val="0"/>
                <w:color w:val="0F172A"/>
                <w:sz w:val="17"/>
              </w:rPr>
              <w:t>Historical EU Benchmark: 15–18%</w:t>
            </w:r>
          </w:p>
        </w:tc>
        <w:tc>
          <w:tcPr>
            <w:tcW w:type="dxa" w:w="2340"/>
          </w:tcPr>
          <w:p>
            <w:pPr>
              <w:spacing w:after="40" w:line="276" w:lineRule="auto"/>
            </w:pPr>
            <w:r>
              <w:rPr>
                <w:rFonts w:ascii="Arial" w:hAnsi="Arial"/>
                <w:b w:val="0"/>
                <w:i w:val="0"/>
                <w:color w:val="0F172A"/>
                <w:sz w:val="17"/>
              </w:rPr>
              <w:t>Elevated attrition; 1 in 5 account holders terminates their banking relationship.</w:t>
            </w:r>
          </w:p>
        </w:tc>
      </w:tr>
      <w:tr>
        <w:tc>
          <w:tcPr>
            <w:tcW w:type="dxa" w:w="2340"/>
          </w:tcPr>
          <w:p>
            <w:pPr>
              <w:spacing w:after="40" w:line="276" w:lineRule="auto"/>
            </w:pPr>
            <w:r>
              <w:rPr>
                <w:rFonts w:ascii="Arial" w:hAnsi="Arial"/>
                <w:b/>
                <w:i w:val="0"/>
                <w:color w:val="0F172A"/>
                <w:sz w:val="17"/>
              </w:rPr>
              <w:t>2. High-Value Churn Ratio</w:t>
            </w:r>
          </w:p>
        </w:tc>
        <w:tc>
          <w:tcPr>
            <w:tcW w:type="dxa" w:w="2340"/>
          </w:tcPr>
          <w:p>
            <w:pPr>
              <w:spacing w:after="40" w:line="276" w:lineRule="auto"/>
            </w:pPr>
            <w:r>
              <w:rPr>
                <w:rFonts w:ascii="Arial" w:hAnsi="Arial"/>
                <w:b w:val="0"/>
                <w:i w:val="0"/>
                <w:color w:val="0F172A"/>
                <w:sz w:val="17"/>
              </w:rPr>
              <w:t>25.23% (1,211 / 4,799)</w:t>
            </w:r>
          </w:p>
        </w:tc>
        <w:tc>
          <w:tcPr>
            <w:tcW w:type="dxa" w:w="2340"/>
          </w:tcPr>
          <w:p>
            <w:pPr>
              <w:spacing w:after="40" w:line="276" w:lineRule="auto"/>
            </w:pPr>
            <w:r>
              <w:rPr>
                <w:rFonts w:ascii="Arial" w:hAnsi="Arial"/>
                <w:b w:val="0"/>
                <w:i w:val="0"/>
                <w:color w:val="0F172A"/>
                <w:sz w:val="17"/>
              </w:rPr>
              <w:t>Mass Market Churn: 15.9%</w:t>
            </w:r>
          </w:p>
        </w:tc>
        <w:tc>
          <w:tcPr>
            <w:tcW w:type="dxa" w:w="2340"/>
          </w:tcPr>
          <w:p>
            <w:pPr>
              <w:spacing w:after="40" w:line="276" w:lineRule="auto"/>
            </w:pPr>
            <w:r>
              <w:rPr>
                <w:rFonts w:ascii="Arial" w:hAnsi="Arial"/>
                <w:b w:val="0"/>
                <w:i w:val="0"/>
                <w:color w:val="0F172A"/>
                <w:sz w:val="17"/>
              </w:rPr>
              <w:t>Significant wealth concentration risk; accounts with €100k+ balance exhibit 58.7% higher attrition.</w:t>
            </w:r>
          </w:p>
        </w:tc>
      </w:tr>
      <w:tr>
        <w:tc>
          <w:tcPr>
            <w:tcW w:type="dxa" w:w="2340"/>
          </w:tcPr>
          <w:p>
            <w:pPr>
              <w:spacing w:after="40" w:line="276" w:lineRule="auto"/>
            </w:pPr>
            <w:r>
              <w:rPr>
                <w:rFonts w:ascii="Arial" w:hAnsi="Arial"/>
                <w:b/>
                <w:i w:val="0"/>
                <w:color w:val="0F172A"/>
                <w:sz w:val="17"/>
              </w:rPr>
              <w:t>3. Geographic Risk Index (Germany)</w:t>
            </w:r>
          </w:p>
        </w:tc>
        <w:tc>
          <w:tcPr>
            <w:tcW w:type="dxa" w:w="2340"/>
          </w:tcPr>
          <w:p>
            <w:pPr>
              <w:spacing w:after="40" w:line="276" w:lineRule="auto"/>
            </w:pPr>
            <w:r>
              <w:rPr>
                <w:rFonts w:ascii="Arial" w:hAnsi="Arial"/>
                <w:b w:val="0"/>
                <w:i w:val="0"/>
                <w:color w:val="0F172A"/>
                <w:sz w:val="17"/>
              </w:rPr>
              <w:t>1.59x Baseline Exposure</w:t>
            </w:r>
          </w:p>
        </w:tc>
        <w:tc>
          <w:tcPr>
            <w:tcW w:type="dxa" w:w="2340"/>
          </w:tcPr>
          <w:p>
            <w:pPr>
              <w:spacing w:after="40" w:line="276" w:lineRule="auto"/>
            </w:pPr>
            <w:r>
              <w:rPr>
                <w:rFonts w:ascii="Arial" w:hAnsi="Arial"/>
                <w:b w:val="0"/>
                <w:i w:val="0"/>
                <w:color w:val="0F172A"/>
                <w:sz w:val="17"/>
              </w:rPr>
              <w:t>Normalized EU Index: 1.00</w:t>
            </w:r>
          </w:p>
        </w:tc>
        <w:tc>
          <w:tcPr>
            <w:tcW w:type="dxa" w:w="2340"/>
          </w:tcPr>
          <w:p>
            <w:pPr>
              <w:spacing w:after="40" w:line="276" w:lineRule="auto"/>
            </w:pPr>
            <w:r>
              <w:rPr>
                <w:rFonts w:ascii="Arial" w:hAnsi="Arial"/>
                <w:b w:val="0"/>
                <w:i w:val="0"/>
                <w:color w:val="0F172A"/>
                <w:sz w:val="17"/>
              </w:rPr>
              <w:t>Critical territory disparity; German accounts churn at 32.44% (double the French rate of 16.15%).</w:t>
            </w:r>
          </w:p>
        </w:tc>
      </w:tr>
      <w:tr>
        <w:tc>
          <w:tcPr>
            <w:tcW w:type="dxa" w:w="2340"/>
          </w:tcPr>
          <w:p>
            <w:pPr>
              <w:spacing w:after="40" w:line="276" w:lineRule="auto"/>
            </w:pPr>
            <w:r>
              <w:rPr>
                <w:rFonts w:ascii="Arial" w:hAnsi="Arial"/>
                <w:b/>
                <w:i w:val="0"/>
                <w:color w:val="0F172A"/>
                <w:sz w:val="17"/>
              </w:rPr>
              <w:t>4. Engagement Drop Indicator</w:t>
            </w:r>
          </w:p>
        </w:tc>
        <w:tc>
          <w:tcPr>
            <w:tcW w:type="dxa" w:w="2340"/>
          </w:tcPr>
          <w:p>
            <w:pPr>
              <w:spacing w:after="40" w:line="276" w:lineRule="auto"/>
            </w:pPr>
            <w:r>
              <w:rPr>
                <w:rFonts w:ascii="Arial" w:hAnsi="Arial"/>
                <w:b w:val="0"/>
                <w:i w:val="0"/>
                <w:color w:val="0F172A"/>
                <w:sz w:val="17"/>
              </w:rPr>
              <w:t>1.88x Risk Multiplier</w:t>
            </w:r>
          </w:p>
        </w:tc>
        <w:tc>
          <w:tcPr>
            <w:tcW w:type="dxa" w:w="2340"/>
          </w:tcPr>
          <w:p>
            <w:pPr>
              <w:spacing w:after="40" w:line="276" w:lineRule="auto"/>
            </w:pPr>
            <w:r>
              <w:rPr>
                <w:rFonts w:ascii="Arial" w:hAnsi="Arial"/>
                <w:b w:val="0"/>
                <w:i w:val="0"/>
                <w:color w:val="0F172A"/>
                <w:sz w:val="17"/>
              </w:rPr>
              <w:t>Parity Ratio: 1.00</w:t>
            </w:r>
          </w:p>
        </w:tc>
        <w:tc>
          <w:tcPr>
            <w:tcW w:type="dxa" w:w="2340"/>
          </w:tcPr>
          <w:p>
            <w:pPr>
              <w:spacing w:after="40" w:line="276" w:lineRule="auto"/>
            </w:pPr>
            <w:r>
              <w:rPr>
                <w:rFonts w:ascii="Arial" w:hAnsi="Arial"/>
                <w:b w:val="0"/>
                <w:i w:val="0"/>
                <w:color w:val="0F172A"/>
                <w:sz w:val="17"/>
              </w:rPr>
              <w:t>Severe activity cliff; inactive members churn at 26.85% versus 14.27% for active members.</w:t>
            </w:r>
          </w:p>
        </w:tc>
      </w:tr>
      <w:tr>
        <w:tc>
          <w:tcPr>
            <w:tcW w:type="dxa" w:w="2340"/>
          </w:tcPr>
          <w:p>
            <w:pPr>
              <w:spacing w:after="40" w:line="276" w:lineRule="auto"/>
            </w:pPr>
            <w:r>
              <w:rPr>
                <w:rFonts w:ascii="Arial" w:hAnsi="Arial"/>
                <w:b/>
                <w:i w:val="0"/>
                <w:color w:val="0F172A"/>
                <w:sz w:val="17"/>
              </w:rPr>
              <w:t>5. Capital Exposure at Risk</w:t>
            </w:r>
          </w:p>
        </w:tc>
        <w:tc>
          <w:tcPr>
            <w:tcW w:type="dxa" w:w="2340"/>
          </w:tcPr>
          <w:p>
            <w:pPr>
              <w:spacing w:after="40" w:line="276" w:lineRule="auto"/>
            </w:pPr>
            <w:r>
              <w:rPr>
                <w:rFonts w:ascii="Arial" w:hAnsi="Arial"/>
                <w:b w:val="0"/>
                <w:i w:val="0"/>
                <w:color w:val="0F172A"/>
                <w:sz w:val="17"/>
              </w:rPr>
              <w:t>€185,588,094.63</w:t>
            </w:r>
          </w:p>
        </w:tc>
        <w:tc>
          <w:tcPr>
            <w:tcW w:type="dxa" w:w="2340"/>
          </w:tcPr>
          <w:p>
            <w:pPr>
              <w:spacing w:after="40" w:line="276" w:lineRule="auto"/>
            </w:pPr>
            <w:r>
              <w:rPr>
                <w:rFonts w:ascii="Arial" w:hAnsi="Arial"/>
                <w:b w:val="0"/>
                <w:i w:val="0"/>
                <w:color w:val="0F172A"/>
                <w:sz w:val="17"/>
              </w:rPr>
              <w:t>Portfolio: €764.8M (24.26%)</w:t>
            </w:r>
          </w:p>
        </w:tc>
        <w:tc>
          <w:tcPr>
            <w:tcW w:type="dxa" w:w="2340"/>
          </w:tcPr>
          <w:p>
            <w:pPr>
              <w:spacing w:after="40" w:line="276" w:lineRule="auto"/>
            </w:pPr>
            <w:r>
              <w:rPr>
                <w:rFonts w:ascii="Arial" w:hAnsi="Arial"/>
                <w:b w:val="0"/>
                <w:i w:val="0"/>
                <w:color w:val="0F172A"/>
                <w:sz w:val="17"/>
              </w:rPr>
              <w:t>Substantial capital drain; nearly a quarter of total customer deposits are held by departing accounts.</w:t>
            </w:r>
          </w:p>
        </w:tc>
      </w:tr>
    </w:tbl>
    <w:p>
      <w:pPr>
        <w:spacing w:after="120" w:line="276" w:lineRule="auto" w:before="280"/>
      </w:pPr>
      <w:r>
        <w:rPr>
          <w:rFonts w:ascii="Arial" w:hAnsi="Arial"/>
          <w:b/>
          <w:i w:val="0"/>
          <w:color w:val="0E2B5C"/>
          <w:sz w:val="26"/>
        </w:rPr>
        <w:t>3. Analysis of the Five Core Segmentation Dimensions</w:t>
      </w:r>
    </w:p>
    <w:p>
      <w:pPr>
        <w:spacing w:after="80" w:line="276" w:lineRule="auto" w:before="200"/>
      </w:pPr>
      <w:r>
        <w:rPr>
          <w:rFonts w:ascii="Arial" w:hAnsi="Arial"/>
          <w:b/>
          <w:i w:val="0"/>
          <w:color w:val="0E2B5C"/>
          <w:sz w:val="22"/>
        </w:rPr>
        <w:t>3.1 Geographic Segmentation: The Sovereign Disparity</w:t>
      </w:r>
    </w:p>
    <w:p>
      <w:pPr>
        <w:spacing w:after="120" w:line="276" w:lineRule="auto"/>
      </w:pPr>
      <w:r>
        <w:rPr>
          <w:rFonts w:ascii="Times New Roman" w:hAnsi="Times New Roman"/>
          <w:b w:val="0"/>
          <w:i w:val="0"/>
          <w:color w:val="0F172A"/>
          <w:sz w:val="21"/>
        </w:rPr>
        <w:t>• France (N = 5,014): 16.15% churn rate (810 churned). Mean balance is €62,094; however, 48.23% of French accounts maintain a zero-balance (€0), indicating high secondary/dormant account prevalence.</w:t>
        <w:br/>
        <w:t>• Germany (N = 2,509): 32.44% churn rate (814 churned). 100.0% of German customers hold active balances (mean: €119,730). German customers are affluent, mature depositors whose departure inflicts severe liquidity drain (€101.4M balance lost).</w:t>
        <w:br/>
        <w:t>• Spain (N = 2,477): 16.67% churn rate (413 churned). Similar to France, 48.41% have zero balances, with total churned capital exposure contained at €35.2M.</w:t>
      </w:r>
    </w:p>
    <w:p>
      <w:pPr>
        <w:spacing w:after="80" w:line="276" w:lineRule="auto" w:before="200"/>
      </w:pPr>
      <w:r>
        <w:rPr>
          <w:rFonts w:ascii="Arial" w:hAnsi="Arial"/>
          <w:b/>
          <w:i w:val="0"/>
          <w:color w:val="0E2B5C"/>
          <w:sz w:val="22"/>
        </w:rPr>
        <w:t>3.2 Age Cohort Segmentation: The Middle-Age Capital Drain</w:t>
      </w:r>
    </w:p>
    <w:p>
      <w:pPr>
        <w:spacing w:after="120" w:line="276" w:lineRule="auto"/>
      </w:pPr>
      <w:r>
        <w:rPr>
          <w:rFonts w:ascii="Times New Roman" w:hAnsi="Times New Roman"/>
          <w:b w:val="0"/>
          <w:i w:val="0"/>
          <w:color w:val="0F172A"/>
          <w:sz w:val="21"/>
        </w:rPr>
        <w:t>• Youth (&lt;30 yrs, N = 1,641): 7.50% churn rate (123 churned). Highly stable, digitally engaged early career accounts.</w:t>
        <w:br/>
        <w:t>• Core Working Age (30–45 yrs, N = 6,108): 15.39% churn rate (940 churned). Primary mortgage and retail banking base.</w:t>
        <w:br/>
        <w:t>• Mature Wealth Holders (46–60 yrs, N = 1,787): 49.36% churn rate (882 churned). Acute crisis cohort; nearly half of accounts in their peak earning and saving years depart.</w:t>
        <w:br/>
        <w:t>• Senior Citizens (60+ yrs, N = 464): 19.83% churn rate (92 churned). Relatively stable pension and wealth preservation segment.</w:t>
      </w:r>
    </w:p>
    <w:p>
      <w:pPr>
        <w:spacing w:after="80" w:line="276" w:lineRule="auto" w:before="200"/>
      </w:pPr>
      <w:r>
        <w:rPr>
          <w:rFonts w:ascii="Arial" w:hAnsi="Arial"/>
          <w:b/>
          <w:i w:val="0"/>
          <w:color w:val="0E2B5C"/>
          <w:sz w:val="22"/>
        </w:rPr>
        <w:t>3.3 Credit Score Band Segmentation</w:t>
      </w:r>
    </w:p>
    <w:p>
      <w:pPr>
        <w:spacing w:after="120" w:line="276" w:lineRule="auto"/>
      </w:pPr>
      <w:r>
        <w:rPr>
          <w:rFonts w:ascii="Times New Roman" w:hAnsi="Times New Roman"/>
          <w:b w:val="0"/>
          <w:i w:val="0"/>
          <w:color w:val="0F172A"/>
          <w:sz w:val="21"/>
        </w:rPr>
        <w:t>• Low Credit (&lt;580, N = 1,408): 22.02% churn rate. Modestly higher risk, often driven by involuntary closure or fee sensitivity.</w:t>
        <w:br/>
        <w:t>• Medium Credit (580–669, N = 3,747): 20.44% churn rate. Tracks overall portfolio baseline closely.</w:t>
        <w:br/>
        <w:t>• High Credit (670+, N = 4,845): 19.83% churn rate. Creditworthiness alone does not shield banks from customer attrition.</w:t>
      </w:r>
    </w:p>
    <w:p>
      <w:pPr>
        <w:spacing w:after="80" w:line="276" w:lineRule="auto" w:before="200"/>
      </w:pPr>
      <w:r>
        <w:rPr>
          <w:rFonts w:ascii="Arial" w:hAnsi="Arial"/>
          <w:b/>
          <w:i w:val="0"/>
          <w:color w:val="0E2B5C"/>
          <w:sz w:val="22"/>
        </w:rPr>
        <w:t>3.4 Customer Tenure Segmentation</w:t>
      </w:r>
    </w:p>
    <w:p>
      <w:pPr>
        <w:spacing w:after="120" w:line="276" w:lineRule="auto"/>
      </w:pPr>
      <w:r>
        <w:rPr>
          <w:rFonts w:ascii="Times New Roman" w:hAnsi="Times New Roman"/>
          <w:b w:val="0"/>
          <w:i w:val="0"/>
          <w:color w:val="0F172A"/>
          <w:sz w:val="21"/>
        </w:rPr>
        <w:t>• New Customers (0–2 yrs, N = 2,490): 20.84% churn rate. Reflects onboarding friction and promotional rate expiration.</w:t>
        <w:br/>
        <w:t>• Mid-term Customers (3–6 yrs, N = 4,008): 20.31% churn rate. Steady state banking relationship.</w:t>
        <w:br/>
        <w:t>• Veteran Customers (7–10 yrs, N = 3,502): 20.07% churn rate. Demonstrates that tenure length does not confer natural immunity against churn.</w:t>
      </w:r>
    </w:p>
    <w:p>
      <w:pPr>
        <w:spacing w:after="80" w:line="276" w:lineRule="auto" w:before="200"/>
      </w:pPr>
      <w:r>
        <w:rPr>
          <w:rFonts w:ascii="Arial" w:hAnsi="Arial"/>
          <w:b/>
          <w:i w:val="0"/>
          <w:color w:val="0E2B5C"/>
          <w:sz w:val="22"/>
        </w:rPr>
        <w:t>3.5 Account Balance Segmentation</w:t>
      </w:r>
    </w:p>
    <w:p>
      <w:pPr>
        <w:spacing w:after="120" w:line="276" w:lineRule="auto"/>
      </w:pPr>
      <w:r>
        <w:rPr>
          <w:rFonts w:ascii="Times New Roman" w:hAnsi="Times New Roman"/>
          <w:b w:val="0"/>
          <w:i w:val="0"/>
          <w:color w:val="0F172A"/>
          <w:sz w:val="21"/>
        </w:rPr>
        <w:t>• Zero-Balance Accounts (€0, N = 3,617): 13.82% churn rate. Low commercial value, low capital risk upon departure.</w:t>
        <w:br/>
        <w:t>• Low-to-Moderate Balance (€1–€100k, N = 1,584): 20.77% churn rate.</w:t>
        <w:br/>
        <w:t>• High-Balance Accounts (&gt;€100k, N = 4,799): 25.23% churn rate. Over a quarter of premium depositor wealth departs, accounting for €159.5M in capital flight.</w:t>
      </w:r>
    </w:p>
    <w:p>
      <w:pPr>
        <w:spacing w:after="120" w:line="276" w:lineRule="auto" w:before="280"/>
      </w:pPr>
      <w:r>
        <w:rPr>
          <w:rFonts w:ascii="Arial" w:hAnsi="Arial"/>
          <w:b/>
          <w:i w:val="0"/>
          <w:color w:val="0E2B5C"/>
          <w:sz w:val="26"/>
        </w:rPr>
        <w:t>4. Key Structural Vulnerabilities Discovered</w:t>
      </w:r>
    </w:p>
    <w:p>
      <w:pPr>
        <w:spacing w:after="80" w:line="276" w:lineRule="auto" w:before="200"/>
      </w:pPr>
      <w:r>
        <w:rPr>
          <w:rFonts w:ascii="Arial" w:hAnsi="Arial"/>
          <w:b/>
          <w:i w:val="0"/>
          <w:color w:val="0E2B5C"/>
          <w:sz w:val="22"/>
        </w:rPr>
        <w:t>4.1 The Multi-Product Holding Cliff</w:t>
      </w:r>
    </w:p>
    <w:p>
      <w:pPr>
        <w:spacing w:after="120" w:line="276" w:lineRule="auto"/>
      </w:pPr>
      <w:r>
        <w:rPr>
          <w:rFonts w:ascii="Times New Roman" w:hAnsi="Times New Roman"/>
          <w:b w:val="0"/>
          <w:i w:val="0"/>
          <w:color w:val="0F172A"/>
          <w:sz w:val="21"/>
        </w:rPr>
        <w:t>A paramount empirical discovery is the non-linear relationship between product holdings and customer attrition (Pearson χ² = 1,503.65, p &lt; 0.0001, Cramer's V = 0.3878):</w:t>
        <w:br/>
        <w:t>• 1 Product: 27.71% churn rate (1,409 / 5,084).</w:t>
        <w:br/>
        <w:t>• 2 Products: 7.58% churn rate (348 / 4,590) — The Optimal Cross-Sell Retention Zone.</w:t>
        <w:br/>
        <w:t>• 3 Products: 82.71% churn rate (220 / 266) — Severe Churn Cliff.</w:t>
        <w:br/>
        <w:t>• 4 Products: 100.0% complete attrition (60 / 60 accounts departed).</w:t>
        <w:br/>
        <w:t>Implication for Regulators: Aggressive cross-selling quotas without integrated operational service create severe dissatisfaction, triggering 100% departure among 4-product customers.</w:t>
      </w:r>
    </w:p>
    <w:p>
      <w:pPr>
        <w:spacing w:after="80" w:line="276" w:lineRule="auto" w:before="200"/>
      </w:pPr>
      <w:r>
        <w:rPr>
          <w:rFonts w:ascii="Arial" w:hAnsi="Arial"/>
          <w:b/>
          <w:i w:val="0"/>
          <w:color w:val="0E2B5C"/>
          <w:sz w:val="22"/>
        </w:rPr>
        <w:t>4.2 The German Liquidity Paradox</w:t>
      </w:r>
    </w:p>
    <w:p>
      <w:pPr>
        <w:spacing w:after="120" w:line="276" w:lineRule="auto"/>
      </w:pPr>
      <w:r>
        <w:rPr>
          <w:rFonts w:ascii="Times New Roman" w:hAnsi="Times New Roman"/>
          <w:b w:val="0"/>
          <w:i w:val="0"/>
          <w:color w:val="0F172A"/>
          <w:sz w:val="21"/>
        </w:rPr>
        <w:t>While German banks maintain the highest average balance in the European portfolio (€119,730), they experience the highest attrition (32.44%). Because German depositors maintain real balances rather than empty shell accounts, their departure generates €101.4M in direct liquidity reduction, which could challenge Basel III Net Stable Funding Ratio (NSFR) requirements if systemic across regional Landesbanken.</w:t>
      </w:r>
    </w:p>
    <w:p>
      <w:pPr>
        <w:spacing w:after="120" w:line="276" w:lineRule="auto" w:before="280"/>
      </w:pPr>
      <w:r>
        <w:rPr>
          <w:rFonts w:ascii="Arial" w:hAnsi="Arial"/>
          <w:b/>
          <w:i w:val="0"/>
          <w:color w:val="0E2B5C"/>
          <w:sz w:val="26"/>
        </w:rPr>
        <w:t>5. Strategic Recommendations &amp; Regulatory Action Plan</w:t>
      </w:r>
    </w:p>
    <w:p>
      <w:pPr>
        <w:spacing w:after="120" w:line="276" w:lineRule="auto"/>
      </w:pPr>
      <w:r>
        <w:rPr>
          <w:rFonts w:ascii="Times New Roman" w:hAnsi="Times New Roman"/>
          <w:b w:val="0"/>
          <w:i w:val="0"/>
          <w:color w:val="0F172A"/>
          <w:sz w:val="21"/>
        </w:rPr>
        <w:t>1. Implementation of Evidence-Aware Retention Allocation (EARA): Traditional commercial banks allocate retention capital by ranking raw predicted probability, frequently expending €50 retention bonuses on empty-balance accounts. Regulatory supervisors should mandate risk-weighted capital exposure allocation, synthesizing churn risk, deposit size, and epistemic model disagreement. In our simulation benchmarks, EARA delivers an 18.4% improvement in capital preservation under identical operational budgets.</w:t>
      </w:r>
    </w:p>
    <w:p>
      <w:pPr>
        <w:spacing w:after="120" w:line="276" w:lineRule="auto"/>
      </w:pPr>
      <w:r>
        <w:rPr>
          <w:rFonts w:ascii="Times New Roman" w:hAnsi="Times New Roman"/>
          <w:b w:val="0"/>
          <w:i w:val="0"/>
          <w:color w:val="0F172A"/>
          <w:sz w:val="21"/>
        </w:rPr>
        <w:t>2. Mandatory Product Cross-Selling Governance: National competent authorities should inspect retail banking sales practices regarding 3+ product bundling. Institutions should halt aggressive automated multi-product onboarding until customer satisfaction and transparent fee consolidation can be verified.</w:t>
      </w:r>
    </w:p>
    <w:p>
      <w:pPr>
        <w:spacing w:after="120" w:line="276" w:lineRule="auto"/>
      </w:pPr>
      <w:r>
        <w:rPr>
          <w:rFonts w:ascii="Times New Roman" w:hAnsi="Times New Roman"/>
          <w:b w:val="0"/>
          <w:i w:val="0"/>
          <w:color w:val="0F172A"/>
          <w:sz w:val="21"/>
        </w:rPr>
        <w:t>3. Dedicated Senior Wealth Retention Desks in Germany: Commercial banks operating in the German market must establish proactive, white-glove relationship management desks for depositors aged 45–60 with balances exceeding €100,000. Interventions must focus on interest rate yield competitiveness and private wealth advisory rather than generic digital marketing.</w:t>
      </w:r>
    </w:p>
    <w:p>
      <w:pPr>
        <w:spacing w:after="120" w:line="276" w:lineRule="auto"/>
      </w:pPr>
      <w:r>
        <w:rPr>
          <w:rFonts w:ascii="Times New Roman" w:hAnsi="Times New Roman"/>
          <w:b w:val="0"/>
          <w:i w:val="0"/>
          <w:color w:val="0F172A"/>
          <w:sz w:val="21"/>
        </w:rPr>
        <w:t>4. Algorithmic Fairness &amp; Explainability Standards: In compliance with the EU Artificial Intelligence Act, automated retention scoring models must provide localized attributions (such as SHAP waterfalls) and pass Four-Fifths Rule subgroup fairness audits across sovereign territories and gender. BankSight AI confirms that removing demographic variables causes negligible performance degradation (ROC-AUC 0.8612 vs 0.8584), confirming models can operate ethically without compromising predictive power.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