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240" w:after="160" w:line="280" w:lineRule="auto"/>
      </w:pPr>
      <w:r>
        <w:rPr>
          <w:rFonts w:ascii="Times New Roman" w:hAnsi="Times New Roman" w:cs="Times New Roman"/>
          <w:b/>
          <w:sz w:val="36"/>
          <w:color w:val="111827"/>
        </w:rPr>
        <w:t>Smart Canteen: An AI-Powered Campus Dining Management Platform Integrating Machine Learning Demand Forecasting, Dynamic Crowd Density Classification, 2D Table Allocation, and Automated Kitchen Display Workflows</w:t>
      </w:r>
    </w:p>
    <w:p>
      <w:pPr>
        <w:jc w:val="center"/>
        <w:spacing w:before="80" w:after="40" w:line="240" w:lineRule="auto"/>
      </w:pPr>
      <w:r>
        <w:rPr>
          <w:rFonts w:ascii="Times New Roman" w:hAnsi="Times New Roman"/>
          <w:b/>
          <w:sz w:val="22"/>
          <w:color w:val="1F2937"/>
        </w:rPr>
        <w:t>Pranav Kokande, Author Two, Author Three, Author Four</w:t>
      </w:r>
    </w:p>
    <w:p>
      <w:pPr>
        <w:jc w:val="center"/>
        <w:spacing w:before="0" w:after="20" w:line="220" w:lineRule="auto"/>
      </w:pPr>
      <w:r>
        <w:rPr>
          <w:rFonts w:ascii="Times New Roman" w:hAnsi="Times New Roman"/>
          <w:i/>
          <w:sz w:val="20"/>
          <w:color w:val="4B5563"/>
        </w:rPr>
        <w:t>Department of Information Technology</w:t>
      </w:r>
    </w:p>
    <w:p>
      <w:pPr>
        <w:jc w:val="center"/>
        <w:spacing w:before="0" w:after="20" w:line="220" w:lineRule="auto"/>
      </w:pPr>
      <w:r>
        <w:rPr>
          <w:rFonts w:ascii="Times New Roman" w:hAnsi="Times New Roman"/>
          <w:i/>
          <w:sz w:val="20"/>
          <w:color w:val="4B5563"/>
        </w:rPr>
        <w:t>College of Engineering &amp; Technology, India</w:t>
      </w:r>
    </w:p>
    <w:p>
      <w:pPr>
        <w:jc w:val="center"/>
        <w:spacing w:before="0" w:after="160" w:line="220" w:lineRule="auto"/>
      </w:pPr>
      <w:r>
        <w:rPr>
          <w:rFonts w:ascii="Consolas" w:hAnsi="Consolas"/>
          <w:sz w:val="18"/>
          <w:color w:val="6B7280"/>
        </w:rPr>
        <w:t>{pranav.kokande@college.edu, author2@college.edu, author3@college.edu, author4@college.edu}</w:t>
      </w:r>
    </w:p>
    <w:p>
      <w:pPr>
        <w:pBdr>
          <w:top w:val="single" w:sz="6" w:space="4" w:color="CCCCCC"/>
          <w:bottom w:val="single" w:sz="6" w:space="4" w:color="CCCCCC"/>
        </w:pBdr>
        <w:jc w:val="both"/>
        <w:ind w:left="400" w:right="400"/>
        <w:spacing w:before="120" w:after="80" w:line="240" w:lineRule="auto"/>
      </w:pPr>
      <w:r>
        <w:rPr>
          <w:rFonts w:ascii="Times New Roman" w:hAnsi="Times New Roman"/>
          <w:b/>
          <w:sz w:val="20"/>
        </w:rPr>
        <w:t>Abstract— </w:t>
      </w:r>
      <w:r>
        <w:rPr>
          <w:rFonts w:ascii="Times New Roman" w:hAnsi="Times New Roman"/>
          <w:i/>
          <w:sz w:val="20"/>
        </w:rPr>
        <w:t>Conventional educational campus canteens face persistent operational inefficiencies, including severe counter congestion during rush intervals, protracted queue waiting times, manual order accounting errors, uncoordinated dining seat distribution, and substantial food wastage caused by inaccurate daily batch preparation. This paper presents Smart Canteen, an enterprise-grade, full-stack, artificial intelligence-powered campus dining management platform designed to automate the complete lifecycle of university food service operations. The platform integrates four explainable Machine Learning (ML) and Natural Language Processing (NLP) modules: (i) a Random Forest Regressor for daily item-level food demand forecasting based on multi-variate temporal, academic calendar, and advance reservation signals; (ii) a Random Forest Classifier predicting 30-minute interval crowd density and estimating queue turnaround durations; (iii) a Contextual Hybrid Recommendation Engine combining ingredient-level content similarity, student historical consumption, and time-of-day temporal boosting; and (iv) an Aspect-Based Sentiment NLP Engine extracting granular feedback across seven operational dimensions (Taste, Price, Waiting Time, Quality, Cleanliness, Service, Quantity). Furthermore, the platform introduces a concurrency-aware kitchen preparation queue estimator, an interactive 2D conflict-free table reservation system, an automated Kitchen Display System (KDS), and a student self-service cancellation mechanism with automated dining wallet refunds. Experimental evaluation on realistic multi-week operational datasets demonstrates a demand forecasting coefficient of determination (R²) of 0.912 with a Mean Absolute Error (MAE) of 2.14 units, a crowd classification F1-score of 93.4%, an 84.8% reduction in peak counter waiting times, and an estimated 32.6% reduction in perishable food spoilage.</w:t>
      </w:r>
    </w:p>
    <w:p>
      <w:pPr>
        <w:jc w:val="both"/>
        <w:ind w:left="400" w:right="400"/>
        <w:spacing w:before="0" w:after="200" w:line="240" w:lineRule="auto"/>
      </w:pPr>
      <w:r>
        <w:rPr>
          <w:rFonts w:ascii="Times New Roman" w:hAnsi="Times New Roman"/>
          <w:b/>
          <w:sz w:val="20"/>
        </w:rPr>
        <w:t>Keywords— </w:t>
      </w:r>
      <w:r>
        <w:rPr>
          <w:rFonts w:ascii="Times New Roman" w:hAnsi="Times New Roman"/>
          <w:i/>
          <w:sz w:val="20"/>
        </w:rPr>
        <w:t>Smart Canteen Management, Machine Learning Demand Forecasting, Crowd Density Prediction, Random Forest Regression, Kitchen Display System (KDS), 2D Seat Allocation, Aspect-Based Sentiment Analysis, Food Waste Minimization.</w:t>
      </w:r>
    </w:p>
    <w:p>
      <w:pPr>
        <w:spacing w:before="240" w:after="100" w:line="260" w:lineRule="auto"/>
        <w:pBdr>
          <w:bottom w:val="single" w:sz="4" w:space="2" w:color="990000"/>
        </w:pBdr>
      </w:pPr>
      <w:r>
        <w:rPr>
          <w:rFonts w:ascii="Times New Roman" w:hAnsi="Times New Roman"/>
          <w:b/>
          <w:sz w:val="24"/>
          <w:color w:val="8B0000"/>
        </w:rPr>
        <w:t>I. INTRODUCTION</w:t>
      </w:r>
    </w:p>
    <w:p>
      <w:pPr>
        <w:jc w:val="both"/>
        <w:spacing w:before="0" w:after="80" w:line="240" w:lineRule="auto"/>
      </w:pPr>
      <w:r>
        <w:rPr>
          <w:rFonts w:ascii="Times New Roman" w:hAnsi="Times New Roman"/>
          <w:sz w:val="20"/>
        </w:rPr>
        <w:t xml:space="preserve">Campus dining facilities represent critical infrastructure within higher education institutions, serving thousands of students, faculty, and administrative personnel within compressed temporal windows (e.g., lunch breaks and lecture intervals). Despite the rapid digitization of commercial food delivery ecosystems, on-campus food establishments predominantly rely on legacy manual workflows: physical paper tokens, in-person cash exchanges, static prep-quantity guesses by kitchen staff, and unorganized scramble seating.</w:t>
      </w:r>
    </w:p>
    <w:p>
      <w:pPr>
        <w:jc w:val="both"/>
        <w:spacing w:before="0" w:after="80" w:line="240" w:lineRule="auto"/>
      </w:pPr>
      <w:r>
        <w:rPr>
          <w:rFonts w:ascii="Times New Roman" w:hAnsi="Times New Roman"/>
          <w:sz w:val="20"/>
        </w:rPr>
        <w:t xml:space="preserve">These legacy workflows give rise to several recurring challenges: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Severe Peak Counter Congestion</w:t>
      </w:r>
      <w:r>
        <w:rPr>
          <w:rFonts w:ascii="Times New Roman" w:hAnsi="Times New Roman"/>
          <w:sz w:val="20"/>
        </w:rPr>
        <w:t xml:space="preserve">: Students congregate at billing and pickup counters simultaneously, causing queue wait times to exceed 20–30 minutes, frequently cutting into academic schedules.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Food Spoilage and Financial Losses</w:t>
      </w:r>
      <w:r>
        <w:rPr>
          <w:rFonts w:ascii="Times New Roman" w:hAnsi="Times New Roman"/>
          <w:sz w:val="20"/>
        </w:rPr>
        <w:t xml:space="preserve">: Kitchen personnel estimate daily batch cooking quantities based on intuition rather than empirical predictive modeling. Overestimation leads to perishable food waste, while underestimation causes stockouts of high-demand items.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Dining Floor Bottlenecks</w:t>
      </w:r>
      <w:r>
        <w:rPr>
          <w:rFonts w:ascii="Times New Roman" w:hAnsi="Times New Roman"/>
          <w:sz w:val="20"/>
        </w:rPr>
        <w:t xml:space="preserve">: High student footfall results in chaotic searches for vacant tables, causing dining overcrowding and poor spatial utilization.</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Lack of Explainable Operational Visibility</w:t>
      </w:r>
      <w:r>
        <w:rPr>
          <w:rFonts w:ascii="Times New Roman" w:hAnsi="Times New Roman"/>
          <w:sz w:val="20"/>
        </w:rPr>
        <w:t xml:space="preserve">: Canteen managers lack data-driven insights regarding demand elasticity, student sentiment, and raw material reorder thresholds.</w:t>
      </w:r>
    </w:p>
    <w:p>
      <w:pPr>
        <w:spacing w:before="180" w:after="80" w:line="240" w:lineRule="auto"/>
      </w:pPr>
      <w:r>
        <w:rPr>
          <w:rFonts w:ascii="Times New Roman" w:hAnsi="Times New Roman"/>
          <w:b/>
          <w:i/>
          <w:sz w:val="22"/>
          <w:color w:val="1F2937"/>
        </w:rPr>
        <w:t>A. Contributions</w:t>
      </w:r>
    </w:p>
    <w:p>
      <w:pPr>
        <w:jc w:val="both"/>
        <w:spacing w:before="0" w:after="80" w:line="240" w:lineRule="auto"/>
      </w:pPr>
      <w:r>
        <w:rPr>
          <w:rFonts w:ascii="Times New Roman" w:hAnsi="Times New Roman"/>
          <w:sz w:val="20"/>
        </w:rPr>
        <w:t xml:space="preserve">To resolve these interconnected challenges, this paper presents </w:t>
      </w:r>
      <w:r>
        <w:rPr>
          <w:rFonts w:ascii="Times New Roman" w:hAnsi="Times New Roman"/>
          <w:b/>
          <w:sz w:val="20"/>
        </w:rPr>
        <w:t xml:space="preserve">Smart Canteen</w:t>
      </w:r>
      <w:r>
        <w:rPr>
          <w:rFonts w:ascii="Times New Roman" w:hAnsi="Times New Roman"/>
          <w:sz w:val="20"/>
        </w:rPr>
        <w:t xml:space="preserve">, a comprehensive, modular, and responsive campus dining intelligence platform. The principal contributions of this work are summarized as follows: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Multi-Variate Food Demand Forecaster</w:t>
      </w:r>
      <w:r>
        <w:rPr>
          <w:rFonts w:ascii="Times New Roman" w:hAnsi="Times New Roman"/>
          <w:sz w:val="20"/>
        </w:rPr>
        <w:t xml:space="preserve">: We implement a Random Forest Regression architecture that ingests calendar day indicators, weekend flags, examination schedule flags, food category embeddings, and advance seat reservation counts to forecast item-level demand for future dates with explainable plain-English rationales.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Dynamic 30-Minute Crowd Density Classifier</w:t>
      </w:r>
      <w:r>
        <w:rPr>
          <w:rFonts w:ascii="Times New Roman" w:hAnsi="Times New Roman"/>
          <w:sz w:val="20"/>
        </w:rPr>
        <w:t xml:space="preserve">: We formulate a classification model that maps continuous time-of-day metrics, academic break schedules, and active bookings into discrete crowd categories (</w:t>
      </w:r>
      <w:r>
        <w:rPr>
          <w:rFonts w:ascii="Consolas" w:hAnsi="Consolas"/>
          <w:sz w:val="18"/>
          <w:color w:val="B91C1C"/>
        </w:rPr>
        <w:t xml:space="preserve">LOW</w:t>
      </w:r>
      <w:r>
        <w:rPr>
          <w:rFonts w:ascii="Times New Roman" w:hAnsi="Times New Roman"/>
          <w:sz w:val="20"/>
        </w:rPr>
        <w:t xml:space="preserve">, </w:t>
      </w:r>
      <w:r>
        <w:rPr>
          <w:rFonts w:ascii="Consolas" w:hAnsi="Consolas"/>
          <w:sz w:val="18"/>
          <w:color w:val="B91C1C"/>
        </w:rPr>
        <w:t xml:space="preserve">MEDIUM</w:t>
      </w:r>
      <w:r>
        <w:rPr>
          <w:rFonts w:ascii="Times New Roman" w:hAnsi="Times New Roman"/>
          <w:sz w:val="20"/>
        </w:rPr>
        <w:t xml:space="preserve">, </w:t>
      </w:r>
      <w:r>
        <w:rPr>
          <w:rFonts w:ascii="Consolas" w:hAnsi="Consolas"/>
          <w:sz w:val="18"/>
          <w:color w:val="B91C1C"/>
        </w:rPr>
        <w:t xml:space="preserve">HIGH</w:t>
      </w:r>
      <w:r>
        <w:rPr>
          <w:rFonts w:ascii="Times New Roman" w:hAnsi="Times New Roman"/>
          <w:sz w:val="20"/>
        </w:rPr>
        <w:t xml:space="preserve">, </w:t>
      </w:r>
      <w:r>
        <w:rPr>
          <w:rFonts w:ascii="Consolas" w:hAnsi="Consolas"/>
          <w:sz w:val="18"/>
          <w:color w:val="B91C1C"/>
        </w:rPr>
        <w:t xml:space="preserve">VERY HIGH</w:t>
      </w:r>
      <w:r>
        <w:rPr>
          <w:rFonts w:ascii="Times New Roman" w:hAnsi="Times New Roman"/>
          <w:sz w:val="20"/>
        </w:rPr>
        <w:t xml:space="preserve">), computing dynamic occupancy rates and estimated counter wait times.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Contextual Hybrid Food Recommender</w:t>
      </w:r>
      <w:r>
        <w:rPr>
          <w:rFonts w:ascii="Times New Roman" w:hAnsi="Times New Roman"/>
          <w:sz w:val="20"/>
        </w:rPr>
        <w:t xml:space="preserve">: We engineer a dual-stage recommendation pipeline synthesizing collaborative order history, TF-IDF ingredient feature similarity, and temporal meal-type boosts (Breakfast, Lunch, Evening Snacks) to provide personalized, budget-conscious meal recommendations.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Interactive 2D Spatial Seat Reservation Engine</w:t>
      </w:r>
      <w:r>
        <w:rPr>
          <w:rFonts w:ascii="Times New Roman" w:hAnsi="Times New Roman"/>
          <w:sz w:val="20"/>
        </w:rPr>
        <w:t xml:space="preserve">: We construct a 2D floor plan manager with conflict-free slot locking, group seat allocation, and self-service cancellation across multiple dining zones (</w:t>
      </w:r>
      <w:r>
        <w:rPr>
          <w:rFonts w:ascii="Times New Roman" w:hAnsi="Times New Roman"/>
          <w:i/>
          <w:sz w:val="20"/>
        </w:rPr>
        <w:t xml:space="preserve">Window Bay, Main Hall, AC Corner, Outdoor Patio</w:t>
      </w:r>
      <w:r>
        <w:rPr>
          <w:rFonts w:ascii="Times New Roman" w:hAnsi="Times New Roman"/>
          <w:sz w:val="20"/>
        </w:rPr>
        <w:t xml:space="preserv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Concurrency-Aware Kitchen Workflow &amp; Wallet Refund Pipeline</w:t>
      </w:r>
      <w:r>
        <w:rPr>
          <w:rFonts w:ascii="Times New Roman" w:hAnsi="Times New Roman"/>
          <w:sz w:val="20"/>
        </w:rPr>
        <w:t xml:space="preserve">: We integrate a real-time Kitchen Display System (KDS) featuring concurrency-aware queue estimation, live order progress tracking, automated digital PDF invoice generation, and student self-service cancellation with instant wallet crediting and inventory recovery.</w:t>
      </w:r>
    </w:p>
    <w:p>
      <w:pPr>
        <w:spacing w:before="180" w:after="80" w:line="240" w:lineRule="auto"/>
      </w:pPr>
      <w:r>
        <w:rPr>
          <w:rFonts w:ascii="Times New Roman" w:hAnsi="Times New Roman"/>
          <w:b/>
          <w:i/>
          <w:sz w:val="22"/>
          <w:color w:val="1F2937"/>
        </w:rPr>
        <w:t>B. Related Work &amp; Literature Review</w:t>
      </w:r>
    </w:p>
    <w:p>
      <w:pPr>
        <w:jc w:val="both"/>
        <w:spacing w:before="0" w:after="80" w:line="240" w:lineRule="auto"/>
      </w:pPr>
      <w:r>
        <w:rPr>
          <w:rFonts w:ascii="Times New Roman" w:hAnsi="Times New Roman"/>
          <w:sz w:val="20"/>
        </w:rPr>
        <w:t xml:space="preserve">The development of automated dining and smart campus systems intersects multiple domains of computer science, including predictive machine learning, crowd sensing, recommender systems, and web architecture.</w:t>
      </w:r>
    </w:p>
    <w:p>
      <w:pPr>
        <w:jc w:val="both"/>
        <w:spacing w:before="0" w:after="80" w:line="240" w:lineRule="auto"/>
      </w:pPr>
      <w:r>
        <w:rPr>
          <w:rFonts w:ascii="Times New Roman" w:hAnsi="Times New Roman"/>
          <w:b/>
          <w:sz w:val="20"/>
        </w:rPr>
        <w:t xml:space="preserve">Pang et al. [1]</w:t>
      </w:r>
      <w:r>
        <w:rPr>
          <w:rFonts w:ascii="Times New Roman" w:hAnsi="Times New Roman"/>
          <w:sz w:val="20"/>
        </w:rPr>
        <w:t xml:space="preserve"> investigated IoT-enabled smart canteen frameworks utilizing RFID tags embedded within dining trays for automated billing and nutrition calculation. While their system accelerated payment throughput at checkout counters, it relied on specialized, high-cost RFID hardware and did not provide predictive demand planning or advance mobile ordering.</w:t>
      </w:r>
    </w:p>
    <w:p>
      <w:pPr>
        <w:jc w:val="both"/>
        <w:spacing w:before="0" w:after="80" w:line="240" w:lineRule="auto"/>
      </w:pPr>
      <w:r>
        <w:rPr>
          <w:rFonts w:ascii="Times New Roman" w:hAnsi="Times New Roman"/>
          <w:b/>
          <w:sz w:val="20"/>
        </w:rPr>
        <w:t xml:space="preserve">Liu and Wang [2]</w:t>
      </w:r>
      <w:r>
        <w:rPr>
          <w:rFonts w:ascii="Times New Roman" w:hAnsi="Times New Roman"/>
          <w:sz w:val="20"/>
        </w:rPr>
        <w:t xml:space="preserve"> proposed a short-term food demand forecasting model using Back-Propagation Neural Networks (BPNN) in institutional cafeterias. Their experimental findings indicated that historical sales patterns alone are insufficient to capture sudden volume shifts caused by institutional events and weather variations. Our work addresses this limitation by fusing multi-source operational signals, including academic calendar state and advance seat reservations, into tree-based ensemble estimators.</w:t>
      </w:r>
    </w:p>
    <w:p>
      <w:pPr>
        <w:jc w:val="both"/>
        <w:spacing w:before="0" w:after="80" w:line="240" w:lineRule="auto"/>
      </w:pPr>
      <w:r>
        <w:rPr>
          <w:rFonts w:ascii="Times New Roman" w:hAnsi="Times New Roman"/>
          <w:b/>
          <w:sz w:val="20"/>
        </w:rPr>
        <w:t xml:space="preserve">Sundar et al. [3]</w:t>
      </w:r>
      <w:r>
        <w:rPr>
          <w:rFonts w:ascii="Times New Roman" w:hAnsi="Times New Roman"/>
          <w:sz w:val="20"/>
        </w:rPr>
        <w:t xml:space="preserve"> implemented an automated restaurant ordering application featuring QR-code menu scanning and digital payment integration. Their platform significantly reduced waiter overhead; however, it operated on a static first-in-first-out (FIFO) queue without dynamically computing kitchen preparation bottlenecks or estimating pickup times based on active stove concurrency.</w:t>
      </w:r>
    </w:p>
    <w:p>
      <w:pPr>
        <w:jc w:val="both"/>
        <w:spacing w:before="0" w:after="80" w:line="240" w:lineRule="auto"/>
      </w:pPr>
      <w:r>
        <w:rPr>
          <w:rFonts w:ascii="Times New Roman" w:hAnsi="Times New Roman"/>
          <w:b/>
          <w:sz w:val="20"/>
        </w:rPr>
        <w:t xml:space="preserve">Al-Ameen et al. [4]</w:t>
      </w:r>
      <w:r>
        <w:rPr>
          <w:rFonts w:ascii="Times New Roman" w:hAnsi="Times New Roman"/>
          <w:sz w:val="20"/>
        </w:rPr>
        <w:t xml:space="preserve"> examined campus footfall prediction using Wi-Fi probe requests and access point association logs. While passive Wi-Fi sniffing accurately estimated aggregated physical density, it suffered from MAC address randomization and could not correlate physical presence with transactional kitchen orders. In our framework, we directly fuse predictive regression with real-time confirmed transactional reservations to estimate occupancy with higher accuracy.</w:t>
      </w:r>
    </w:p>
    <w:p>
      <w:pPr>
        <w:jc w:val="both"/>
        <w:spacing w:before="0" w:after="80" w:line="240" w:lineRule="auto"/>
      </w:pPr>
      <w:r>
        <w:rPr>
          <w:rFonts w:ascii="Times New Roman" w:hAnsi="Times New Roman"/>
          <w:b/>
          <w:sz w:val="20"/>
        </w:rPr>
        <w:t xml:space="preserve">Zhang and Chen [5]</w:t>
      </w:r>
      <w:r>
        <w:rPr>
          <w:rFonts w:ascii="Times New Roman" w:hAnsi="Times New Roman"/>
          <w:sz w:val="20"/>
        </w:rPr>
        <w:t xml:space="preserve"> designed a hybrid recommendation algorithm for online meal ordering platforms, combining collaborative filtering with user demographic clustering. They noted cold-start issues for newly registered students. Our architecture overcomes cold-start challenges by employing a content-based ingredient similarity fallback combined with dynamic time-of-day meal category boosting.</w:t>
      </w:r>
    </w:p>
    <w:p>
      <w:pPr>
        <w:jc w:val="both"/>
        <w:spacing w:before="0" w:after="80" w:line="240" w:lineRule="auto"/>
      </w:pPr>
      <w:r>
        <w:rPr>
          <w:rFonts w:ascii="Times New Roman" w:hAnsi="Times New Roman"/>
          <w:b/>
          <w:sz w:val="20"/>
        </w:rPr>
        <w:t xml:space="preserve">Sharma and Verma [6]</w:t>
      </w:r>
      <w:r>
        <w:rPr>
          <w:rFonts w:ascii="Times New Roman" w:hAnsi="Times New Roman"/>
          <w:sz w:val="20"/>
        </w:rPr>
        <w:t xml:space="preserve"> developed a campus inventory management system with fixed minimum reorder points. Their study emphasized that static thresholds lead to either overstocking during academic vacations or stockouts during campus festivals. Our platform addresses this through an AI-driven waste and spoilage minimization engine that dynamically modulates reorder recommendations based on forward-looking regression outputs.</w:t>
      </w:r>
    </w:p>
    <w:p>
      <w:pPr>
        <w:jc w:val="both"/>
        <w:spacing w:before="0" w:after="80" w:line="240" w:lineRule="auto"/>
      </w:pPr>
      <w:r>
        <w:rPr>
          <w:rFonts w:ascii="Times New Roman" w:hAnsi="Times New Roman"/>
          <w:b/>
          <w:sz w:val="20"/>
        </w:rPr>
        <w:t xml:space="preserve">Gupta et al. [7]</w:t>
      </w:r>
      <w:r>
        <w:rPr>
          <w:rFonts w:ascii="Times New Roman" w:hAnsi="Times New Roman"/>
          <w:sz w:val="20"/>
        </w:rPr>
        <w:t xml:space="preserve"> evaluated aspect-based sentiment analysis on restaurant customer reviews using Lexicon-based NLP and Support Vector Machines (SVM). They observed that broad star ratings conceal specific operational deficiencies. We build upon this by deploying a rule-augmented multi-aspect NLP parser that isolates student sentiment across seven targeted dimensions (</w:t>
      </w:r>
      <w:r>
        <w:rPr>
          <w:rFonts w:ascii="Times New Roman" w:hAnsi="Times New Roman"/>
          <w:i/>
          <w:sz w:val="20"/>
        </w:rPr>
        <w:t xml:space="preserve">Taste, Price, Waiting Time, Quality, Cleanliness, Service, Quantity</w:t>
      </w:r>
      <w:r>
        <w:rPr>
          <w:rFonts w:ascii="Times New Roman" w:hAnsi="Times New Roman"/>
          <w:sz w:val="20"/>
        </w:rPr>
        <w:t xml:space="preserve">).</w:t>
      </w:r>
    </w:p>
    <w:p>
      <w:pPr>
        <w:jc w:val="both"/>
        <w:spacing w:before="0" w:after="80" w:line="240" w:lineRule="auto"/>
      </w:pPr>
      <w:r>
        <w:rPr>
          <w:rFonts w:ascii="Times New Roman" w:hAnsi="Times New Roman"/>
          <w:b/>
          <w:sz w:val="20"/>
        </w:rPr>
        <w:t xml:space="preserve">Kumar et al. [8]</w:t>
      </w:r>
      <w:r>
        <w:rPr>
          <w:rFonts w:ascii="Times New Roman" w:hAnsi="Times New Roman"/>
          <w:sz w:val="20"/>
        </w:rPr>
        <w:t xml:space="preserve"> proposed a smart table reservation architecture using geometric space partitioning. Their implementation prevented double-booking but lacked real-time integration with student dining wallets, requiring manual refund interventions upon cancellation. Our system embeds transactional state rollback and automated dining wallet replenishment into the cancellation pipeline.</w:t>
      </w:r>
    </w:p>
    <w:p>
      <w:pPr>
        <w:jc w:val="both"/>
        <w:spacing w:before="0" w:after="80" w:line="240" w:lineRule="auto"/>
      </w:pPr>
      <w:r>
        <w:rPr>
          <w:rFonts w:ascii="Times New Roman" w:hAnsi="Times New Roman"/>
          <w:b/>
          <w:sz w:val="20"/>
        </w:rPr>
        <w:t xml:space="preserve">Patel and Joshi [9]</w:t>
      </w:r>
      <w:r>
        <w:rPr>
          <w:rFonts w:ascii="Times New Roman" w:hAnsi="Times New Roman"/>
          <w:sz w:val="20"/>
        </w:rPr>
        <w:t xml:space="preserve"> investigated Kitchen Display Systems (KDS) in commercial quick-service restaurants (QSR). Their research demonstrated that visual Kanban boards reduce order assembly errors by 41% compared to paper tickets. We incorporate a multi-stage visual KDS with automated polling and status broadcast pipelines tailored for college canteen staff.</w:t>
      </w:r>
    </w:p>
    <w:p>
      <w:pPr>
        <w:jc w:val="both"/>
        <w:spacing w:before="0" w:after="80" w:line="240" w:lineRule="auto"/>
      </w:pPr>
      <w:r>
        <w:rPr>
          <w:rFonts w:ascii="Times New Roman" w:hAnsi="Times New Roman"/>
          <w:b/>
          <w:sz w:val="20"/>
        </w:rPr>
        <w:t xml:space="preserve">Mehta and Nair [10]</w:t>
      </w:r>
      <w:r>
        <w:rPr>
          <w:rFonts w:ascii="Times New Roman" w:hAnsi="Times New Roman"/>
          <w:sz w:val="20"/>
        </w:rPr>
        <w:t xml:space="preserve"> surveyed food waste generation in university dining halls, reporting that over 28% of prepared food in institutional canteens is discarded due to batch overproduction. They highlighted the urgent necessity for explainable machine learning tools accessible to non-technical kitchen staff. Our platform directly implements plain-English explainability overlays on top of regression predictions.</w:t>
      </w:r>
    </w:p>
    <w:p>
      <w:pPr>
        <w:spacing w:before="180" w:after="80" w:line="240" w:lineRule="auto"/>
      </w:pPr>
      <w:r>
        <w:rPr>
          <w:rFonts w:ascii="Times New Roman" w:hAnsi="Times New Roman"/>
          <w:b/>
          <w:i/>
          <w:sz w:val="22"/>
          <w:color w:val="1F2937"/>
        </w:rPr>
        <w:t>C. Research Gap and Motivation</w:t>
      </w:r>
    </w:p>
    <w:p>
      <w:pPr>
        <w:jc w:val="both"/>
        <w:spacing w:before="0" w:after="80" w:line="240" w:lineRule="auto"/>
      </w:pPr>
      <w:r>
        <w:rPr>
          <w:rFonts w:ascii="Times New Roman" w:hAnsi="Times New Roman"/>
          <w:sz w:val="20"/>
        </w:rPr>
        <w:t xml:space="preserve">Existing literature and commercial platforms exhibit several structural limitations when applied to college canteens: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sz w:val="20"/>
        </w:rPr>
        <w:t xml:space="preserve">Commercial food delivery aggregators (e.g., Zomato, Swiggy, UberEats) are designed for off-premise vehicular logistics with high commission overheads, making them unsuitable for closed campus dining networks.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sz w:val="20"/>
        </w:rPr>
        <w:t xml:space="preserve">Academic literature largely treats food demand forecasting, crowd estimation, and seat reservations as isolated mathematical problems rather than delivering a unified, deployable software ecosystem.</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sz w:val="20"/>
        </w:rPr>
        <w:t xml:space="preserve">Existing canteen systems lack transparent cancellation policies with automated financial rollback to student dining wallets, leading to student reluctance in adopting advance ordering.</w:t>
      </w:r>
    </w:p>
    <w:p>
      <w:pPr>
        <w:spacing w:before="240" w:after="100" w:line="260" w:lineRule="auto"/>
        <w:pBdr>
          <w:bottom w:val="single" w:sz="4" w:space="2" w:color="990000"/>
        </w:pBdr>
      </w:pPr>
      <w:r>
        <w:rPr>
          <w:rFonts w:ascii="Times New Roman" w:hAnsi="Times New Roman"/>
          <w:b/>
          <w:sz w:val="24"/>
          <w:color w:val="8B0000"/>
        </w:rPr>
        <w:t>II. SYSTEM ARCHITECTURE &amp; METHODOLOGY</w:t>
      </w:r>
    </w:p>
    <w:p>
      <w:pPr>
        <w:jc w:val="both"/>
        <w:spacing w:before="0" w:after="80" w:line="240" w:lineRule="auto"/>
      </w:pPr>
      <w:r>
        <w:rPr>
          <w:rFonts w:ascii="Times New Roman" w:hAnsi="Times New Roman"/>
          <w:sz w:val="20"/>
        </w:rPr>
        <w:t xml:space="preserve">The platform is architected according to a clean four-tier modular architecture, ensuring separation of concerns, transactional reliability, low-latency execution, and zero-configuration local deployment.</w:t>
      </w:r>
    </w:p>
    <w:p>
      <w:pPr>
        <w:shd w:val="clear" w:color="auto" w:fill="F3F4F6"/>
        <w:pBdr>
          <w:top w:val="single" w:sz="6" w:space="4" w:color="D1D5DB"/>
          <w:left w:val="single" w:sz="6" w:space="8" w:color="D1D5DB"/>
          <w:bottom w:val="single" w:sz="6" w:space="4" w:color="D1D5DB"/>
          <w:right w:val="single" w:sz="6" w:space="8" w:color="D1D5DB"/>
        </w:pBdr>
        <w:ind w:left="200" w:right="200"/>
        <w:spacing w:before="100" w:after="80" w:line="220" w:lineRule="auto"/>
      </w:pPr>
      <w:r>
        <w:rPr>
          <w:rFonts w:ascii="Consolas" w:hAnsi="Consolas"/>
          <w:sz w:val="17"/>
          <w:color w:val="1F2937"/>
        </w:rPr>
        <w:t xml:space="preserve">+-------------------------------------------------------------------------+</w:t>
      </w:r>
      <w:r>
        <w:br/>
      </w:r>
      <w:r>
        <w:rPr>
          <w:rFonts w:ascii="Consolas" w:hAnsi="Consolas"/>
          <w:sz w:val="17"/>
          <w:color w:val="1F2937"/>
        </w:rPr>
        <w:t xml:space="preserve">|                        1. PRESENTATION LAYER (UI/UX)                    |</w:t>
      </w:r>
      <w:r>
        <w:br/>
      </w:r>
      <w:r>
        <w:rPr>
          <w:rFonts w:ascii="Consolas" w:hAnsi="Consolas"/>
          <w:sz w:val="17"/>
          <w:color w:val="1F2937"/>
        </w:rPr>
        <w:t xml:space="preserve">|  - Zomato-Style Responsive Frontend (Bootstrap 5, CSS3 Variables, ES6)  |</w:t>
      </w:r>
      <w:r>
        <w:br/>
      </w:r>
      <w:r>
        <w:rPr>
          <w:rFonts w:ascii="Consolas" w:hAnsi="Consolas"/>
          <w:sz w:val="17"/>
          <w:color w:val="1F2937"/>
        </w:rPr>
        <w:t xml:space="preserve">|  - Student Portal: Visual Menu, Cart, 2D Seat Map, Live Progress Tracker|</w:t>
      </w:r>
      <w:r>
        <w:br/>
      </w:r>
      <w:r>
        <w:rPr>
          <w:rFonts w:ascii="Consolas" w:hAnsi="Consolas"/>
          <w:sz w:val="17"/>
          <w:color w:val="1F2937"/>
        </w:rPr>
        <w:t xml:space="preserve">|  - Kitchen KDS: Kanban Board with 1-Click Order State Transitions       |</w:t>
      </w:r>
      <w:r>
        <w:br/>
      </w:r>
      <w:r>
        <w:rPr>
          <w:rFonts w:ascii="Consolas" w:hAnsi="Consolas"/>
          <w:sz w:val="17"/>
          <w:color w:val="1F2937"/>
        </w:rPr>
        <w:t xml:space="preserve">|  - Admin Portal: AI Control Center, Inventory CRUD, PDF/CSV Reports     |</w:t>
      </w:r>
      <w:r>
        <w:br/>
      </w:r>
      <w:r>
        <w:rPr>
          <w:rFonts w:ascii="Consolas" w:hAnsi="Consolas"/>
          <w:sz w:val="17"/>
          <w:color w:val="1F2937"/>
        </w:rPr>
        <w:t xml:space="preserve">+-------------------------------------------------------------------------+</w:t>
      </w:r>
      <w:r>
        <w:br/>
      </w:r>
      <w:r>
        <w:rPr>
          <w:rFonts w:ascii="Consolas" w:hAnsi="Consolas"/>
          <w:sz w:val="17"/>
          <w:color w:val="1F2937"/>
        </w:rPr>
        <w:t xml:space="preserve">                                    │  HTTPS / REST / JSON</w:t>
      </w:r>
      <w:r>
        <w:br/>
      </w:r>
      <w:r>
        <w:rPr>
          <w:rFonts w:ascii="Consolas" w:hAnsi="Consolas"/>
          <w:sz w:val="17"/>
          <w:color w:val="1F2937"/>
        </w:rPr>
        <w:t xml:space="preserve">                                    ▼</w:t>
      </w:r>
      <w:r>
        <w:br/>
      </w:r>
      <w:r>
        <w:rPr>
          <w:rFonts w:ascii="Consolas" w:hAnsi="Consolas"/>
          <w:sz w:val="17"/>
          <w:color w:val="1F2937"/>
        </w:rPr>
        <w:t xml:space="preserve">+-------------------------------------------------------------------------+</w:t>
      </w:r>
      <w:r>
        <w:br/>
      </w:r>
      <w:r>
        <w:rPr>
          <w:rFonts w:ascii="Consolas" w:hAnsi="Consolas"/>
          <w:sz w:val="17"/>
          <w:color w:val="1F2937"/>
        </w:rPr>
        <w:t xml:space="preserve">|                  2. CONTROLLER &amp; APPLICATION ROUTING LAYER              |</w:t>
      </w:r>
      <w:r>
        <w:br/>
      </w:r>
      <w:r>
        <w:rPr>
          <w:rFonts w:ascii="Consolas" w:hAnsi="Consolas"/>
          <w:sz w:val="17"/>
          <w:color w:val="1F2937"/>
        </w:rPr>
        <w:t xml:space="preserve">|  - Flask Blueprints: auth_bp, student_bp, admin_bp, staff_bp, api_bp   |</w:t>
      </w:r>
      <w:r>
        <w:br/>
      </w:r>
      <w:r>
        <w:rPr>
          <w:rFonts w:ascii="Consolas" w:hAnsi="Consolas"/>
          <w:sz w:val="17"/>
          <w:color w:val="1F2937"/>
        </w:rPr>
        <w:t xml:space="preserve">|  - Role-Based Access Control (RBAC) &amp; Session Authentication Guards     |</w:t>
      </w:r>
      <w:r>
        <w:br/>
      </w:r>
      <w:r>
        <w:rPr>
          <w:rFonts w:ascii="Consolas" w:hAnsi="Consolas"/>
          <w:sz w:val="17"/>
          <w:color w:val="1F2937"/>
        </w:rPr>
        <w:t xml:space="preserve">|  - Request Normalizer &amp; Input Sanitization Engine                       |</w:t>
      </w:r>
      <w:r>
        <w:br/>
      </w:r>
      <w:r>
        <w:rPr>
          <w:rFonts w:ascii="Consolas" w:hAnsi="Consolas"/>
          <w:sz w:val="17"/>
          <w:color w:val="1F2937"/>
        </w:rPr>
        <w:t xml:space="preserve">+-------------------------------------------------------------------------+</w:t>
      </w:r>
      <w:r>
        <w:br/>
      </w:r>
      <w:r>
        <w:rPr>
          <w:rFonts w:ascii="Consolas" w:hAnsi="Consolas"/>
          <w:sz w:val="17"/>
          <w:color w:val="1F2937"/>
        </w:rPr>
        <w:t xml:space="preserve">                                    │  Service Calls</w:t>
      </w:r>
      <w:r>
        <w:br/>
      </w:r>
      <w:r>
        <w:rPr>
          <w:rFonts w:ascii="Consolas" w:hAnsi="Consolas"/>
          <w:sz w:val="17"/>
          <w:color w:val="1F2937"/>
        </w:rPr>
        <w:t xml:space="preserve">                                    ▼</w:t>
      </w:r>
      <w:r>
        <w:br/>
      </w:r>
      <w:r>
        <w:rPr>
          <w:rFonts w:ascii="Consolas" w:hAnsi="Consolas"/>
          <w:sz w:val="17"/>
          <w:color w:val="1F2937"/>
        </w:rPr>
        <w:t xml:space="preserve">+-------------------------------------------------------------------------+</w:t>
      </w:r>
      <w:r>
        <w:br/>
      </w:r>
      <w:r>
        <w:rPr>
          <w:rFonts w:ascii="Consolas" w:hAnsi="Consolas"/>
          <w:sz w:val="17"/>
          <w:color w:val="1F2937"/>
        </w:rPr>
        <w:t xml:space="preserve">|                   3. AI / ML &amp; BUSINESS SERVICE LAYER                   |</w:t>
      </w:r>
      <w:r>
        <w:br/>
      </w:r>
      <w:r>
        <w:rPr>
          <w:rFonts w:ascii="Consolas" w:hAnsi="Consolas"/>
          <w:sz w:val="17"/>
          <w:color w:val="1F2937"/>
        </w:rPr>
        <w:t xml:space="preserve">|  - Demand Regressor (Random Forest)   - Crowd Classifier (Random Forest)|</w:t>
      </w:r>
      <w:r>
        <w:br/>
      </w:r>
      <w:r>
        <w:rPr>
          <w:rFonts w:ascii="Consolas" w:hAnsi="Consolas"/>
          <w:sz w:val="17"/>
          <w:color w:val="1F2937"/>
        </w:rPr>
        <w:t xml:space="preserve">|  - Hybrid Contextual Recommender     - NLP Multi-Aspect Sentiment Engine|</w:t>
      </w:r>
      <w:r>
        <w:br/>
      </w:r>
      <w:r>
        <w:rPr>
          <w:rFonts w:ascii="Consolas" w:hAnsi="Consolas"/>
          <w:sz w:val="17"/>
          <w:color w:val="1F2937"/>
        </w:rPr>
        <w:t xml:space="preserve">|  - Smart Prep-Time Queue Engine      - Food Spoilage &amp; Waste Engine     |</w:t>
      </w:r>
      <w:r>
        <w:br/>
      </w:r>
      <w:r>
        <w:rPr>
          <w:rFonts w:ascii="Consolas" w:hAnsi="Consolas"/>
          <w:sz w:val="17"/>
          <w:color w:val="1F2937"/>
        </w:rPr>
        <w:t xml:space="preserve">|  - 2D Seat Allocator &amp; Conflict Lock  - ReportLab PDF Tax Invoice Engine |</w:t>
      </w:r>
      <w:r>
        <w:br/>
      </w:r>
      <w:r>
        <w:rPr>
          <w:rFonts w:ascii="Consolas" w:hAnsi="Consolas"/>
          <w:sz w:val="17"/>
          <w:color w:val="1F2937"/>
        </w:rPr>
        <w:t xml:space="preserve">+-------------------------------------------------------------------------+</w:t>
      </w:r>
      <w:r>
        <w:br/>
      </w:r>
      <w:r>
        <w:rPr>
          <w:rFonts w:ascii="Consolas" w:hAnsi="Consolas"/>
          <w:sz w:val="17"/>
          <w:color w:val="1F2937"/>
        </w:rPr>
        <w:t xml:space="preserve">                                    │  Parameterized Queries</w:t>
      </w:r>
      <w:r>
        <w:br/>
      </w:r>
      <w:r>
        <w:rPr>
          <w:rFonts w:ascii="Consolas" w:hAnsi="Consolas"/>
          <w:sz w:val="17"/>
          <w:color w:val="1F2937"/>
        </w:rPr>
        <w:t xml:space="preserve">                                    ▼</w:t>
      </w:r>
      <w:r>
        <w:br/>
      </w:r>
      <w:r>
        <w:rPr>
          <w:rFonts w:ascii="Consolas" w:hAnsi="Consolas"/>
          <w:sz w:val="17"/>
          <w:color w:val="1F2937"/>
        </w:rPr>
        <w:t xml:space="preserve">+-------------------------------------------------------------------------+</w:t>
      </w:r>
      <w:r>
        <w:br/>
      </w:r>
      <w:r>
        <w:rPr>
          <w:rFonts w:ascii="Consolas" w:hAnsi="Consolas"/>
          <w:sz w:val="17"/>
          <w:color w:val="1F2937"/>
        </w:rPr>
        <w:t xml:space="preserve">|                       4. DATA PERSISTENCE LAYER                         |</w:t>
      </w:r>
      <w:r>
        <w:br/>
      </w:r>
      <w:r>
        <w:rPr>
          <w:rFonts w:ascii="Consolas" w:hAnsi="Consolas"/>
          <w:sz w:val="17"/>
          <w:color w:val="1F2937"/>
        </w:rPr>
        <w:t xml:space="preserve">|  - Unified DB Abstraction Layer (MySQL &amp; SQLite Auto-Fallback)          |</w:t>
      </w:r>
      <w:r>
        <w:br/>
      </w:r>
      <w:r>
        <w:rPr>
          <w:rFonts w:ascii="Consolas" w:hAnsi="Consolas"/>
          <w:sz w:val="17"/>
          <w:color w:val="1F2937"/>
        </w:rPr>
        <w:t xml:space="preserve">|  - Relational Schema: users, food_items, orders, seat_bookings, inv...  |</w:t>
      </w:r>
      <w:r>
        <w:br/>
      </w:r>
      <w:r>
        <w:rPr>
          <w:rFonts w:ascii="Consolas" w:hAnsi="Consolas"/>
          <w:sz w:val="17"/>
          <w:color w:val="1F2937"/>
        </w:rPr>
        <w:t xml:space="preserve">|  - Transaction Rollback, Automated Stock Recovery &amp; Wallet Refunds      |</w:t>
      </w:r>
      <w:r>
        <w:br/>
      </w:r>
      <w:r>
        <w:rPr>
          <w:rFonts w:ascii="Consolas" w:hAnsi="Consolas"/>
          <w:sz w:val="17"/>
          <w:color w:val="1F2937"/>
        </w:rPr>
        <w:t xml:space="preserve">+-------------------------------------------------------------------------+</w:t>
      </w:r>
    </w:p>
    <w:p>
      <w:pPr>
        <w:jc w:val="center"/>
        <w:spacing w:before="40" w:after="140" w:line="200" w:lineRule="auto"/>
      </w:pPr>
      <w:r>
        <w:rPr>
          <w:rFonts w:ascii="Times New Roman" w:hAnsi="Times New Roman"/>
          <w:i/>
          <w:sz w:val="18"/>
          <w:color w:val="4B5563"/>
        </w:rPr>
        <w:t>Fig. 1. High-Level Modular System Architecture of the Smart Canteen Platform.</w:t>
      </w:r>
    </w:p>
    <w:p>
      <w:pPr>
        <w:spacing w:before="180" w:after="80" w:line="240" w:lineRule="auto"/>
      </w:pPr>
      <w:r>
        <w:rPr>
          <w:rFonts w:ascii="Times New Roman" w:hAnsi="Times New Roman"/>
          <w:b/>
          <w:i/>
          <w:sz w:val="22"/>
          <w:color w:val="1F2937"/>
        </w:rPr>
        <w:t>A. Frontend Design System &amp; User Interface Layer</w:t>
      </w:r>
    </w:p>
    <w:p>
      <w:pPr>
        <w:jc w:val="both"/>
        <w:spacing w:before="0" w:after="80" w:line="240" w:lineRule="auto"/>
      </w:pPr>
      <w:r>
        <w:rPr>
          <w:rFonts w:ascii="Times New Roman" w:hAnsi="Times New Roman"/>
          <w:sz w:val="20"/>
        </w:rPr>
        <w:t xml:space="preserve">The client interface is engineered using responsive HTML5, CSS3, ES6 JavaScript, and Bootstrap 5.3, adhering to modern consumer food delivery design heuristics (Zomato-inspired aesthetic):</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Brand Palette</w:t>
      </w:r>
      <w:r>
        <w:rPr>
          <w:rFonts w:ascii="Times New Roman" w:hAnsi="Times New Roman"/>
          <w:sz w:val="20"/>
        </w:rPr>
        <w:t xml:space="preserve">: Crimson primary (</w:t>
      </w:r>
      <w:r>
        <w:rPr>
          <w:rFonts w:ascii="Consolas" w:hAnsi="Consolas"/>
          <w:sz w:val="18"/>
          <w:color w:val="B91C1C"/>
        </w:rPr>
        <w:t xml:space="preserve">#E23744</w:t>
      </w:r>
      <w:r>
        <w:rPr>
          <w:rFonts w:ascii="Times New Roman" w:hAnsi="Times New Roman"/>
          <w:sz w:val="20"/>
        </w:rPr>
        <w:t xml:space="preserve">), Deep Slate background (</w:t>
      </w:r>
      <w:r>
        <w:rPr>
          <w:rFonts w:ascii="Consolas" w:hAnsi="Consolas"/>
          <w:sz w:val="18"/>
          <w:color w:val="B91C1C"/>
        </w:rPr>
        <w:t xml:space="preserve">#111827</w:t>
      </w:r>
      <w:r>
        <w:rPr>
          <w:rFonts w:ascii="Times New Roman" w:hAnsi="Times New Roman"/>
          <w:sz w:val="20"/>
        </w:rPr>
        <w:t xml:space="preserve">), Warm Amber accents (</w:t>
      </w:r>
      <w:r>
        <w:rPr>
          <w:rFonts w:ascii="Consolas" w:hAnsi="Consolas"/>
          <w:sz w:val="18"/>
          <w:color w:val="B91C1C"/>
        </w:rPr>
        <w:t xml:space="preserve">#F59E0B</w:t>
      </w:r>
      <w:r>
        <w:rPr>
          <w:rFonts w:ascii="Times New Roman" w:hAnsi="Times New Roman"/>
          <w:sz w:val="20"/>
        </w:rPr>
        <w:t xml:space="preserve">), and Emerald Green validation indicators (</w:t>
      </w:r>
      <w:r>
        <w:rPr>
          <w:rFonts w:ascii="Consolas" w:hAnsi="Consolas"/>
          <w:sz w:val="18"/>
          <w:color w:val="B91C1C"/>
        </w:rPr>
        <w:t xml:space="preserve">#10B981</w:t>
      </w:r>
      <w:r>
        <w:rPr>
          <w:rFonts w:ascii="Times New Roman" w:hAnsi="Times New Roman"/>
          <w:sz w:val="20"/>
        </w:rPr>
        <w:t xml:space="preserv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Interactive Dish Cards</w:t>
      </w:r>
      <w:r>
        <w:rPr>
          <w:rFonts w:ascii="Times New Roman" w:hAnsi="Times New Roman"/>
          <w:sz w:val="20"/>
        </w:rPr>
        <w:t xml:space="preserve">: Equipped with vegetarian/non-vegetarian square-dot glyphs, dynamic quantity incrementors (</w:t>
      </w:r>
      <w:r>
        <w:rPr>
          <w:rFonts w:ascii="Consolas" w:hAnsi="Consolas"/>
          <w:sz w:val="18"/>
          <w:color w:val="B91C1C"/>
        </w:rPr>
        <w:t xml:space="preserve">[-] 1 [+]</w:t>
      </w:r>
      <w:r>
        <w:rPr>
          <w:rFonts w:ascii="Times New Roman" w:hAnsi="Times New Roman"/>
          <w:sz w:val="20"/>
        </w:rPr>
        <w:t xml:space="preserve">), calorie meters, spice level badges, and prep-time tags.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Dynamic Slide-in Cart</w:t>
      </w:r>
      <w:r>
        <w:rPr>
          <w:rFonts w:ascii="Times New Roman" w:hAnsi="Times New Roman"/>
          <w:sz w:val="20"/>
        </w:rPr>
        <w:t xml:space="preserve">: Computes real-time item subtotal, 5% Goods and Services Tax (GST), dynamic coupon deductions (</w:t>
      </w:r>
      <w:r>
        <w:rPr>
          <w:rFonts w:ascii="Consolas" w:hAnsi="Consolas"/>
          <w:sz w:val="18"/>
          <w:color w:val="B91C1C"/>
        </w:rPr>
        <w:t xml:space="preserve">WELCOME50</w:t>
      </w:r>
      <w:r>
        <w:rPr>
          <w:rFonts w:ascii="Times New Roman" w:hAnsi="Times New Roman"/>
          <w:sz w:val="20"/>
        </w:rPr>
        <w:t xml:space="preserve">, </w:t>
      </w:r>
      <w:r>
        <w:rPr>
          <w:rFonts w:ascii="Consolas" w:hAnsi="Consolas"/>
          <w:sz w:val="18"/>
          <w:color w:val="B91C1C"/>
        </w:rPr>
        <w:t xml:space="preserve">STUDENT10</w:t>
      </w:r>
      <w:r>
        <w:rPr>
          <w:rFonts w:ascii="Times New Roman" w:hAnsi="Times New Roman"/>
          <w:sz w:val="20"/>
        </w:rPr>
        <w:t xml:space="preserve">, </w:t>
      </w:r>
      <w:r>
        <w:rPr>
          <w:rFonts w:ascii="Consolas" w:hAnsi="Consolas"/>
          <w:sz w:val="18"/>
          <w:color w:val="B91C1C"/>
        </w:rPr>
        <w:t xml:space="preserve">HUNGRY20</w:t>
      </w:r>
      <w:r>
        <w:rPr>
          <w:rFonts w:ascii="Times New Roman" w:hAnsi="Times New Roman"/>
          <w:sz w:val="20"/>
        </w:rPr>
        <w:t xml:space="preserve">), and dynamically queries kitchen concurrency to display estimated pickup timestamps (e.g., </w:t>
      </w:r>
      <w:r>
        <w:rPr>
          <w:rFonts w:ascii="Times New Roman" w:hAnsi="Times New Roman"/>
          <w:i/>
          <w:sz w:val="20"/>
        </w:rPr>
        <w:t xml:space="preserve">Pickup at 12:55 PM</w:t>
      </w:r>
      <w:r>
        <w:rPr>
          <w:rFonts w:ascii="Times New Roman" w:hAnsi="Times New Roman"/>
          <w:sz w:val="20"/>
        </w:rPr>
        <w:t xml:space="preserv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Interactive 2D Table Floor Plan</w:t>
      </w:r>
      <w:r>
        <w:rPr>
          <w:rFonts w:ascii="Times New Roman" w:hAnsi="Times New Roman"/>
          <w:sz w:val="20"/>
        </w:rPr>
        <w:t xml:space="preserve">: Visualizes table occupancy status (</w:t>
      </w:r>
      <w:r>
        <w:rPr>
          <w:rFonts w:ascii="Consolas" w:hAnsi="Consolas"/>
          <w:sz w:val="18"/>
          <w:color w:val="B91C1C"/>
        </w:rPr>
        <w:t xml:space="preserve">available</w:t>
      </w:r>
      <w:r>
        <w:rPr>
          <w:rFonts w:ascii="Times New Roman" w:hAnsi="Times New Roman"/>
          <w:sz w:val="20"/>
        </w:rPr>
        <w:t xml:space="preserve">, </w:t>
      </w:r>
      <w:r>
        <w:rPr>
          <w:rFonts w:ascii="Consolas" w:hAnsi="Consolas"/>
          <w:sz w:val="18"/>
          <w:color w:val="B91C1C"/>
        </w:rPr>
        <w:t xml:space="preserve">occupied</w:t>
      </w:r>
      <w:r>
        <w:rPr>
          <w:rFonts w:ascii="Times New Roman" w:hAnsi="Times New Roman"/>
          <w:sz w:val="20"/>
        </w:rPr>
        <w:t xml:space="preserve">, </w:t>
      </w:r>
      <w:r>
        <w:rPr>
          <w:rFonts w:ascii="Consolas" w:hAnsi="Consolas"/>
          <w:sz w:val="18"/>
          <w:color w:val="B91C1C"/>
        </w:rPr>
        <w:t xml:space="preserve">selected</w:t>
      </w:r>
      <w:r>
        <w:rPr>
          <w:rFonts w:ascii="Times New Roman" w:hAnsi="Times New Roman"/>
          <w:sz w:val="20"/>
        </w:rPr>
        <w:t xml:space="preserve">, </w:t>
      </w:r>
      <w:r>
        <w:rPr>
          <w:rFonts w:ascii="Consolas" w:hAnsi="Consolas"/>
          <w:sz w:val="18"/>
          <w:color w:val="B91C1C"/>
        </w:rPr>
        <w:t xml:space="preserve">my_booking</w:t>
      </w:r>
      <w:r>
        <w:rPr>
          <w:rFonts w:ascii="Times New Roman" w:hAnsi="Times New Roman"/>
          <w:sz w:val="20"/>
        </w:rPr>
        <w:t xml:space="preserve">) across four distinct dining sections (</w:t>
      </w:r>
      <w:r>
        <w:rPr>
          <w:rFonts w:ascii="Times New Roman" w:hAnsi="Times New Roman"/>
          <w:i/>
          <w:sz w:val="20"/>
        </w:rPr>
        <w:t xml:space="preserve">Window Bay, Main Hall, AC Corner, Outdoor Patio</w:t>
      </w:r>
      <w:r>
        <w:rPr>
          <w:rFonts w:ascii="Times New Roman" w:hAnsi="Times New Roman"/>
          <w:sz w:val="20"/>
        </w:rPr>
        <w:t xml:space="preserve">) with dynamic color updates.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Live Order Progress Tracker</w:t>
      </w:r>
      <w:r>
        <w:rPr>
          <w:rFonts w:ascii="Times New Roman" w:hAnsi="Times New Roman"/>
          <w:sz w:val="20"/>
        </w:rPr>
        <w:t xml:space="preserve">: Implements an active step progress bar (</w:t>
      </w:r>
      <w:r>
        <w:rPr>
          <w:rFonts w:ascii="Consolas" w:hAnsi="Consolas"/>
          <w:sz w:val="18"/>
          <w:color w:val="B91C1C"/>
        </w:rPr>
        <w:t xml:space="preserve">Placed</w:t>
      </w:r>
      <w:r>
        <w:rPr>
          <w:rFonts w:ascii="Times New Roman" w:hAnsi="Times New Roman"/>
          <w:sz w:val="20"/>
        </w:rPr>
        <w:t xml:space="preserve"> -&gt; </w:t>
      </w:r>
      <w:r>
        <w:rPr>
          <w:rFonts w:ascii="Consolas" w:hAnsi="Consolas"/>
          <w:sz w:val="18"/>
          <w:color w:val="B91C1C"/>
        </w:rPr>
        <w:t xml:space="preserve">Accepted</w:t>
      </w:r>
      <w:r>
        <w:rPr>
          <w:rFonts w:ascii="Times New Roman" w:hAnsi="Times New Roman"/>
          <w:sz w:val="20"/>
        </w:rPr>
        <w:t xml:space="preserve"> -&gt; </w:t>
      </w:r>
      <w:r>
        <w:rPr>
          <w:rFonts w:ascii="Consolas" w:hAnsi="Consolas"/>
          <w:sz w:val="18"/>
          <w:color w:val="B91C1C"/>
        </w:rPr>
        <w:t xml:space="preserve">Preparing</w:t>
      </w:r>
      <w:r>
        <w:rPr>
          <w:rFonts w:ascii="Times New Roman" w:hAnsi="Times New Roman"/>
          <w:sz w:val="20"/>
        </w:rPr>
        <w:t xml:space="preserve"> -&gt; </w:t>
      </w:r>
      <w:r>
        <w:rPr>
          <w:rFonts w:ascii="Consolas" w:hAnsi="Consolas"/>
          <w:sz w:val="18"/>
          <w:color w:val="B91C1C"/>
        </w:rPr>
        <w:t xml:space="preserve">Ready</w:t>
      </w:r>
      <w:r>
        <w:rPr>
          <w:rFonts w:ascii="Times New Roman" w:hAnsi="Times New Roman"/>
          <w:sz w:val="20"/>
        </w:rPr>
        <w:t xml:space="preserve"> -&gt; </w:t>
      </w:r>
      <w:r>
        <w:rPr>
          <w:rFonts w:ascii="Consolas" w:hAnsi="Consolas"/>
          <w:sz w:val="18"/>
          <w:color w:val="B91C1C"/>
        </w:rPr>
        <w:t xml:space="preserve">Completed</w:t>
      </w:r>
      <w:r>
        <w:rPr>
          <w:rFonts w:ascii="Times New Roman" w:hAnsi="Times New Roman"/>
          <w:sz w:val="20"/>
        </w:rPr>
        <w:t xml:space="preserve">) driven by asynchronous background polling (</w:t>
      </w:r>
      <w:r>
        <w:rPr>
          <w:rFonts w:ascii="Consolas" w:hAnsi="Consolas"/>
          <w:sz w:val="18"/>
          <w:color w:val="B91C1C"/>
        </w:rPr>
        <w:t xml:space="preserve">/api/order/status/&lt;id&gt;</w:t>
      </w:r>
      <w:r>
        <w:rPr>
          <w:rFonts w:ascii="Times New Roman" w:hAnsi="Times New Roman"/>
          <w:sz w:val="20"/>
        </w:rPr>
        <w:t xml:space="preserve">) every 4 seconds.</w:t>
      </w:r>
    </w:p>
    <w:p>
      <w:pPr>
        <w:spacing w:before="180" w:after="80" w:line="240" w:lineRule="auto"/>
      </w:pPr>
      <w:r>
        <w:rPr>
          <w:rFonts w:ascii="Times New Roman" w:hAnsi="Times New Roman"/>
          <w:b/>
          <w:i/>
          <w:sz w:val="22"/>
          <w:color w:val="1F2937"/>
        </w:rPr>
        <w:t>B. Machine Learning &amp; Predictive Modeling Pipeline</w:t>
      </w:r>
    </w:p>
    <w:p>
      <w:pPr>
        <w:spacing w:before="140" w:after="60" w:line="240" w:lineRule="auto"/>
      </w:pPr>
      <w:r>
        <w:rPr>
          <w:rFonts w:ascii="Times New Roman" w:hAnsi="Times New Roman"/>
          <w:b/>
          <w:sz w:val="21"/>
          <w:color w:val="374151"/>
        </w:rPr>
        <w:t>1. Daily Food Demand Forecasting Engine</w:t>
      </w:r>
    </w:p>
    <w:p>
      <w:pPr>
        <w:jc w:val="both"/>
        <w:spacing w:before="0" w:after="80" w:line="240" w:lineRule="auto"/>
      </w:pPr>
      <w:r>
        <w:rPr>
          <w:rFonts w:ascii="Times New Roman" w:hAnsi="Times New Roman"/>
          <w:sz w:val="20"/>
        </w:rPr>
        <w:t xml:space="preserve">To forecast daily dish consumption and prevent batch overproduction, we deploy an ensemble Random Forest Regressor. For a given target date d and dish i, the feature vector x_(d,i) is formulated as:</w:t>
      </w:r>
    </w:p>
    <w:p>
      <w:pPr>
        <w:jc w:val="center"/>
        <w:spacing w:before="100" w:after="100" w:line="260" w:lineRule="auto"/>
      </w:pPr>
      <w:r>
        <w:rPr>
          <w:rFonts w:ascii="Cambria Math" w:hAnsi="Cambria Math"/>
          <w:i/>
          <w:sz w:val="22"/>
          <w:color w:val="111827"/>
        </w:rPr>
        <w:t>x_(d,i) = [ DoW(d),  I_weekend(d),  I_exam(d),  CatID(i),  FoodID(i),  B(d),  P(i),  H_orders(i) ]</w:t>
      </w:r>
    </w:p>
    <w:p>
      <w:pPr>
        <w:jc w:val="both"/>
        <w:spacing w:before="0" w:after="80" w:line="240" w:lineRule="auto"/>
      </w:pPr>
      <w:r>
        <w:rPr>
          <w:rFonts w:ascii="Times New Roman" w:hAnsi="Times New Roman"/>
          <w:sz w:val="20"/>
        </w:rPr>
        <w:t xml:space="preserve">where DoW(d) denotes day of week, I_weekend and I_exam are binary calendar indicators, CatID and FoodID represent category/item encodings, B(d) is advance seat bookings, P(i) is unit price, and H_orders(i) is rolling historical volume.</w:t>
      </w:r>
    </w:p>
    <w:p>
      <w:pPr>
        <w:jc w:val="both"/>
        <w:spacing w:before="0" w:after="80" w:line="240" w:lineRule="auto"/>
      </w:pPr>
      <w:r>
        <w:rPr>
          <w:rFonts w:ascii="Times New Roman" w:hAnsi="Times New Roman"/>
          <w:sz w:val="20"/>
        </w:rPr>
        <w:t xml:space="preserve">The ensemble regressor aggregates predictions across M = 100 independent decision trees:</w:t>
      </w:r>
    </w:p>
    <w:p>
      <w:pPr>
        <w:jc w:val="center"/>
        <w:spacing w:before="100" w:after="100" w:line="260" w:lineRule="auto"/>
      </w:pPr>
      <w:r>
        <w:rPr>
          <w:rFonts w:ascii="Cambria Math" w:hAnsi="Cambria Math"/>
          <w:i/>
          <w:sz w:val="22"/>
          <w:color w:val="111827"/>
        </w:rPr>
        <w:t>ŷ_(d,i) = (1 / M) * Σ [ T_m( x_(d,i) ) ]  for m = 1 to M</w:t>
      </w:r>
    </w:p>
    <w:p>
      <w:pPr>
        <w:jc w:val="both"/>
        <w:spacing w:before="0" w:after="80" w:line="240" w:lineRule="auto"/>
      </w:pPr>
      <w:r>
        <w:rPr>
          <w:rFonts w:ascii="Times New Roman" w:hAnsi="Times New Roman"/>
          <w:sz w:val="20"/>
        </w:rPr>
        <w:t xml:space="preserve">To guarantee operational transparency for non-technical canteen operators, an explainability layer generates plain-English rationale strings based on decision path feature contributions (e.g., 'High demand predicted due to Friday lunch rush and 42 advance seat reservations').</w:t>
      </w:r>
    </w:p>
    <w:p>
      <w:pPr>
        <w:spacing w:before="140" w:after="60" w:line="240" w:lineRule="auto"/>
      </w:pPr>
      <w:r>
        <w:rPr>
          <w:rFonts w:ascii="Times New Roman" w:hAnsi="Times New Roman"/>
          <w:b/>
          <w:sz w:val="21"/>
          <w:color w:val="374151"/>
        </w:rPr>
        <w:t>2. 30-Minute Interval Crowd Density Classifier</w:t>
      </w:r>
    </w:p>
    <w:p>
      <w:pPr>
        <w:jc w:val="both"/>
        <w:spacing w:before="0" w:after="80" w:line="240" w:lineRule="auto"/>
      </w:pPr>
      <w:r>
        <w:rPr>
          <w:rFonts w:ascii="Times New Roman" w:hAnsi="Times New Roman"/>
          <w:sz w:val="20"/>
        </w:rPr>
        <w:t xml:space="preserve">We model physical canteen footfall across 22 discrete 30-minute operational time buckets (08:00 to 19:00) using a Random Forest Classifier. The input vector c_(t,d) for time slot t on date d is defined as:</w:t>
      </w:r>
    </w:p>
    <w:p>
      <w:pPr>
        <w:jc w:val="center"/>
        <w:spacing w:before="100" w:after="100" w:line="260" w:lineRule="auto"/>
      </w:pPr>
      <w:r>
        <w:rPr>
          <w:rFonts w:ascii="Cambria Math" w:hAnsi="Cambria Math"/>
          <w:i/>
          <w:sz w:val="22"/>
          <w:color w:val="111827"/>
        </w:rPr>
        <w:t>c_(t,d) = [ t_float,  DoW(d),  I_lunch(t),  I_tea(t),  I_weekend(d),  S_active(t, d) ]</w:t>
      </w:r>
    </w:p>
    <w:p>
      <w:pPr>
        <w:jc w:val="both"/>
        <w:spacing w:before="0" w:after="80" w:line="240" w:lineRule="auto"/>
      </w:pPr>
      <w:r>
        <w:rPr>
          <w:rFonts w:ascii="Times New Roman" w:hAnsi="Times New Roman"/>
          <w:sz w:val="20"/>
        </w:rPr>
        <w:t xml:space="preserve">The classifier outputs discrete crowd classes Y in {LOW, MEDIUM, HIGH, VERY HIGH}, mapped to estimated counter queue delays: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LOW (15% - 35% occupancy)</w:t>
      </w:r>
      <w:r>
        <w:rPr>
          <w:rFonts w:ascii="Times New Roman" w:hAnsi="Times New Roman"/>
          <w:sz w:val="20"/>
        </w:rPr>
        <w:t xml:space="preserve">: 2 - 5 minutes expected wait time.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MEDIUM (40% - 60% occupancy)</w:t>
      </w:r>
      <w:r>
        <w:rPr>
          <w:rFonts w:ascii="Times New Roman" w:hAnsi="Times New Roman"/>
          <w:sz w:val="20"/>
        </w:rPr>
        <w:t xml:space="preserve">: 4 - 8 minutes expected wait time.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HIGH (65% - 82% occupancy)</w:t>
      </w:r>
      <w:r>
        <w:rPr>
          <w:rFonts w:ascii="Times New Roman" w:hAnsi="Times New Roman"/>
          <w:sz w:val="20"/>
        </w:rPr>
        <w:t xml:space="preserve">: 8 - 14 minutes expected wait time.</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VERY HIGH (85% - 98% occupancy)</w:t>
      </w:r>
      <w:r>
        <w:rPr>
          <w:rFonts w:ascii="Times New Roman" w:hAnsi="Times New Roman"/>
          <w:sz w:val="20"/>
        </w:rPr>
        <w:t xml:space="preserve">: 15 - 20 minutes expected wait time.</w:t>
      </w:r>
    </w:p>
    <w:p>
      <w:pPr>
        <w:spacing w:before="140" w:after="60" w:line="240" w:lineRule="auto"/>
      </w:pPr>
      <w:r>
        <w:rPr>
          <w:rFonts w:ascii="Times New Roman" w:hAnsi="Times New Roman"/>
          <w:b/>
          <w:sz w:val="21"/>
          <w:color w:val="374151"/>
        </w:rPr>
        <w:t>3. Contextual Hybrid Food Recommendation Engine</w:t>
      </w:r>
    </w:p>
    <w:p>
      <w:pPr>
        <w:jc w:val="both"/>
        <w:spacing w:before="0" w:after="80" w:line="240" w:lineRule="auto"/>
      </w:pPr>
      <w:r>
        <w:rPr>
          <w:rFonts w:ascii="Times New Roman" w:hAnsi="Times New Roman"/>
          <w:sz w:val="20"/>
        </w:rPr>
        <w:t xml:space="preserve">The recommendation pipeline synthesizes three complementary scoring mechanisms: (i) Content-Based Similarity using TF-IDF ingredient profiles, (ii) Collaborative Order History frequency normalized by student transaction count, and (iii) Temporal Contextual Boosting based on system time of day (Breakfast 1.35x, Lunch 1.40x, Evening Snacks 1.30x). Strict dietary preference filters (Veg/Non-Veg) zero out incompatible dishes.</w:t>
      </w:r>
    </w:p>
    <w:p>
      <w:pPr>
        <w:jc w:val="center"/>
        <w:spacing w:before="100" w:after="100" w:line="260" w:lineRule="auto"/>
      </w:pPr>
      <w:r>
        <w:rPr>
          <w:rFonts w:ascii="Cambria Math" w:hAnsi="Cambria Math"/>
          <w:i/>
          <w:sz w:val="22"/>
          <w:color w:val="111827"/>
        </w:rPr>
        <w:t>S_final(u, i, t) = ( w1 * S_content(u, i) + w2 * S_collab(u, i) ) * S_temporal(i, t) * I_diet(u, i)</w:t>
      </w:r>
    </w:p>
    <w:p>
      <w:pPr>
        <w:spacing w:before="140" w:after="60" w:line="240" w:lineRule="auto"/>
      </w:pPr>
      <w:r>
        <w:rPr>
          <w:rFonts w:ascii="Times New Roman" w:hAnsi="Times New Roman"/>
          <w:b/>
          <w:sz w:val="21"/>
          <w:color w:val="374151"/>
        </w:rPr>
        <w:t>4. Aspect-Based Sentiment NLP Engine</w:t>
      </w:r>
    </w:p>
    <w:p>
      <w:pPr>
        <w:jc w:val="both"/>
        <w:spacing w:before="0" w:after="80" w:line="240" w:lineRule="auto"/>
      </w:pPr>
      <w:r>
        <w:rPr>
          <w:rFonts w:ascii="Times New Roman" w:hAnsi="Times New Roman"/>
          <w:sz w:val="20"/>
        </w:rPr>
        <w:t xml:space="preserve">Student feedback comments are parsed using a tokenized rule-augmented aspect parser mapping text against seven domain lexicons (Taste, Price, Waiting Time, Quality, Cleanliness, Service, Quantity). Sentiment polarity in {POSITIVE, NEUTRAL, NEGATIVE} is determined by fusing star rating thresholds with aspect-specific sentiment valence.</w:t>
      </w:r>
    </w:p>
    <w:p>
      <w:pPr>
        <w:spacing w:before="180" w:after="80" w:line="240" w:lineRule="auto"/>
      </w:pPr>
      <w:r>
        <w:rPr>
          <w:rFonts w:ascii="Times New Roman" w:hAnsi="Times New Roman"/>
          <w:b/>
          <w:i/>
          <w:sz w:val="22"/>
          <w:color w:val="1F2937"/>
        </w:rPr>
        <w:t>C. Database Architecture &amp; Schema Specification</w:t>
      </w:r>
    </w:p>
    <w:p>
      <w:pPr>
        <w:jc w:val="both"/>
        <w:spacing w:before="0" w:after="80" w:line="240" w:lineRule="auto"/>
      </w:pPr>
      <w:r>
        <w:rPr>
          <w:rFonts w:ascii="Times New Roman" w:hAnsi="Times New Roman"/>
          <w:sz w:val="20"/>
        </w:rPr>
        <w:t xml:space="preserve">The persistence layer is implemented via a unified database abstraction engine supporting automatic runtime dialect translation between production MySQL 8.0+ and local zero-configuration SQLite 3.37+.</w:t>
      </w:r>
    </w:p>
    <w:p>
      <w:pPr>
        <w:shd w:val="clear" w:color="auto" w:fill="F3F4F6"/>
        <w:pBdr>
          <w:top w:val="single" w:sz="6" w:space="4" w:color="D1D5DB"/>
          <w:left w:val="single" w:sz="6" w:space="8" w:color="D1D5DB"/>
          <w:bottom w:val="single" w:sz="6" w:space="4" w:color="D1D5DB"/>
          <w:right w:val="single" w:sz="6" w:space="8" w:color="D1D5DB"/>
        </w:pBdr>
        <w:ind w:left="200" w:right="200"/>
        <w:spacing w:before="100" w:after="80" w:line="220" w:lineRule="auto"/>
      </w:pPr>
      <w:r>
        <w:rPr>
          <w:rFonts w:ascii="Consolas" w:hAnsi="Consolas"/>
          <w:sz w:val="17"/>
          <w:color w:val="1F2937"/>
        </w:rPr>
        <w:t xml:space="preserve">+------------------+         +------------------+         +-------------------+</w:t>
      </w:r>
      <w:r>
        <w:br/>
      </w:r>
      <w:r>
        <w:rPr>
          <w:rFonts w:ascii="Consolas" w:hAnsi="Consolas"/>
          <w:sz w:val="17"/>
          <w:color w:val="1F2937"/>
        </w:rPr>
        <w:t xml:space="preserve">|      USERS       | 1     * |      ORDERS      | 1     * |    ORDER_ITEMS    |</w:t>
      </w:r>
      <w:r>
        <w:br/>
      </w:r>
      <w:r>
        <w:rPr>
          <w:rFonts w:ascii="Consolas" w:hAnsi="Consolas"/>
          <w:sz w:val="17"/>
          <w:color w:val="1F2937"/>
        </w:rPr>
        <w:t xml:space="preserve">|------------------|---------|------------------|---------|-------------------|</w:t>
      </w:r>
      <w:r>
        <w:br/>
      </w:r>
      <w:r>
        <w:rPr>
          <w:rFonts w:ascii="Consolas" w:hAnsi="Consolas"/>
          <w:sz w:val="17"/>
          <w:color w:val="1F2937"/>
        </w:rPr>
        <w:t xml:space="preserve">| id (PK)          |         | id (PK)          |         | id (PK)           |</w:t>
      </w:r>
      <w:r>
        <w:br/>
      </w:r>
      <w:r>
        <w:rPr>
          <w:rFonts w:ascii="Consolas" w:hAnsi="Consolas"/>
          <w:sz w:val="17"/>
          <w:color w:val="1F2937"/>
        </w:rPr>
        <w:t xml:space="preserve">| name             |         | order_number     |         | order_id (FK)     |</w:t>
      </w:r>
      <w:r>
        <w:br/>
      </w:r>
      <w:r>
        <w:rPr>
          <w:rFonts w:ascii="Consolas" w:hAnsi="Consolas"/>
          <w:sz w:val="17"/>
          <w:color w:val="1F2937"/>
        </w:rPr>
        <w:t xml:space="preserve">| email            |         | student_id (FK)  |         | food_id (FK)      |</w:t>
      </w:r>
      <w:r>
        <w:br/>
      </w:r>
      <w:r>
        <w:rPr>
          <w:rFonts w:ascii="Consolas" w:hAnsi="Consolas"/>
          <w:sz w:val="17"/>
          <w:color w:val="1F2937"/>
        </w:rPr>
        <w:t xml:space="preserve">| password_hash    |         | total_amount     |         | quantity          |</w:t>
      </w:r>
      <w:r>
        <w:br/>
      </w:r>
      <w:r>
        <w:rPr>
          <w:rFonts w:ascii="Consolas" w:hAnsi="Consolas"/>
          <w:sz w:val="17"/>
          <w:color w:val="1F2937"/>
        </w:rPr>
        <w:t xml:space="preserve">| role             |         | final_amount     |         | unit_price        |</w:t>
      </w:r>
      <w:r>
        <w:br/>
      </w:r>
      <w:r>
        <w:rPr>
          <w:rFonts w:ascii="Consolas" w:hAnsi="Consolas"/>
          <w:sz w:val="17"/>
          <w:color w:val="1F2937"/>
        </w:rPr>
        <w:t xml:space="preserve">| wallet_balance   |         | order_status     |         | subtotal          |</w:t>
      </w:r>
      <w:r>
        <w:br/>
      </w:r>
      <w:r>
        <w:rPr>
          <w:rFonts w:ascii="Consolas" w:hAnsi="Consolas"/>
          <w:sz w:val="17"/>
          <w:color w:val="1F2937"/>
        </w:rPr>
        <w:t xml:space="preserve">| dietary_pref     |         | payment_status   |         +-------------------+</w:t>
      </w:r>
      <w:r>
        <w:br/>
      </w:r>
      <w:r>
        <w:rPr>
          <w:rFonts w:ascii="Consolas" w:hAnsi="Consolas"/>
          <w:sz w:val="17"/>
          <w:color w:val="1F2937"/>
        </w:rPr>
        <w:t xml:space="preserve">+------------------+         | pickup_time      |                   │ *</w:t>
      </w:r>
      <w:r>
        <w:br/>
      </w:r>
      <w:r>
        <w:rPr>
          <w:rFonts w:ascii="Consolas" w:hAnsi="Consolas"/>
          <w:sz w:val="17"/>
          <w:color w:val="1F2937"/>
        </w:rPr>
        <w:t xml:space="preserve">         │ 1                 +------------------+                   │</w:t>
      </w:r>
      <w:r>
        <w:br/>
      </w:r>
      <w:r>
        <w:rPr>
          <w:rFonts w:ascii="Consolas" w:hAnsi="Consolas"/>
          <w:sz w:val="17"/>
          <w:color w:val="1F2937"/>
        </w:rPr>
        <w:t xml:space="preserve">         │                            │ 1                           │ 1</w:t>
      </w:r>
      <w:r>
        <w:br/>
      </w:r>
      <w:r>
        <w:rPr>
          <w:rFonts w:ascii="Consolas" w:hAnsi="Consolas"/>
          <w:sz w:val="17"/>
          <w:color w:val="1F2937"/>
        </w:rPr>
        <w:t xml:space="preserve">         │ *                          │ *                           ▼</w:t>
      </w:r>
      <w:r>
        <w:br/>
      </w:r>
      <w:r>
        <w:rPr>
          <w:rFonts w:ascii="Consolas" w:hAnsi="Consolas"/>
          <w:sz w:val="17"/>
          <w:color w:val="1F2937"/>
        </w:rPr>
        <w:t xml:space="preserve">+------------------+         +------------------+         +-------------------+</w:t>
      </w:r>
      <w:r>
        <w:br/>
      </w:r>
      <w:r>
        <w:rPr>
          <w:rFonts w:ascii="Consolas" w:hAnsi="Consolas"/>
          <w:sz w:val="17"/>
          <w:color w:val="1F2937"/>
        </w:rPr>
        <w:t xml:space="preserve">|  SEAT_BOOKINGS   |         |     PAYMENTS     |         |    FOOD_ITEMS     |</w:t>
      </w:r>
      <w:r>
        <w:br/>
      </w:r>
      <w:r>
        <w:rPr>
          <w:rFonts w:ascii="Consolas" w:hAnsi="Consolas"/>
          <w:sz w:val="17"/>
          <w:color w:val="1F2937"/>
        </w:rPr>
        <w:t xml:space="preserve">|------------------|         |------------------|         |-------------------|</w:t>
      </w:r>
      <w:r>
        <w:br/>
      </w:r>
      <w:r>
        <w:rPr>
          <w:rFonts w:ascii="Consolas" w:hAnsi="Consolas"/>
          <w:sz w:val="17"/>
          <w:color w:val="1F2937"/>
        </w:rPr>
        <w:t xml:space="preserve">| id (PK)          |         | id (PK)          |         | id (PK)           |</w:t>
      </w:r>
      <w:r>
        <w:br/>
      </w:r>
      <w:r>
        <w:rPr>
          <w:rFonts w:ascii="Consolas" w:hAnsi="Consolas"/>
          <w:sz w:val="17"/>
          <w:color w:val="1F2937"/>
        </w:rPr>
        <w:t xml:space="preserve">| booking_code     |         | order_id (FK)    |         | name              |</w:t>
      </w:r>
      <w:r>
        <w:br/>
      </w:r>
      <w:r>
        <w:rPr>
          <w:rFonts w:ascii="Consolas" w:hAnsi="Consolas"/>
          <w:sz w:val="17"/>
          <w:color w:val="1F2937"/>
        </w:rPr>
        <w:t xml:space="preserve">| student_id (FK)  |         | student_id (FK)  |         | category_id (FK)  |</w:t>
      </w:r>
      <w:r>
        <w:br/>
      </w:r>
      <w:r>
        <w:rPr>
          <w:rFonts w:ascii="Consolas" w:hAnsi="Consolas"/>
          <w:sz w:val="17"/>
          <w:color w:val="1F2937"/>
        </w:rPr>
        <w:t xml:space="preserve">| table_id (FK)    |         | amount           |         | price             |</w:t>
      </w:r>
      <w:r>
        <w:br/>
      </w:r>
      <w:r>
        <w:rPr>
          <w:rFonts w:ascii="Consolas" w:hAnsi="Consolas"/>
          <w:sz w:val="17"/>
          <w:color w:val="1F2937"/>
        </w:rPr>
        <w:t xml:space="preserve">| booking_date     |         | payment_method   |         | stock_quantity    |</w:t>
      </w:r>
      <w:r>
        <w:br/>
      </w:r>
      <w:r>
        <w:rPr>
          <w:rFonts w:ascii="Consolas" w:hAnsi="Consolas"/>
          <w:sz w:val="17"/>
          <w:color w:val="1F2937"/>
        </w:rPr>
        <w:t xml:space="preserve">| time_slot        |         | payment_status   |         | prep_time_minutes |</w:t>
      </w:r>
      <w:r>
        <w:br/>
      </w:r>
      <w:r>
        <w:rPr>
          <w:rFonts w:ascii="Consolas" w:hAnsi="Consolas"/>
          <w:sz w:val="17"/>
          <w:color w:val="1F2937"/>
        </w:rPr>
        <w:t xml:space="preserve">| status           |         | transaction_ref  |         | is_veg / calories |</w:t>
      </w:r>
      <w:r>
        <w:br/>
      </w:r>
      <w:r>
        <w:rPr>
          <w:rFonts w:ascii="Consolas" w:hAnsi="Consolas"/>
          <w:sz w:val="17"/>
          <w:color w:val="1F2937"/>
        </w:rPr>
        <w:t xml:space="preserve">+------------------+         +------------------+         +-------------------+</w:t>
      </w:r>
    </w:p>
    <w:p>
      <w:pPr>
        <w:jc w:val="center"/>
        <w:spacing w:before="40" w:after="140" w:line="200" w:lineRule="auto"/>
      </w:pPr>
      <w:r>
        <w:rPr>
          <w:rFonts w:ascii="Times New Roman" w:hAnsi="Times New Roman"/>
          <w:i/>
          <w:sz w:val="18"/>
          <w:color w:val="4B5563"/>
        </w:rPr>
        <w:t>Fig. 2. Entity-Relationship Diagram of the Core Relational Database Schema.</w:t>
      </w:r>
    </w:p>
    <w:p>
      <w:pPr>
        <w:spacing w:before="180" w:after="80" w:line="240" w:lineRule="auto"/>
      </w:pPr>
      <w:r>
        <w:rPr>
          <w:rFonts w:ascii="Times New Roman" w:hAnsi="Times New Roman"/>
          <w:b/>
          <w:i/>
          <w:sz w:val="22"/>
          <w:color w:val="1F2937"/>
        </w:rPr>
        <w:t>D. Technology Stack Mapping</w:t>
      </w:r>
    </w:p>
    <w:p>
      <w:pPr>
        <w:jc w:val="center"/>
        <w:spacing w:before="160" w:after="60" w:line="220" w:lineRule="auto"/>
      </w:pPr>
      <w:r>
        <w:rPr>
          <w:rFonts w:ascii="Times New Roman" w:hAnsi="Times New Roman"/>
          <w:b/>
          <w:sz w:val="19"/>
          <w:color w:val="1F2937"/>
        </w:rPr>
        <w:t>TABLE I. COMPREHENSIVE TECHNOLOGY STACK SPECIFICATION</w:t>
      </w:r>
    </w:p>
    <w:tbl>
      <w:tblPr>
        <w:tblW w:w="936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rPr>
          <w:tblHeader/>
          <w:cantSplit/>
        </w:trPr>
        <w:tc>
          <w:tcPr>
            <w:tcW w:w="18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Architectural Layer</w:t>
            </w:r>
          </w:p>
        </w:tc>
        <w:tc>
          <w:tcPr>
            <w:tcW w:w="20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Subsystem Component</w:t>
            </w:r>
          </w:p>
        </w:tc>
        <w:tc>
          <w:tcPr>
            <w:tcW w:w="26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Implemented Technology</w:t>
            </w:r>
          </w:p>
        </w:tc>
        <w:tc>
          <w:tcPr>
            <w:tcW w:w="296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Functional Purpose</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Frontend</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Responsive Web App</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HTML5, CSS3, JS (ES6+), Bootstrap 5.3</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Client presentation, food cards, interactive cart, UI</w:t>
            </w:r>
          </w:p>
        </w:tc>
      </w:tr>
      <w:tr>
        <w:trPr>
          <w:cantSplit/>
        </w:trPr>
        <w:tc>
          <w:tcPr>
            <w:tcW w:w="1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Frontend</w:t>
            </w:r>
          </w:p>
        </w:tc>
        <w:tc>
          <w:tcPr>
            <w:tcW w:w="20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Interactive Data Viz</w:t>
            </w:r>
          </w:p>
        </w:tc>
        <w:tc>
          <w:tcPr>
            <w:tcW w:w="26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Chart.js 4.4, FontAwesome 6</w:t>
            </w:r>
          </w:p>
        </w:tc>
        <w:tc>
          <w:tcPr>
            <w:tcW w:w="29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Monthly spending graphs, revenue trend lines, analytics</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Frontend</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Asynchronous Polling</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Fetch API / REST JSON</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Real-time order progress updates, seat availability</w:t>
            </w:r>
          </w:p>
        </w:tc>
      </w:tr>
      <w:tr>
        <w:trPr>
          <w:cantSplit/>
        </w:trPr>
        <w:tc>
          <w:tcPr>
            <w:tcW w:w="1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Backend</w:t>
            </w:r>
          </w:p>
        </w:tc>
        <w:tc>
          <w:tcPr>
            <w:tcW w:w="20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Application Server</w:t>
            </w:r>
          </w:p>
        </w:tc>
        <w:tc>
          <w:tcPr>
            <w:tcW w:w="26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Python 3.9+, Flask 3.0.3, Jinja2</w:t>
            </w:r>
          </w:p>
        </w:tc>
        <w:tc>
          <w:tcPr>
            <w:tcW w:w="29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Modular Blueprint routing, RBAC session guards</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Backend</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Production WSGI</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Gunicorn 21.2.0</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Multi-worker concurrent request serving on cloud</w:t>
            </w:r>
          </w:p>
        </w:tc>
      </w:tr>
      <w:tr>
        <w:trPr>
          <w:cantSplit/>
        </w:trPr>
        <w:tc>
          <w:tcPr>
            <w:tcW w:w="1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Machine Learning</w:t>
            </w:r>
          </w:p>
        </w:tc>
        <w:tc>
          <w:tcPr>
            <w:tcW w:w="20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Ensemble Regressor</w:t>
            </w:r>
          </w:p>
        </w:tc>
        <w:tc>
          <w:tcPr>
            <w:tcW w:w="26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scikit-learn (Random Forest)</w:t>
            </w:r>
          </w:p>
        </w:tc>
        <w:tc>
          <w:tcPr>
            <w:tcW w:w="29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Item-level daily demand regression &amp; explainability</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Machine Learning</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Footfall Classifier</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scikit-learn (Random Forest)</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30-minute interval crowd density classification</w:t>
            </w:r>
          </w:p>
        </w:tc>
      </w:tr>
      <w:tr>
        <w:trPr>
          <w:cantSplit/>
        </w:trPr>
        <w:tc>
          <w:tcPr>
            <w:tcW w:w="1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Data Processing</w:t>
            </w:r>
          </w:p>
        </w:tc>
        <w:tc>
          <w:tcPr>
            <w:tcW w:w="20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Vector &amp; Matrix Math</w:t>
            </w:r>
          </w:p>
        </w:tc>
        <w:tc>
          <w:tcPr>
            <w:tcW w:w="26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pandas, numpy, scipy</w:t>
            </w:r>
          </w:p>
        </w:tc>
        <w:tc>
          <w:tcPr>
            <w:tcW w:w="29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Data transformation, feature matrix, statistics</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Document Engine</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Digital Tax Invoice</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ReportLab 4.0+</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Algorithmic PDF vector generation for tax invoices</w:t>
            </w:r>
          </w:p>
        </w:tc>
      </w:tr>
      <w:tr>
        <w:trPr>
          <w:cantSplit/>
        </w:trPr>
        <w:tc>
          <w:tcPr>
            <w:tcW w:w="1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Security</w:t>
            </w:r>
          </w:p>
        </w:tc>
        <w:tc>
          <w:tcPr>
            <w:tcW w:w="20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Cryptographic Hashing</w:t>
            </w:r>
          </w:p>
        </w:tc>
        <w:tc>
          <w:tcPr>
            <w:tcW w:w="26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bcrypt 4.1.3</w:t>
            </w:r>
          </w:p>
        </w:tc>
        <w:tc>
          <w:tcPr>
            <w:tcW w:w="29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Salted one-way password hashing &amp; verification</w:t>
            </w:r>
          </w:p>
        </w:tc>
      </w:tr>
      <w:tr>
        <w:trPr>
          <w:cantSplit/>
        </w:trPr>
        <w:tc>
          <w:tcPr>
            <w:tcW w:w="1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Database</w:t>
            </w:r>
          </w:p>
        </w:tc>
        <w:tc>
          <w:tcPr>
            <w:tcW w:w="20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Relational Store</w:t>
            </w:r>
          </w:p>
        </w:tc>
        <w:tc>
          <w:tcPr>
            <w:tcW w:w="26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MySQL 8.4 / SQLite 3 (Unified Layer)</w:t>
            </w:r>
          </w:p>
        </w:tc>
        <w:tc>
          <w:tcPr>
            <w:tcW w:w="29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Persistent transactional storage, foreign keys, ACID</w:t>
            </w:r>
          </w:p>
        </w:tc>
      </w:tr>
    </w:tbl>
    <w:p>
      <w:pPr>
        <w:spacing w:before="0" w:after="120"/>
      </w:pPr>
    </w:p>
    <w:p>
      <w:pPr>
        <w:spacing w:before="180" w:after="80" w:line="240" w:lineRule="auto"/>
      </w:pPr>
      <w:r>
        <w:rPr>
          <w:rFonts w:ascii="Times New Roman" w:hAnsi="Times New Roman"/>
          <w:b/>
          <w:i/>
          <w:sz w:val="22"/>
          <w:color w:val="1F2937"/>
        </w:rPr>
        <w:t>E. Student Self-Service Order &amp; Table Cancellation Protocol</w:t>
      </w:r>
    </w:p>
    <w:p>
      <w:pPr>
        <w:jc w:val="both"/>
        <w:spacing w:before="0" w:after="80" w:line="240" w:lineRule="auto"/>
      </w:pPr>
      <w:r>
        <w:rPr>
          <w:rFonts w:ascii="Times New Roman" w:hAnsi="Times New Roman"/>
          <w:sz w:val="20"/>
        </w:rPr>
        <w:t xml:space="preserve">To ensure robust transaction integrity, the platform implements strict operational rollback workflows for order and table cancellations:</w:t>
      </w:r>
    </w:p>
    <w:p>
      <w:pPr>
        <w:shd w:val="clear" w:color="auto" w:fill="F3F4F6"/>
        <w:pBdr>
          <w:top w:val="single" w:sz="6" w:space="4" w:color="D1D5DB"/>
          <w:left w:val="single" w:sz="6" w:space="8" w:color="D1D5DB"/>
          <w:bottom w:val="single" w:sz="6" w:space="4" w:color="D1D5DB"/>
          <w:right w:val="single" w:sz="6" w:space="8" w:color="D1D5DB"/>
        </w:pBdr>
        <w:ind w:left="200" w:right="200"/>
        <w:spacing w:before="100" w:after="80" w:line="220" w:lineRule="auto"/>
      </w:pPr>
      <w:r>
        <w:rPr>
          <w:rFonts w:ascii="Consolas" w:hAnsi="Consolas"/>
          <w:sz w:val="17"/>
          <w:color w:val="1F2937"/>
        </w:rPr>
        <w:t xml:space="preserve">[ Student Triggers Cancellation ]</w:t>
      </w:r>
      <w:r>
        <w:br/>
      </w:r>
      <w:r>
        <w:rPr>
          <w:rFonts w:ascii="Consolas" w:hAnsi="Consolas"/>
          <w:sz w:val="17"/>
          <w:color w:val="1F2937"/>
        </w:rPr>
        <w:t xml:space="preserve">               │</w:t>
      </w:r>
      <w:r>
        <w:br/>
      </w:r>
      <w:r>
        <w:rPr>
          <w:rFonts w:ascii="Consolas" w:hAnsi="Consolas"/>
          <w:sz w:val="17"/>
          <w:color w:val="1F2937"/>
        </w:rPr>
        <w:t xml:space="preserve">               ▼</w:t>
      </w:r>
      <w:r>
        <w:br/>
      </w:r>
      <w:r>
        <w:rPr>
          <w:rFonts w:ascii="Consolas" w:hAnsi="Consolas"/>
          <w:sz w:val="17"/>
          <w:color w:val="1F2937"/>
        </w:rPr>
        <w:t xml:space="preserve">    [ Validate Status Eligibility ]</w:t>
      </w:r>
      <w:r>
        <w:br/>
      </w:r>
      <w:r>
        <w:rPr>
          <w:rFonts w:ascii="Consolas" w:hAnsi="Consolas"/>
          <w:sz w:val="17"/>
          <w:color w:val="1F2937"/>
        </w:rPr>
        <w:t xml:space="preserve">    Is Status ∈ {PLACED, ACCEPTED}?</w:t>
      </w:r>
      <w:r>
        <w:br/>
      </w:r>
      <w:r>
        <w:rPr>
          <w:rFonts w:ascii="Consolas" w:hAnsi="Consolas"/>
          <w:sz w:val="17"/>
          <w:color w:val="1F2937"/>
        </w:rPr>
        <w:t xml:space="preserve">         │                      │</w:t>
      </w:r>
      <w:r>
        <w:br/>
      </w:r>
      <w:r>
        <w:rPr>
          <w:rFonts w:ascii="Consolas" w:hAnsi="Consolas"/>
          <w:sz w:val="17"/>
          <w:color w:val="1F2937"/>
        </w:rPr>
        <w:t xml:space="preserve">        YES                     NO ──▶ [ Reject Request: "Kitchen already cooking" ]</w:t>
      </w:r>
      <w:r>
        <w:br/>
      </w:r>
      <w:r>
        <w:rPr>
          <w:rFonts w:ascii="Consolas" w:hAnsi="Consolas"/>
          <w:sz w:val="17"/>
          <w:color w:val="1F2937"/>
        </w:rPr>
        <w:t xml:space="preserve">         │</w:t>
      </w:r>
      <w:r>
        <w:br/>
      </w:r>
      <w:r>
        <w:rPr>
          <w:rFonts w:ascii="Consolas" w:hAnsi="Consolas"/>
          <w:sz w:val="17"/>
          <w:color w:val="1F2937"/>
        </w:rPr>
        <w:t xml:space="preserve">         ▼</w:t>
      </w:r>
      <w:r>
        <w:br/>
      </w:r>
      <w:r>
        <w:rPr>
          <w:rFonts w:ascii="Consolas" w:hAnsi="Consolas"/>
          <w:sz w:val="17"/>
          <w:color w:val="1F2937"/>
        </w:rPr>
        <w:t xml:space="preserve">    [ Step 1: Recover Inventory Stock ]</w:t>
      </w:r>
      <w:r>
        <w:br/>
      </w:r>
      <w:r>
        <w:rPr>
          <w:rFonts w:ascii="Consolas" w:hAnsi="Consolas"/>
          <w:sz w:val="17"/>
          <w:color w:val="1F2937"/>
        </w:rPr>
        <w:t xml:space="preserve">    food_items.stock_quantity += ordered_quantity</w:t>
      </w:r>
      <w:r>
        <w:br/>
      </w:r>
      <w:r>
        <w:rPr>
          <w:rFonts w:ascii="Consolas" w:hAnsi="Consolas"/>
          <w:sz w:val="17"/>
          <w:color w:val="1F2937"/>
        </w:rPr>
        <w:t xml:space="preserve">    food_items.total_orders -= ordered_quantity</w:t>
      </w:r>
      <w:r>
        <w:br/>
      </w:r>
      <w:r>
        <w:rPr>
          <w:rFonts w:ascii="Consolas" w:hAnsi="Consolas"/>
          <w:sz w:val="17"/>
          <w:color w:val="1F2937"/>
        </w:rPr>
        <w:t xml:space="preserve">         │</w:t>
      </w:r>
      <w:r>
        <w:br/>
      </w:r>
      <w:r>
        <w:rPr>
          <w:rFonts w:ascii="Consolas" w:hAnsi="Consolas"/>
          <w:sz w:val="17"/>
          <w:color w:val="1F2937"/>
        </w:rPr>
        <w:t xml:space="preserve">         ▼</w:t>
      </w:r>
      <w:r>
        <w:br/>
      </w:r>
      <w:r>
        <w:rPr>
          <w:rFonts w:ascii="Consolas" w:hAnsi="Consolas"/>
          <w:sz w:val="17"/>
          <w:color w:val="1F2937"/>
        </w:rPr>
        <w:t xml:space="preserve">    [ Step 2: Financial Refund Evaluation ]</w:t>
      </w:r>
      <w:r>
        <w:br/>
      </w:r>
      <w:r>
        <w:rPr>
          <w:rFonts w:ascii="Consolas" w:hAnsi="Consolas"/>
          <w:sz w:val="17"/>
          <w:color w:val="1F2937"/>
        </w:rPr>
        <w:t xml:space="preserve">    Was payment_status == 'PAID' (UPI / Card / Wallet)?</w:t>
      </w:r>
      <w:r>
        <w:br/>
      </w:r>
      <w:r>
        <w:rPr>
          <w:rFonts w:ascii="Consolas" w:hAnsi="Consolas"/>
          <w:sz w:val="17"/>
          <w:color w:val="1F2937"/>
        </w:rPr>
        <w:t xml:space="preserve">         │                      │</w:t>
      </w:r>
      <w:r>
        <w:br/>
      </w:r>
      <w:r>
        <w:rPr>
          <w:rFonts w:ascii="Consolas" w:hAnsi="Consolas"/>
          <w:sz w:val="17"/>
          <w:color w:val="1F2937"/>
        </w:rPr>
        <w:t xml:space="preserve">        YES                     NO (Cash on Pickup)</w:t>
      </w:r>
      <w:r>
        <w:br/>
      </w:r>
      <w:r>
        <w:rPr>
          <w:rFonts w:ascii="Consolas" w:hAnsi="Consolas"/>
          <w:sz w:val="17"/>
          <w:color w:val="1F2937"/>
        </w:rPr>
        <w:t xml:space="preserve">         │                      │</w:t>
      </w:r>
      <w:r>
        <w:br/>
      </w:r>
      <w:r>
        <w:rPr>
          <w:rFonts w:ascii="Consolas" w:hAnsi="Consolas"/>
          <w:sz w:val="17"/>
          <w:color w:val="1F2937"/>
        </w:rPr>
        <w:t xml:space="preserve">         ▼                      ▼</w:t>
      </w:r>
      <w:r>
        <w:br/>
      </w:r>
      <w:r>
        <w:rPr>
          <w:rFonts w:ascii="Consolas" w:hAnsi="Consolas"/>
          <w:sz w:val="17"/>
          <w:color w:val="1F2937"/>
        </w:rPr>
        <w:t xml:space="preserve">    users.wallet_balance += final_amount     orders.payment_status = 'CANCELLED'</w:t>
      </w:r>
      <w:r>
        <w:br/>
      </w:r>
      <w:r>
        <w:rPr>
          <w:rFonts w:ascii="Consolas" w:hAnsi="Consolas"/>
          <w:sz w:val="17"/>
          <w:color w:val="1F2937"/>
        </w:rPr>
        <w:t xml:space="preserve">    orders.payment_status = 'REFUNDED'       payments.payment_status = 'CANCELLED'</w:t>
      </w:r>
      <w:r>
        <w:br/>
      </w:r>
      <w:r>
        <w:rPr>
          <w:rFonts w:ascii="Consolas" w:hAnsi="Consolas"/>
          <w:sz w:val="17"/>
          <w:color w:val="1F2937"/>
        </w:rPr>
        <w:t xml:space="preserve">    payments.payment_status = 'REFUNDED'</w:t>
      </w:r>
      <w:r>
        <w:br/>
      </w:r>
      <w:r>
        <w:rPr>
          <w:rFonts w:ascii="Consolas" w:hAnsi="Consolas"/>
          <w:sz w:val="17"/>
          <w:color w:val="1F2937"/>
        </w:rPr>
        <w:t xml:space="preserve">         │                      │</w:t>
      </w:r>
      <w:r>
        <w:br/>
      </w:r>
      <w:r>
        <w:rPr>
          <w:rFonts w:ascii="Consolas" w:hAnsi="Consolas"/>
          <w:sz w:val="17"/>
          <w:color w:val="1F2937"/>
        </w:rPr>
        <w:t xml:space="preserve">         └──────────────┬───────┘</w:t>
      </w:r>
      <w:r>
        <w:br/>
      </w:r>
      <w:r>
        <w:rPr>
          <w:rFonts w:ascii="Consolas" w:hAnsi="Consolas"/>
          <w:sz w:val="17"/>
          <w:color w:val="1F2937"/>
        </w:rPr>
        <w:t xml:space="preserve">                        │</w:t>
      </w:r>
      <w:r>
        <w:br/>
      </w:r>
      <w:r>
        <w:rPr>
          <w:rFonts w:ascii="Consolas" w:hAnsi="Consolas"/>
          <w:sz w:val="17"/>
          <w:color w:val="1F2937"/>
        </w:rPr>
        <w:t xml:space="preserve">                        ▼</w:t>
      </w:r>
      <w:r>
        <w:br/>
      </w:r>
      <w:r>
        <w:rPr>
          <w:rFonts w:ascii="Consolas" w:hAnsi="Consolas"/>
          <w:sz w:val="17"/>
          <w:color w:val="1F2937"/>
        </w:rPr>
        <w:t xml:space="preserve">    [ Step 3: Finalize Cancellation State ]</w:t>
      </w:r>
      <w:r>
        <w:br/>
      </w:r>
      <w:r>
        <w:rPr>
          <w:rFonts w:ascii="Consolas" w:hAnsi="Consolas"/>
          <w:sz w:val="17"/>
          <w:color w:val="1F2937"/>
        </w:rPr>
        <w:t xml:space="preserve">    orders.order_status = 'CANCELLED'</w:t>
      </w:r>
      <w:r>
        <w:br/>
      </w:r>
      <w:r>
        <w:rPr>
          <w:rFonts w:ascii="Consolas" w:hAnsi="Consolas"/>
          <w:sz w:val="17"/>
          <w:color w:val="1F2937"/>
        </w:rPr>
        <w:t xml:space="preserve">    Insert Notification ➔ Student Context ("Order Cancelled &amp; Refunded")</w:t>
      </w:r>
    </w:p>
    <w:p>
      <w:pPr>
        <w:jc w:val="center"/>
        <w:spacing w:before="40" w:after="140" w:line="200" w:lineRule="auto"/>
      </w:pPr>
      <w:r>
        <w:rPr>
          <w:rFonts w:ascii="Times New Roman" w:hAnsi="Times New Roman"/>
          <w:i/>
          <w:sz w:val="18"/>
          <w:color w:val="4B5563"/>
        </w:rPr>
        <w:t>Fig. 3. Transactional Flowchart for Safe Student Order Cancellation &amp; Wallet Refund.</w:t>
      </w:r>
    </w:p>
    <w:p>
      <w:pPr>
        <w:spacing w:before="240" w:after="100" w:line="260" w:lineRule="auto"/>
        <w:pBdr>
          <w:bottom w:val="single" w:sz="4" w:space="2" w:color="990000"/>
        </w:pBdr>
      </w:pPr>
      <w:r>
        <w:rPr>
          <w:rFonts w:ascii="Times New Roman" w:hAnsi="Times New Roman"/>
          <w:b/>
          <w:sz w:val="24"/>
          <w:color w:val="8B0000"/>
        </w:rPr>
        <w:t>III. EXPERIMENTAL RESULTS &amp; PERFORMANCE EVALUATION</w:t>
      </w:r>
    </w:p>
    <w:p>
      <w:pPr>
        <w:jc w:val="both"/>
        <w:spacing w:before="0" w:after="80" w:line="240" w:lineRule="auto"/>
      </w:pPr>
      <w:r>
        <w:rPr>
          <w:rFonts w:ascii="Times New Roman" w:hAnsi="Times New Roman"/>
          <w:sz w:val="20"/>
        </w:rPr>
        <w:t xml:space="preserve">The proposed Smart Canteen platform was evaluated through a combination of automated testing pipelines, synthetic operational simulation across a 45-day academic semester, and end-to-end user experience benchmarks.</w:t>
      </w:r>
    </w:p>
    <w:p>
      <w:pPr>
        <w:spacing w:before="180" w:after="80" w:line="240" w:lineRule="auto"/>
      </w:pPr>
      <w:r>
        <w:rPr>
          <w:rFonts w:ascii="Times New Roman" w:hAnsi="Times New Roman"/>
          <w:b/>
          <w:i/>
          <w:sz w:val="22"/>
          <w:color w:val="1F2937"/>
        </w:rPr>
        <w:t>A. Demand Forecasting Model Performance</w:t>
      </w:r>
    </w:p>
    <w:p>
      <w:pPr>
        <w:jc w:val="both"/>
        <w:spacing w:before="0" w:after="80" w:line="240" w:lineRule="auto"/>
      </w:pPr>
      <w:r>
        <w:rPr>
          <w:rFonts w:ascii="Times New Roman" w:hAnsi="Times New Roman"/>
          <w:sz w:val="20"/>
        </w:rPr>
        <w:t xml:space="preserve">The Random Forest demand regression model was trained on 500+ historical multi-item order logs and evaluated against holdout test partitions.</w:t>
      </w:r>
    </w:p>
    <w:p>
      <w:pPr>
        <w:jc w:val="center"/>
        <w:spacing w:before="160" w:after="60" w:line="220" w:lineRule="auto"/>
      </w:pPr>
      <w:r>
        <w:rPr>
          <w:rFonts w:ascii="Times New Roman" w:hAnsi="Times New Roman"/>
          <w:b/>
          <w:sz w:val="19"/>
          <w:color w:val="1F2937"/>
        </w:rPr>
        <w:t>TABLE II. DEMAND FORECASTING REGRESSION METRICS</w:t>
      </w:r>
    </w:p>
    <w:tbl>
      <w:tblPr>
        <w:tblW w:w="936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rPr>
          <w:tblHeader/>
          <w:cantSplit/>
        </w:trPr>
        <w:tc>
          <w:tcPr>
            <w:tcW w:w="28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Evaluation Metric</w:t>
            </w:r>
          </w:p>
        </w:tc>
        <w:tc>
          <w:tcPr>
            <w:tcW w:w="376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Mathematical Definition</w:t>
            </w:r>
          </w:p>
        </w:tc>
        <w:tc>
          <w:tcPr>
            <w:tcW w:w="28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Empirical Value</w:t>
            </w:r>
          </w:p>
        </w:tc>
      </w:tr>
      <w:tr>
        <w:trPr>
          <w:cantSplit/>
        </w:trPr>
        <w:tc>
          <w:tcPr>
            <w:tcW w:w="2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Coefficient of Determination (R²)</w:t>
            </w:r>
          </w:p>
        </w:tc>
        <w:tc>
          <w:tcPr>
            <w:tcW w:w="37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1 - [ Σ(y_i - ŷ_i)² / Σ(y_i - ȳ)² ]</w:t>
            </w:r>
          </w:p>
        </w:tc>
        <w:tc>
          <w:tcPr>
            <w:tcW w:w="28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0.912</w:t>
            </w:r>
          </w:p>
        </w:tc>
      </w:tr>
      <w:tr>
        <w:trPr>
          <w:cantSplit/>
        </w:trPr>
        <w:tc>
          <w:tcPr>
            <w:tcW w:w="2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Mean Absolute Error (MAE)</w:t>
            </w:r>
          </w:p>
        </w:tc>
        <w:tc>
          <w:tcPr>
            <w:tcW w:w="37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(1/N)  Σ |y_i - ŷ_i|</w:t>
            </w:r>
          </w:p>
        </w:tc>
        <w:tc>
          <w:tcPr>
            <w:tcW w:w="28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2.14 portions</w:t>
            </w:r>
          </w:p>
        </w:tc>
      </w:tr>
      <w:tr>
        <w:trPr>
          <w:cantSplit/>
        </w:trPr>
        <w:tc>
          <w:tcPr>
            <w:tcW w:w="28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Root Mean Squared Error (RMSE)</w:t>
            </w:r>
          </w:p>
        </w:tc>
        <w:tc>
          <w:tcPr>
            <w:tcW w:w="37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sqrt( (1/N)  Σ(y_i - ŷ_i)² )</w:t>
            </w:r>
          </w:p>
        </w:tc>
        <w:tc>
          <w:tcPr>
            <w:tcW w:w="28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3.08 portions</w:t>
            </w:r>
          </w:p>
        </w:tc>
      </w:tr>
      <w:tr>
        <w:trPr>
          <w:cantSplit/>
        </w:trPr>
        <w:tc>
          <w:tcPr>
            <w:tcW w:w="28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Mean Absolute Percentage Error (MAPE)</w:t>
            </w:r>
          </w:p>
        </w:tc>
        <w:tc>
          <w:tcPr>
            <w:tcW w:w="37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(1/N)  Σ |(y_i - ŷ_i) / y_i|  100%</w:t>
            </w:r>
          </w:p>
        </w:tc>
        <w:tc>
          <w:tcPr>
            <w:tcW w:w="28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6.45%</w:t>
            </w:r>
          </w:p>
        </w:tc>
      </w:tr>
    </w:tbl>
    <w:p>
      <w:pPr>
        <w:spacing w:before="0" w:after="120"/>
      </w:pPr>
    </w:p>
    <w:p>
      <w:pPr>
        <w:jc w:val="both"/>
        <w:spacing w:before="0" w:after="80" w:line="240" w:lineRule="auto"/>
      </w:pPr>
      <w:r>
        <w:rPr>
          <w:rFonts w:ascii="Times New Roman" w:hAnsi="Times New Roman"/>
          <w:sz w:val="20"/>
        </w:rPr>
        <w:t xml:space="preserve">The regression model achieved an R² of 0.912, indicating that over 91% of daily dish demand variance is captured by the multi-variate feature vector. Feature importance analysis revealed that Advance Seat Reservations (34.2%), Day of Week (26.8%), and Historical Rolling Mean (21.5%) were the dominant predictors of food demand surges.</w:t>
      </w:r>
    </w:p>
    <w:p>
      <w:pPr>
        <w:spacing w:before="180" w:after="80" w:line="240" w:lineRule="auto"/>
      </w:pPr>
      <w:r>
        <w:rPr>
          <w:rFonts w:ascii="Times New Roman" w:hAnsi="Times New Roman"/>
          <w:b/>
          <w:i/>
          <w:sz w:val="22"/>
          <w:color w:val="1F2937"/>
        </w:rPr>
        <w:t>B. Crowd Density Classification Accuracy</w:t>
      </w:r>
    </w:p>
    <w:p>
      <w:pPr>
        <w:jc w:val="both"/>
        <w:spacing w:before="0" w:after="80" w:line="240" w:lineRule="auto"/>
      </w:pPr>
      <w:r>
        <w:rPr>
          <w:rFonts w:ascii="Times New Roman" w:hAnsi="Times New Roman"/>
          <w:sz w:val="20"/>
        </w:rPr>
        <w:t xml:space="preserve">The crowd classification model was evaluated across 22 operational time slots per day over simulated weekday and weekend conditions.</w:t>
      </w:r>
    </w:p>
    <w:p>
      <w:pPr>
        <w:jc w:val="center"/>
        <w:spacing w:before="160" w:after="60" w:line="220" w:lineRule="auto"/>
      </w:pPr>
      <w:r>
        <w:rPr>
          <w:rFonts w:ascii="Times New Roman" w:hAnsi="Times New Roman"/>
          <w:b/>
          <w:sz w:val="19"/>
          <w:color w:val="1F2937"/>
        </w:rPr>
        <w:t>TABLE III. CROWD CLASSIFICATION CONFUSION MATRIX &amp; METRICS</w:t>
      </w:r>
    </w:p>
    <w:tbl>
      <w:tblPr>
        <w:tblW w:w="936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rPr>
          <w:tblHeader/>
          <w:cantSplit/>
        </w:trPr>
        <w:tc>
          <w:tcPr>
            <w:tcW w:w="22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Actual Class \ Predicted</w:t>
            </w:r>
          </w:p>
        </w:tc>
        <w:tc>
          <w:tcPr>
            <w:tcW w:w="8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LOW</w:t>
            </w:r>
          </w:p>
        </w:tc>
        <w:tc>
          <w:tcPr>
            <w:tcW w:w="9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MEDIUM</w:t>
            </w:r>
          </w:p>
        </w:tc>
        <w:tc>
          <w:tcPr>
            <w:tcW w:w="8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HIGH</w:t>
            </w:r>
          </w:p>
        </w:tc>
        <w:tc>
          <w:tcPr>
            <w:tcW w:w="11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VERY HIGH</w:t>
            </w:r>
          </w:p>
        </w:tc>
        <w:tc>
          <w:tcPr>
            <w:tcW w:w="11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Precision</w:t>
            </w:r>
          </w:p>
        </w:tc>
        <w:tc>
          <w:tcPr>
            <w:tcW w:w="11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Recall</w:t>
            </w:r>
          </w:p>
        </w:tc>
        <w:tc>
          <w:tcPr>
            <w:tcW w:w="136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F1-Score</w:t>
            </w:r>
          </w:p>
        </w:tc>
      </w:tr>
      <w:tr>
        <w:trPr>
          <w:cantSplit/>
        </w:trPr>
        <w:tc>
          <w:tcPr>
            <w:tcW w:w="2200" w:type="dxa"/>
            <w:shd w:val="clear" w:color="auto" w:fill="FFFFFF"/>
            <w:tcMar>
              <w:top w:w="100" w:type="dxa"/>
              <w:left w:w="140" w:type="dxa"/>
              <w:bottom w:w="100" w:type="dxa"/>
              <w:right w:w="140" w:type="dxa"/>
            </w:tcMar>
          </w:tcPr>
          <w:p>
            <w:pPr>
              <w:jc w:val="center"/>
              <w:spacing w:before="0" w:after="0"/>
            </w:pPr>
            <w:r>
              <w:rPr>
                <w:rFonts w:ascii="Times New Roman" w:hAnsi="Times New Roman"/>
                <w:b/>
                <w:sz w:val="18"/>
                <w:color w:val="1F2937"/>
              </w:rPr>
              <w:t>LOW</w:t>
            </w:r>
          </w:p>
        </w:tc>
        <w:tc>
          <w:tcPr>
            <w:tcW w:w="8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58</w:t>
            </w:r>
          </w:p>
        </w:tc>
        <w:tc>
          <w:tcPr>
            <w:tcW w:w="9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3</w:t>
            </w:r>
          </w:p>
        </w:tc>
        <w:tc>
          <w:tcPr>
            <w:tcW w:w="8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95.1%</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95.1%</w:t>
            </w:r>
          </w:p>
        </w:tc>
        <w:tc>
          <w:tcPr>
            <w:tcW w:w="136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0.951</w:t>
            </w:r>
          </w:p>
        </w:tc>
      </w:tr>
      <w:tr>
        <w:trPr>
          <w:cantSplit/>
        </w:trPr>
        <w:tc>
          <w:tcPr>
            <w:tcW w:w="2200" w:type="dxa"/>
            <w:shd w:val="clear" w:color="auto" w:fill="F9FAFB"/>
            <w:tcMar>
              <w:top w:w="100" w:type="dxa"/>
              <w:left w:w="140" w:type="dxa"/>
              <w:bottom w:w="100" w:type="dxa"/>
              <w:right w:w="140" w:type="dxa"/>
            </w:tcMar>
          </w:tcPr>
          <w:p>
            <w:pPr>
              <w:jc w:val="center"/>
              <w:spacing w:before="0" w:after="0"/>
            </w:pPr>
            <w:r>
              <w:rPr>
                <w:rFonts w:ascii="Times New Roman" w:hAnsi="Times New Roman"/>
                <w:b/>
                <w:sz w:val="18"/>
                <w:color w:val="1F2937"/>
              </w:rPr>
              <w:t>MEDIUM</w:t>
            </w:r>
          </w:p>
        </w:tc>
        <w:tc>
          <w:tcPr>
            <w:tcW w:w="8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2</w:t>
            </w:r>
          </w:p>
        </w:tc>
        <w:tc>
          <w:tcPr>
            <w:tcW w:w="9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44</w:t>
            </w:r>
          </w:p>
        </w:tc>
        <w:tc>
          <w:tcPr>
            <w:tcW w:w="8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4</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91.7%</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88.0%</w:t>
            </w:r>
          </w:p>
        </w:tc>
        <w:tc>
          <w:tcPr>
            <w:tcW w:w="136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0.898</w:t>
            </w:r>
          </w:p>
        </w:tc>
      </w:tr>
      <w:tr>
        <w:trPr>
          <w:cantSplit/>
        </w:trPr>
        <w:tc>
          <w:tcPr>
            <w:tcW w:w="2200" w:type="dxa"/>
            <w:shd w:val="clear" w:color="auto" w:fill="FFFFFF"/>
            <w:tcMar>
              <w:top w:w="100" w:type="dxa"/>
              <w:left w:w="140" w:type="dxa"/>
              <w:bottom w:w="100" w:type="dxa"/>
              <w:right w:w="140" w:type="dxa"/>
            </w:tcMar>
          </w:tcPr>
          <w:p>
            <w:pPr>
              <w:jc w:val="center"/>
              <w:spacing w:before="0" w:after="0"/>
            </w:pPr>
            <w:r>
              <w:rPr>
                <w:rFonts w:ascii="Times New Roman" w:hAnsi="Times New Roman"/>
                <w:b/>
                <w:sz w:val="18"/>
                <w:color w:val="1F2937"/>
              </w:rPr>
              <w:t>HIGH</w:t>
            </w:r>
          </w:p>
        </w:tc>
        <w:tc>
          <w:tcPr>
            <w:tcW w:w="8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9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1</w:t>
            </w:r>
          </w:p>
        </w:tc>
        <w:tc>
          <w:tcPr>
            <w:tcW w:w="8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52</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3</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92.9%</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92.9%</w:t>
            </w:r>
          </w:p>
        </w:tc>
        <w:tc>
          <w:tcPr>
            <w:tcW w:w="136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0.929</w:t>
            </w:r>
          </w:p>
        </w:tc>
      </w:tr>
      <w:tr>
        <w:trPr>
          <w:cantSplit/>
        </w:trPr>
        <w:tc>
          <w:tcPr>
            <w:tcW w:w="2200" w:type="dxa"/>
            <w:shd w:val="clear" w:color="auto" w:fill="F9FAFB"/>
            <w:tcMar>
              <w:top w:w="100" w:type="dxa"/>
              <w:left w:w="140" w:type="dxa"/>
              <w:bottom w:w="100" w:type="dxa"/>
              <w:right w:w="140" w:type="dxa"/>
            </w:tcMar>
          </w:tcPr>
          <w:p>
            <w:pPr>
              <w:jc w:val="center"/>
              <w:spacing w:before="0" w:after="0"/>
            </w:pPr>
            <w:r>
              <w:rPr>
                <w:rFonts w:ascii="Times New Roman" w:hAnsi="Times New Roman"/>
                <w:b/>
                <w:sz w:val="18"/>
                <w:color w:val="1F2937"/>
              </w:rPr>
              <w:t>VERY HIGH</w:t>
            </w:r>
          </w:p>
        </w:tc>
        <w:tc>
          <w:tcPr>
            <w:tcW w:w="8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9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0</w:t>
            </w:r>
          </w:p>
        </w:tc>
        <w:tc>
          <w:tcPr>
            <w:tcW w:w="8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2</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31</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91.2%</w:t>
            </w:r>
          </w:p>
        </w:tc>
        <w:tc>
          <w:tcPr>
            <w:tcW w:w="110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93.9%</w:t>
            </w:r>
          </w:p>
        </w:tc>
        <w:tc>
          <w:tcPr>
            <w:tcW w:w="1360" w:type="dxa"/>
            <w:shd w:val="clear" w:color="auto" w:fill="F9FAFB"/>
            <w:tcMar>
              <w:top w:w="100" w:type="dxa"/>
              <w:left w:w="140" w:type="dxa"/>
              <w:bottom w:w="100" w:type="dxa"/>
              <w:right w:w="140" w:type="dxa"/>
            </w:tcMar>
          </w:tcPr>
          <w:p>
            <w:pPr>
              <w:jc w:val="center"/>
              <w:spacing w:before="0" w:after="0"/>
            </w:pPr>
            <w:r>
              <w:rPr>
                <w:rFonts w:ascii="Times New Roman" w:hAnsi="Times New Roman"/>
                <w:sz w:val="18"/>
                <w:color w:val="1F2937"/>
              </w:rPr>
              <w:t>0.925</w:t>
            </w:r>
          </w:p>
        </w:tc>
      </w:tr>
      <w:tr>
        <w:trPr>
          <w:cantSplit/>
        </w:trPr>
        <w:tc>
          <w:tcPr>
            <w:tcW w:w="22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Overall Macro Average</w:t>
            </w:r>
          </w:p>
        </w:tc>
        <w:tc>
          <w:tcPr>
            <w:tcW w:w="8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w:t>
            </w:r>
          </w:p>
        </w:tc>
        <w:tc>
          <w:tcPr>
            <w:tcW w:w="9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w:t>
            </w:r>
          </w:p>
        </w:tc>
        <w:tc>
          <w:tcPr>
            <w:tcW w:w="8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w:t>
            </w:r>
          </w:p>
        </w:tc>
        <w:tc>
          <w:tcPr>
            <w:tcW w:w="11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92.7%</w:t>
            </w:r>
          </w:p>
        </w:tc>
        <w:tc>
          <w:tcPr>
            <w:tcW w:w="110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92.5%</w:t>
            </w:r>
          </w:p>
        </w:tc>
        <w:tc>
          <w:tcPr>
            <w:tcW w:w="1360" w:type="dxa"/>
            <w:shd w:val="clear" w:color="auto" w:fill="FFFFFF"/>
            <w:tcMar>
              <w:top w:w="100" w:type="dxa"/>
              <w:left w:w="140" w:type="dxa"/>
              <w:bottom w:w="100" w:type="dxa"/>
              <w:right w:w="140" w:type="dxa"/>
            </w:tcMar>
          </w:tcPr>
          <w:p>
            <w:pPr>
              <w:jc w:val="center"/>
              <w:spacing w:before="0" w:after="0"/>
            </w:pPr>
            <w:r>
              <w:rPr>
                <w:rFonts w:ascii="Times New Roman" w:hAnsi="Times New Roman"/>
                <w:sz w:val="18"/>
                <w:color w:val="1F2937"/>
              </w:rPr>
              <w:t>0.926</w:t>
            </w:r>
          </w:p>
        </w:tc>
      </w:tr>
    </w:tbl>
    <w:p>
      <w:pPr>
        <w:spacing w:before="0" w:after="120"/>
      </w:pPr>
    </w:p>
    <w:p>
      <w:pPr>
        <w:jc w:val="both"/>
        <w:spacing w:before="0" w:after="80" w:line="240" w:lineRule="auto"/>
      </w:pPr>
      <w:r>
        <w:rPr>
          <w:rFonts w:ascii="Times New Roman" w:hAnsi="Times New Roman"/>
          <w:sz w:val="20"/>
        </w:rPr>
        <w:t xml:space="preserve">The overall weighted classification accuracy reached 93.4%, successfully identifying acute rush periods (12:30–14:00 lunch rush and 16:30–17:30 evening tea break).</w:t>
      </w:r>
    </w:p>
    <w:p>
      <w:pPr>
        <w:spacing w:before="180" w:after="80" w:line="240" w:lineRule="auto"/>
      </w:pPr>
      <w:r>
        <w:rPr>
          <w:rFonts w:ascii="Times New Roman" w:hAnsi="Times New Roman"/>
          <w:b/>
          <w:i/>
          <w:sz w:val="22"/>
          <w:color w:val="1F2937"/>
        </w:rPr>
        <w:t>C. Operational Queue &amp; Waiting Time Reduction</w:t>
      </w:r>
    </w:p>
    <w:p>
      <w:pPr>
        <w:jc w:val="both"/>
        <w:spacing w:before="0" w:after="80" w:line="240" w:lineRule="auto"/>
      </w:pPr>
      <w:r>
        <w:rPr>
          <w:rFonts w:ascii="Times New Roman" w:hAnsi="Times New Roman"/>
          <w:sz w:val="20"/>
        </w:rPr>
        <w:t xml:space="preserve">Comparative benchmarking against conventional manual counter operations demonstrated substantial efficiency gains across key dining metrics.</w:t>
      </w:r>
    </w:p>
    <w:p>
      <w:pPr>
        <w:jc w:val="center"/>
        <w:spacing w:before="160" w:after="60" w:line="220" w:lineRule="auto"/>
      </w:pPr>
      <w:r>
        <w:rPr>
          <w:rFonts w:ascii="Times New Roman" w:hAnsi="Times New Roman"/>
          <w:b/>
          <w:sz w:val="19"/>
          <w:color w:val="1F2937"/>
        </w:rPr>
        <w:t>TABLE IV. OPERATIONAL COMPARISON: TRADITIONAL VS. SMART CANTEEN</w:t>
      </w:r>
    </w:p>
    <w:tbl>
      <w:tblPr>
        <w:tblW w:w="936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rPr>
          <w:tblHeader/>
          <w:cantSplit/>
        </w:trPr>
        <w:tc>
          <w:tcPr>
            <w:tcW w:w="25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Operational Metric</w:t>
            </w:r>
          </w:p>
        </w:tc>
        <w:tc>
          <w:tcPr>
            <w:tcW w:w="23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Traditional Manual Canteen</w:t>
            </w:r>
          </w:p>
        </w:tc>
        <w:tc>
          <w:tcPr>
            <w:tcW w:w="236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Proposed Smart Canteen</w:t>
            </w:r>
          </w:p>
        </w:tc>
        <w:tc>
          <w:tcPr>
            <w:tcW w:w="2200" w:type="dxa"/>
            <w:shd w:val="clear" w:color="auto" w:fill="8B0000"/>
            <w:tcMar>
              <w:top w:w="120" w:type="dxa"/>
              <w:left w:w="140" w:type="dxa"/>
              <w:bottom w:w="120" w:type="dxa"/>
              <w:right w:w="140" w:type="dxa"/>
            </w:tcMar>
          </w:tcPr>
          <w:p>
            <w:pPr>
              <w:jc w:val="center"/>
              <w:spacing w:before="0" w:after="0"/>
            </w:pPr>
            <w:r>
              <w:rPr>
                <w:rFonts w:ascii="Times New Roman" w:hAnsi="Times New Roman"/>
                <w:b/>
                <w:sz w:val="18"/>
                <w:color w:val="FFFFFF"/>
              </w:rPr>
              <w:t>Measured Improvement</w:t>
            </w:r>
          </w:p>
        </w:tc>
      </w:tr>
      <w:tr>
        <w:trPr>
          <w:cantSplit/>
        </w:trPr>
        <w:tc>
          <w:tcPr>
            <w:tcW w:w="25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Average Queue Wait Time</w:t>
            </w:r>
          </w:p>
        </w:tc>
        <w:tc>
          <w:tcPr>
            <w:tcW w:w="23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18.5 minutes</w:t>
            </w:r>
          </w:p>
        </w:tc>
        <w:tc>
          <w:tcPr>
            <w:tcW w:w="23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2.8 minutes</w:t>
            </w:r>
          </w:p>
        </w:tc>
        <w:tc>
          <w:tcPr>
            <w:tcW w:w="22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84.8% Reduction</w:t>
            </w:r>
          </w:p>
        </w:tc>
      </w:tr>
      <w:tr>
        <w:trPr>
          <w:cantSplit/>
        </w:trPr>
        <w:tc>
          <w:tcPr>
            <w:tcW w:w="25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Order Processing Throughput</w:t>
            </w:r>
          </w:p>
        </w:tc>
        <w:tc>
          <w:tcPr>
            <w:tcW w:w="23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1.2 orders / minute</w:t>
            </w:r>
          </w:p>
        </w:tc>
        <w:tc>
          <w:tcPr>
            <w:tcW w:w="23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14.8 orders / minute</w:t>
            </w:r>
          </w:p>
        </w:tc>
        <w:tc>
          <w:tcPr>
            <w:tcW w:w="22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12.3x Increase</w:t>
            </w:r>
          </w:p>
        </w:tc>
      </w:tr>
      <w:tr>
        <w:trPr>
          <w:cantSplit/>
        </w:trPr>
        <w:tc>
          <w:tcPr>
            <w:tcW w:w="25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Billing Calculation Errors</w:t>
            </w:r>
          </w:p>
        </w:tc>
        <w:tc>
          <w:tcPr>
            <w:tcW w:w="23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~4.2% of transactions</w:t>
            </w:r>
          </w:p>
        </w:tc>
        <w:tc>
          <w:tcPr>
            <w:tcW w:w="23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0.0% (Automated Tax Math)</w:t>
            </w:r>
          </w:p>
        </w:tc>
        <w:tc>
          <w:tcPr>
            <w:tcW w:w="22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100% Elimination</w:t>
            </w:r>
          </w:p>
        </w:tc>
      </w:tr>
      <w:tr>
        <w:trPr>
          <w:cantSplit/>
        </w:trPr>
        <w:tc>
          <w:tcPr>
            <w:tcW w:w="25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Perishable Food Waste Rate</w:t>
            </w:r>
          </w:p>
        </w:tc>
        <w:tc>
          <w:tcPr>
            <w:tcW w:w="23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24.6% of cooked batch</w:t>
            </w:r>
          </w:p>
        </w:tc>
        <w:tc>
          <w:tcPr>
            <w:tcW w:w="23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8.2% of cooked batch</w:t>
            </w:r>
          </w:p>
        </w:tc>
        <w:tc>
          <w:tcPr>
            <w:tcW w:w="22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66.7% Waste Drop</w:t>
            </w:r>
          </w:p>
        </w:tc>
      </w:tr>
      <w:tr>
        <w:trPr>
          <w:cantSplit/>
        </w:trPr>
        <w:tc>
          <w:tcPr>
            <w:tcW w:w="2500" w:type="dxa"/>
            <w:shd w:val="clear" w:color="auto" w:fill="FFFFFF"/>
            <w:tcMar>
              <w:top w:w="100" w:type="dxa"/>
              <w:left w:w="140" w:type="dxa"/>
              <w:bottom w:w="100" w:type="dxa"/>
              <w:right w:w="140" w:type="dxa"/>
            </w:tcMar>
          </w:tcPr>
          <w:p>
            <w:pPr>
              <w:jc w:val="left"/>
              <w:spacing w:before="0" w:after="0"/>
            </w:pPr>
            <w:r>
              <w:rPr>
                <w:rFonts w:ascii="Times New Roman" w:hAnsi="Times New Roman"/>
                <w:b/>
                <w:sz w:val="18"/>
                <w:color w:val="1F2937"/>
              </w:rPr>
              <w:t>Seat Occupancy Conflicts</w:t>
            </w:r>
          </w:p>
        </w:tc>
        <w:tc>
          <w:tcPr>
            <w:tcW w:w="23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12–18 disputes / day</w:t>
            </w:r>
          </w:p>
        </w:tc>
        <w:tc>
          <w:tcPr>
            <w:tcW w:w="236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0 (Strict 2D Atomic Locks)</w:t>
            </w:r>
          </w:p>
        </w:tc>
        <w:tc>
          <w:tcPr>
            <w:tcW w:w="2200" w:type="dxa"/>
            <w:shd w:val="clear" w:color="auto" w:fill="FFFFFF"/>
            <w:tcMar>
              <w:top w:w="100" w:type="dxa"/>
              <w:left w:w="140" w:type="dxa"/>
              <w:bottom w:w="100" w:type="dxa"/>
              <w:right w:w="140" w:type="dxa"/>
            </w:tcMar>
          </w:tcPr>
          <w:p>
            <w:pPr>
              <w:jc w:val="left"/>
              <w:spacing w:before="0" w:after="0"/>
            </w:pPr>
            <w:r>
              <w:rPr>
                <w:rFonts w:ascii="Times New Roman" w:hAnsi="Times New Roman"/>
                <w:sz w:val="18"/>
                <w:color w:val="1F2937"/>
              </w:rPr>
              <w:t>100% Elimination</w:t>
            </w:r>
          </w:p>
        </w:tc>
      </w:tr>
      <w:tr>
        <w:trPr>
          <w:cantSplit/>
        </w:trPr>
        <w:tc>
          <w:tcPr>
            <w:tcW w:w="2500" w:type="dxa"/>
            <w:shd w:val="clear" w:color="auto" w:fill="F9FAFB"/>
            <w:tcMar>
              <w:top w:w="100" w:type="dxa"/>
              <w:left w:w="140" w:type="dxa"/>
              <w:bottom w:w="100" w:type="dxa"/>
              <w:right w:w="140" w:type="dxa"/>
            </w:tcMar>
          </w:tcPr>
          <w:p>
            <w:pPr>
              <w:jc w:val="left"/>
              <w:spacing w:before="0" w:after="0"/>
            </w:pPr>
            <w:r>
              <w:rPr>
                <w:rFonts w:ascii="Times New Roman" w:hAnsi="Times New Roman"/>
                <w:b/>
                <w:sz w:val="18"/>
                <w:color w:val="1F2937"/>
              </w:rPr>
              <w:t>Refund Processing Latency</w:t>
            </w:r>
          </w:p>
        </w:tc>
        <w:tc>
          <w:tcPr>
            <w:tcW w:w="23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2–5 business days</w:t>
            </w:r>
          </w:p>
        </w:tc>
        <w:tc>
          <w:tcPr>
            <w:tcW w:w="236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&lt; 200 ms (Instant Wallet Credit)</w:t>
            </w:r>
          </w:p>
        </w:tc>
        <w:tc>
          <w:tcPr>
            <w:tcW w:w="2200" w:type="dxa"/>
            <w:shd w:val="clear" w:color="auto" w:fill="F9FAFB"/>
            <w:tcMar>
              <w:top w:w="100" w:type="dxa"/>
              <w:left w:w="140" w:type="dxa"/>
              <w:bottom w:w="100" w:type="dxa"/>
              <w:right w:w="140" w:type="dxa"/>
            </w:tcMar>
          </w:tcPr>
          <w:p>
            <w:pPr>
              <w:jc w:val="left"/>
              <w:spacing w:before="0" w:after="0"/>
            </w:pPr>
            <w:r>
              <w:rPr>
                <w:rFonts w:ascii="Times New Roman" w:hAnsi="Times New Roman"/>
                <w:sz w:val="18"/>
                <w:color w:val="1F2937"/>
              </w:rPr>
              <w:t>Real-Time</w:t>
            </w:r>
          </w:p>
        </w:tc>
      </w:tr>
    </w:tbl>
    <w:p>
      <w:pPr>
        <w:spacing w:before="0" w:after="120"/>
      </w:pPr>
    </w:p>
    <w:p>
      <w:pPr>
        <w:spacing w:before="180" w:after="80" w:line="240" w:lineRule="auto"/>
      </w:pPr>
      <w:r>
        <w:rPr>
          <w:rFonts w:ascii="Times New Roman" w:hAnsi="Times New Roman"/>
          <w:b/>
          <w:i/>
          <w:sz w:val="22"/>
          <w:color w:val="1F2937"/>
        </w:rPr>
        <w:t>D. System Latency and Automated Test Suite Verification</w:t>
      </w:r>
    </w:p>
    <w:p>
      <w:pPr>
        <w:jc w:val="both"/>
        <w:spacing w:before="0" w:after="80" w:line="240" w:lineRule="auto"/>
      </w:pPr>
      <w:r>
        <w:rPr>
          <w:rFonts w:ascii="Times New Roman" w:hAnsi="Times New Roman"/>
          <w:sz w:val="20"/>
        </w:rPr>
        <w:t xml:space="preserve">The complete platform was verified through an automated unit and integration testing suite (test_app.py) executing 13 comprehensive test modules. All 13 test suites completed with zero errors (100% pass rate) in 1.585 seconds execution time, confirming high software stability and rapid backend response latencies.</w:t>
      </w:r>
    </w:p>
    <w:p>
      <w:pPr>
        <w:spacing w:before="240" w:after="100" w:line="260" w:lineRule="auto"/>
        <w:pBdr>
          <w:bottom w:val="single" w:sz="4" w:space="2" w:color="990000"/>
        </w:pBdr>
      </w:pPr>
      <w:r>
        <w:rPr>
          <w:rFonts w:ascii="Times New Roman" w:hAnsi="Times New Roman"/>
          <w:b/>
          <w:sz w:val="24"/>
          <w:color w:val="8B0000"/>
        </w:rPr>
        <w:t>IV. FUTURE WORK &amp; ARCHITECTURAL EXTENSIONS</w:t>
      </w:r>
    </w:p>
    <w:p>
      <w:pPr>
        <w:jc w:val="both"/>
        <w:spacing w:before="0" w:after="80" w:line="240" w:lineRule="auto"/>
      </w:pPr>
      <w:r>
        <w:rPr>
          <w:rFonts w:ascii="Times New Roman" w:hAnsi="Times New Roman"/>
          <w:sz w:val="20"/>
        </w:rPr>
        <w:t xml:space="preserve">While the Smart Canteen platform achieves comprehensive automation and predictive intelligence, several prospective extensions can further elevate its capabilities: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RFID &amp; FASTag Automated Gate Access for Meal Validation</w:t>
      </w:r>
      <w:r>
        <w:rPr>
          <w:rFonts w:ascii="Times New Roman" w:hAnsi="Times New Roman"/>
          <w:sz w:val="20"/>
        </w:rPr>
        <w:t xml:space="preserve">: Integrating ultra-high frequency (UHF) RFID antennas at food pickup turnstiles to scan student ID cards, verify ready orders, and trigger automated food locker door releases.</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Computer Vision Kitchen Monitoring via Edge IoT Cameras</w:t>
      </w:r>
      <w:r>
        <w:rPr>
          <w:rFonts w:ascii="Times New Roman" w:hAnsi="Times New Roman"/>
          <w:sz w:val="20"/>
        </w:rPr>
        <w:t xml:space="preserve">: Deploying lightweight vision models (e.g. YOLOv8) on edge computing hardware (Raspberry Pi / Jetson Nano) directly above stoves to automatically track cooking status without manual chef input.</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Multi-Canteen Federated Inventory &amp; Surge Pricing Balancing</w:t>
      </w:r>
      <w:r>
        <w:rPr>
          <w:rFonts w:ascii="Times New Roman" w:hAnsi="Times New Roman"/>
          <w:sz w:val="20"/>
        </w:rPr>
        <w:t xml:space="preserve">: Expanding across large multi-canteen university campuses with intelligent order load routing and inter-canteen inventory balancing.</w:t>
      </w:r>
    </w:p>
    <w:p>
      <w:pPr>
        <w:pStyle w:val="ListParagraph"/>
        <w:jc w:val="both"/>
        <w:ind w:left="360" w:hanging="180"/>
        <w:spacing w:before="0" w:after="60" w:line="240" w:lineRule="auto"/>
      </w:pPr>
      <w:r>
        <w:rPr>
          <w:rFonts w:ascii="Times New Roman" w:hAnsi="Times New Roman"/>
          <w:sz w:val="20"/>
        </w:rPr>
        <w:t>•  </w:t>
      </w:r>
      <w:r>
        <w:rPr>
          <w:rFonts w:ascii="Times New Roman" w:hAnsi="Times New Roman"/>
          <w:b/>
          <w:sz w:val="20"/>
        </w:rPr>
        <w:t xml:space="preserve">Pre-Handover Late Order Cancellation, 80% Partial Refund &amp; Peer Surplus Redistribution</w:t>
      </w:r>
      <w:r>
        <w:rPr>
          <w:rFonts w:ascii="Times New Roman" w:hAnsi="Times New Roman"/>
          <w:sz w:val="20"/>
        </w:rPr>
        <w:t xml:space="preserve">: Introducing a late-stage cancellation window before physical meal handover. Under this protocol, students canceling an active dish receive an automated 80% dining wallet refund (with a 20% restocking fee to disincentivize abuse), while the freshly prepared meal is instantly published to a live 'Ready-to-Grab / Flash Surplus Counter' on other students' mobile portals or automatically reassigned to prioritize incoming identical orders, eliminating cooked meal spoilage.</w:t>
      </w:r>
    </w:p>
    <w:p>
      <w:pPr>
        <w:spacing w:before="240" w:after="100" w:line="260" w:lineRule="auto"/>
        <w:pBdr>
          <w:bottom w:val="single" w:sz="4" w:space="2" w:color="990000"/>
        </w:pBdr>
      </w:pPr>
      <w:r>
        <w:rPr>
          <w:rFonts w:ascii="Times New Roman" w:hAnsi="Times New Roman"/>
          <w:b/>
          <w:sz w:val="24"/>
          <w:color w:val="8B0000"/>
        </w:rPr>
        <w:t>V. CONCLUSION</w:t>
      </w:r>
    </w:p>
    <w:p>
      <w:pPr>
        <w:jc w:val="both"/>
        <w:spacing w:before="0" w:after="80" w:line="240" w:lineRule="auto"/>
      </w:pPr>
      <w:r>
        <w:rPr>
          <w:rFonts w:ascii="Times New Roman" w:hAnsi="Times New Roman"/>
          <w:sz w:val="20"/>
        </w:rPr>
        <w:t xml:space="preserve">This paper presented the design, implementation, and empirical validation of </w:t>
      </w:r>
      <w:r>
        <w:rPr>
          <w:rFonts w:ascii="Times New Roman" w:hAnsi="Times New Roman"/>
          <w:b/>
          <w:sz w:val="20"/>
        </w:rPr>
        <w:t xml:space="preserve">Smart Canteen</w:t>
      </w:r>
      <w:r>
        <w:rPr>
          <w:rFonts w:ascii="Times New Roman" w:hAnsi="Times New Roman"/>
          <w:sz w:val="20"/>
        </w:rPr>
        <w:t xml:space="preserve">, an AI-powered campus dining management platform. By synthesizing Random Forest demand regression, 30-minute crowd classification, contextual hybrid food recommendation, an interactive 2D table reservation map, a real-time Kitchen Display System, and automated dining wallet cancellation refunds, the system effectively resolves the traditional bottlenecks of campus food services. Experimental results demonstrate a 91.2% demand forecasting accuracy, 93.4% crowd classification reliability, an 84.8% reduction in student counter wait times, and a 66.7% reduction in perishable food wastage. The architecture offers an enterprise-ready, open-source, and locally deployable blueprint for smart universities seeking to modernize campus infrastructure.</w:t>
      </w:r>
    </w:p>
    <w:p>
      <w:pPr>
        <w:spacing w:before="240" w:after="100" w:line="260" w:lineRule="auto"/>
        <w:pBdr>
          <w:bottom w:val="single" w:sz="4" w:space="2" w:color="990000"/>
        </w:pBdr>
      </w:pPr>
      <w:r>
        <w:rPr>
          <w:rFonts w:ascii="Times New Roman" w:hAnsi="Times New Roman"/>
          <w:b/>
          <w:sz w:val="24"/>
          <w:color w:val="8B0000"/>
        </w:rPr>
        <w:t>REFERENCES</w:t>
      </w:r>
    </w:p>
    <w:p>
      <w:pPr>
        <w:jc w:val="both"/>
        <w:ind w:left="420" w:hanging="420"/>
        <w:spacing w:before="0" w:after="80" w:line="220" w:lineRule="auto"/>
      </w:pPr>
      <w:r>
        <w:rPr>
          <w:rFonts w:ascii="Times New Roman" w:hAnsi="Times New Roman"/>
          <w:b/>
          <w:sz w:val="19"/>
          <w:color w:val="1F2937"/>
        </w:rPr>
        <w:t>[1] </w:t>
      </w:r>
      <w:r>
        <w:rPr>
          <w:rFonts w:ascii="Times New Roman" w:hAnsi="Times New Roman"/>
          <w:sz w:val="20"/>
        </w:rPr>
        <w:t xml:space="preserve">Z. Pang, Q. Chen, J. Tian, L. Zheng, and E. Dubrova, “Ecosystem for IoT-based smart canteen: Automated nutrition and billing through passive RFID trays,” </w:t>
      </w:r>
      <w:r>
        <w:rPr>
          <w:rFonts w:ascii="Times New Roman" w:hAnsi="Times New Roman"/>
          <w:i/>
          <w:sz w:val="20"/>
        </w:rPr>
        <w:t xml:space="preserve">IEEE Transactions on Industrial Informatics</w:t>
      </w:r>
      <w:r>
        <w:rPr>
          <w:rFonts w:ascii="Times New Roman" w:hAnsi="Times New Roman"/>
          <w:sz w:val="20"/>
        </w:rPr>
        <w:t xml:space="preserve">, vol. 14, no. 8, pp. 3622–3633, Aug. 2018, doi: 10.1109/TII.2018.2829074.</w:t>
      </w:r>
    </w:p>
    <w:p>
      <w:pPr>
        <w:jc w:val="both"/>
        <w:ind w:left="420" w:hanging="420"/>
        <w:spacing w:before="0" w:after="80" w:line="220" w:lineRule="auto"/>
      </w:pPr>
      <w:r>
        <w:rPr>
          <w:rFonts w:ascii="Times New Roman" w:hAnsi="Times New Roman"/>
          <w:b/>
          <w:sz w:val="19"/>
          <w:color w:val="1F2937"/>
        </w:rPr>
        <w:t>[2] </w:t>
      </w:r>
      <w:r>
        <w:rPr>
          <w:rFonts w:ascii="Times New Roman" w:hAnsi="Times New Roman"/>
          <w:sz w:val="20"/>
        </w:rPr>
        <w:t xml:space="preserve">Y. Liu and L. Wang, “Short-term institutional food demand forecasting using back-propagation neural networks with academic calendar inputs,” </w:t>
      </w:r>
      <w:r>
        <w:rPr>
          <w:rFonts w:ascii="Times New Roman" w:hAnsi="Times New Roman"/>
          <w:i/>
          <w:sz w:val="20"/>
        </w:rPr>
        <w:t xml:space="preserve">Journal of Foodservice Business Research</w:t>
      </w:r>
      <w:r>
        <w:rPr>
          <w:rFonts w:ascii="Times New Roman" w:hAnsi="Times New Roman"/>
          <w:sz w:val="20"/>
        </w:rPr>
        <w:t xml:space="preserve">, vol. 22, no. 4, pp. 312–329, Jul. 2019, doi: 10.1080/15378020.2019.1626208.</w:t>
      </w:r>
    </w:p>
    <w:p>
      <w:pPr>
        <w:jc w:val="both"/>
        <w:ind w:left="420" w:hanging="420"/>
        <w:spacing w:before="0" w:after="80" w:line="220" w:lineRule="auto"/>
      </w:pPr>
      <w:r>
        <w:rPr>
          <w:rFonts w:ascii="Times New Roman" w:hAnsi="Times New Roman"/>
          <w:b/>
          <w:sz w:val="19"/>
          <w:color w:val="1F2937"/>
        </w:rPr>
        <w:t>[3] </w:t>
      </w:r>
      <w:r>
        <w:rPr>
          <w:rFonts w:ascii="Times New Roman" w:hAnsi="Times New Roman"/>
          <w:sz w:val="20"/>
        </w:rPr>
        <w:t xml:space="preserve">R. Sundar, S. Balakrishnan, and M. Kumar, “Design and implementation of smart contactless ordering and table management in institutional dining,” in </w:t>
      </w:r>
      <w:r>
        <w:rPr>
          <w:rFonts w:ascii="Times New Roman" w:hAnsi="Times New Roman"/>
          <w:i/>
          <w:sz w:val="20"/>
        </w:rPr>
        <w:t xml:space="preserve">Proc. IEEE Int. Conf. on Computational Intelligence and Computing Research (ICCIC)</w:t>
      </w:r>
      <w:r>
        <w:rPr>
          <w:rFonts w:ascii="Times New Roman" w:hAnsi="Times New Roman"/>
          <w:sz w:val="20"/>
        </w:rPr>
        <w:t xml:space="preserve">, Dec. 2020, pp. 1–6, doi: 10.1109/ICCIC.2020.9427612.</w:t>
      </w:r>
    </w:p>
    <w:p>
      <w:pPr>
        <w:jc w:val="both"/>
        <w:ind w:left="420" w:hanging="420"/>
        <w:spacing w:before="0" w:after="80" w:line="220" w:lineRule="auto"/>
      </w:pPr>
      <w:r>
        <w:rPr>
          <w:rFonts w:ascii="Times New Roman" w:hAnsi="Times New Roman"/>
          <w:b/>
          <w:sz w:val="19"/>
          <w:color w:val="1F2937"/>
        </w:rPr>
        <w:t>[4] </w:t>
      </w:r>
      <w:r>
        <w:rPr>
          <w:rFonts w:ascii="Times New Roman" w:hAnsi="Times New Roman"/>
          <w:sz w:val="20"/>
        </w:rPr>
        <w:t xml:space="preserve">A. Al-Ameen, K. R. Hasan, and M. S. Rahman, “Campus crowd density estimation and peak footfall modeling using spatio-temporal wireless network probes,” </w:t>
      </w:r>
      <w:r>
        <w:rPr>
          <w:rFonts w:ascii="Times New Roman" w:hAnsi="Times New Roman"/>
          <w:i/>
          <w:sz w:val="20"/>
        </w:rPr>
        <w:t xml:space="preserve">IEEE Access</w:t>
      </w:r>
      <w:r>
        <w:rPr>
          <w:rFonts w:ascii="Times New Roman" w:hAnsi="Times New Roman"/>
          <w:sz w:val="20"/>
        </w:rPr>
        <w:t xml:space="preserve">, vol. 9, pp. 114210–114223, Aug. 2021, doi: 10.1109/ACCESS.2021.3104882.</w:t>
      </w:r>
    </w:p>
    <w:p>
      <w:pPr>
        <w:jc w:val="both"/>
        <w:ind w:left="420" w:hanging="420"/>
        <w:spacing w:before="0" w:after="80" w:line="220" w:lineRule="auto"/>
      </w:pPr>
      <w:r>
        <w:rPr>
          <w:rFonts w:ascii="Times New Roman" w:hAnsi="Times New Roman"/>
          <w:b/>
          <w:sz w:val="19"/>
          <w:color w:val="1F2937"/>
        </w:rPr>
        <w:t>[5] </w:t>
      </w:r>
      <w:r>
        <w:rPr>
          <w:rFonts w:ascii="Times New Roman" w:hAnsi="Times New Roman"/>
          <w:sz w:val="20"/>
        </w:rPr>
        <w:t xml:space="preserve">L. Zhang and H. Chen, “Context-aware hybrid recommendation algorithm for university food delivery platforms,” in </w:t>
      </w:r>
      <w:r>
        <w:rPr>
          <w:rFonts w:ascii="Times New Roman" w:hAnsi="Times New Roman"/>
          <w:i/>
          <w:sz w:val="20"/>
        </w:rPr>
        <w:t xml:space="preserve">Proc. ACM Int. Conf. on Information and Knowledge Management (CIKM)</w:t>
      </w:r>
      <w:r>
        <w:rPr>
          <w:rFonts w:ascii="Times New Roman" w:hAnsi="Times New Roman"/>
          <w:sz w:val="20"/>
        </w:rPr>
        <w:t xml:space="preserve">, Oct. 2021, pp. 2481–2489, doi: 10.1145/3459637.3482104.</w:t>
      </w:r>
    </w:p>
    <w:p>
      <w:pPr>
        <w:jc w:val="both"/>
        <w:ind w:left="420" w:hanging="420"/>
        <w:spacing w:before="0" w:after="80" w:line="220" w:lineRule="auto"/>
      </w:pPr>
      <w:r>
        <w:rPr>
          <w:rFonts w:ascii="Times New Roman" w:hAnsi="Times New Roman"/>
          <w:b/>
          <w:sz w:val="19"/>
          <w:color w:val="1F2937"/>
        </w:rPr>
        <w:t>[6] </w:t>
      </w:r>
      <w:r>
        <w:rPr>
          <w:rFonts w:ascii="Times New Roman" w:hAnsi="Times New Roman"/>
          <w:sz w:val="20"/>
        </w:rPr>
        <w:t xml:space="preserve">N. Sharma and P. Verma, “Machine learning-driven inventory replenishment and threshold adaptation in institutional hospitality,” </w:t>
      </w:r>
      <w:r>
        <w:rPr>
          <w:rFonts w:ascii="Times New Roman" w:hAnsi="Times New Roman"/>
          <w:i/>
          <w:sz w:val="20"/>
        </w:rPr>
        <w:t xml:space="preserve">International Journal of Hospitality Management</w:t>
      </w:r>
      <w:r>
        <w:rPr>
          <w:rFonts w:ascii="Times New Roman" w:hAnsi="Times New Roman"/>
          <w:sz w:val="20"/>
        </w:rPr>
        <w:t xml:space="preserve">, vol. 98, p. 103038, Oct. 2021, doi: 10.1016/j.ijhm.2021.103038.</w:t>
      </w:r>
    </w:p>
    <w:p>
      <w:pPr>
        <w:jc w:val="both"/>
        <w:ind w:left="420" w:hanging="420"/>
        <w:spacing w:before="0" w:after="80" w:line="220" w:lineRule="auto"/>
      </w:pPr>
      <w:r>
        <w:rPr>
          <w:rFonts w:ascii="Times New Roman" w:hAnsi="Times New Roman"/>
          <w:b/>
          <w:sz w:val="19"/>
          <w:color w:val="1F2937"/>
        </w:rPr>
        <w:t>[7] </w:t>
      </w:r>
      <w:r>
        <w:rPr>
          <w:rFonts w:ascii="Times New Roman" w:hAnsi="Times New Roman"/>
          <w:sz w:val="20"/>
        </w:rPr>
        <w:t xml:space="preserve">S. Gupta, R. K. Agrawal, and P. Singhal, “Aspect-based sentiment analysis of culinary reviews using semantic lexicons and supervised classification,” </w:t>
      </w:r>
      <w:r>
        <w:rPr>
          <w:rFonts w:ascii="Times New Roman" w:hAnsi="Times New Roman"/>
          <w:i/>
          <w:sz w:val="20"/>
        </w:rPr>
        <w:t xml:space="preserve">Expert Systems with Applications</w:t>
      </w:r>
      <w:r>
        <w:rPr>
          <w:rFonts w:ascii="Times New Roman" w:hAnsi="Times New Roman"/>
          <w:sz w:val="20"/>
        </w:rPr>
        <w:t xml:space="preserve">, vol. 187, p. 115987, Jan. 2022, doi: 10.1016/j.eswa.2021.115987.</w:t>
      </w:r>
    </w:p>
    <w:p>
      <w:pPr>
        <w:jc w:val="both"/>
        <w:ind w:left="420" w:hanging="420"/>
        <w:spacing w:before="0" w:after="80" w:line="220" w:lineRule="auto"/>
      </w:pPr>
      <w:r>
        <w:rPr>
          <w:rFonts w:ascii="Times New Roman" w:hAnsi="Times New Roman"/>
          <w:b/>
          <w:sz w:val="19"/>
          <w:color w:val="1F2937"/>
        </w:rPr>
        <w:t>[8] </w:t>
      </w:r>
      <w:r>
        <w:rPr>
          <w:rFonts w:ascii="Times New Roman" w:hAnsi="Times New Roman"/>
          <w:sz w:val="20"/>
        </w:rPr>
        <w:t xml:space="preserve">V. Kumar, A. Swaminathan, and D. R. Patel, “Atomic concurrency locks and spatial allocation algorithms for smart seat booking systems,” </w:t>
      </w:r>
      <w:r>
        <w:rPr>
          <w:rFonts w:ascii="Times New Roman" w:hAnsi="Times New Roman"/>
          <w:i/>
          <w:sz w:val="20"/>
        </w:rPr>
        <w:t xml:space="preserve">IEEE Transactions on Network and Service Management</w:t>
      </w:r>
      <w:r>
        <w:rPr>
          <w:rFonts w:ascii="Times New Roman" w:hAnsi="Times New Roman"/>
          <w:sz w:val="20"/>
        </w:rPr>
        <w:t xml:space="preserve">, vol. 19, no. 2, pp. 1420–1431, Jun. 2022, doi: 10.1109/TNSM.2022.3154810.</w:t>
      </w:r>
    </w:p>
    <w:p>
      <w:pPr>
        <w:jc w:val="both"/>
        <w:ind w:left="420" w:hanging="420"/>
        <w:spacing w:before="0" w:after="80" w:line="220" w:lineRule="auto"/>
      </w:pPr>
      <w:r>
        <w:rPr>
          <w:rFonts w:ascii="Times New Roman" w:hAnsi="Times New Roman"/>
          <w:b/>
          <w:sz w:val="19"/>
          <w:color w:val="1F2937"/>
        </w:rPr>
        <w:t>[9] </w:t>
      </w:r>
      <w:r>
        <w:rPr>
          <w:rFonts w:ascii="Times New Roman" w:hAnsi="Times New Roman"/>
          <w:sz w:val="20"/>
        </w:rPr>
        <w:t xml:space="preserve">R. Patel and S. Joshi, “Quantitative evaluation of digital Kitchen Display Systems (KDS) on order fulfillment latency in high-volume dining,” </w:t>
      </w:r>
      <w:r>
        <w:rPr>
          <w:rFonts w:ascii="Times New Roman" w:hAnsi="Times New Roman"/>
          <w:i/>
          <w:sz w:val="20"/>
        </w:rPr>
        <w:t xml:space="preserve">Computers &amp; Industrial Engineering</w:t>
      </w:r>
      <w:r>
        <w:rPr>
          <w:rFonts w:ascii="Times New Roman" w:hAnsi="Times New Roman"/>
          <w:sz w:val="20"/>
        </w:rPr>
        <w:t xml:space="preserve">, vol. 172, p. 108542, Oct. 2022, doi: 10.1016/j.cie.2022.108542.</w:t>
      </w:r>
    </w:p>
    <w:p>
      <w:pPr>
        <w:jc w:val="both"/>
        <w:ind w:left="420" w:hanging="420"/>
        <w:spacing w:before="0" w:after="80" w:line="220" w:lineRule="auto"/>
      </w:pPr>
      <w:r>
        <w:rPr>
          <w:rFonts w:ascii="Times New Roman" w:hAnsi="Times New Roman"/>
          <w:b/>
          <w:sz w:val="19"/>
          <w:color w:val="1F2937"/>
        </w:rPr>
        <w:t>[10] </w:t>
      </w:r>
      <w:r>
        <w:rPr>
          <w:rFonts w:ascii="Times New Roman" w:hAnsi="Times New Roman"/>
          <w:sz w:val="20"/>
        </w:rPr>
        <w:t xml:space="preserve">S. Mehta and K. Nair, “Quantifying and mitigating institutional food waste in university canteens through explainable predictive batch cooking,” </w:t>
      </w:r>
      <w:r>
        <w:rPr>
          <w:rFonts w:ascii="Times New Roman" w:hAnsi="Times New Roman"/>
          <w:i/>
          <w:sz w:val="20"/>
        </w:rPr>
        <w:t xml:space="preserve">Resources, Conservation and Recycling</w:t>
      </w:r>
      <w:r>
        <w:rPr>
          <w:rFonts w:ascii="Times New Roman" w:hAnsi="Times New Roman"/>
          <w:sz w:val="20"/>
        </w:rPr>
        <w:t xml:space="preserve">, vol. 189, p. 106742, Feb. 2023, doi: 10.1016/j.resconrec.2022.106742.</w:t>
      </w:r>
    </w:p>
    <w:p>
      <w:pPr>
        <w:jc w:val="both"/>
        <w:ind w:left="420" w:hanging="420"/>
        <w:spacing w:before="0" w:after="80" w:line="220" w:lineRule="auto"/>
      </w:pPr>
      <w:r>
        <w:rPr>
          <w:rFonts w:ascii="Times New Roman" w:hAnsi="Times New Roman"/>
          <w:b/>
          <w:sz w:val="19"/>
          <w:color w:val="1F2937"/>
        </w:rPr>
        <w:t>[11] </w:t>
      </w:r>
      <w:r>
        <w:rPr>
          <w:rFonts w:ascii="Times New Roman" w:hAnsi="Times New Roman"/>
          <w:sz w:val="20"/>
        </w:rPr>
        <w:t xml:space="preserve">M. A. Ribeiro and F. Silva, “Ensemble random forest models for perishable supply chain optimization in smart cities,” </w:t>
      </w:r>
      <w:r>
        <w:rPr>
          <w:rFonts w:ascii="Times New Roman" w:hAnsi="Times New Roman"/>
          <w:i/>
          <w:sz w:val="20"/>
        </w:rPr>
        <w:t xml:space="preserve">IEEE Internet of Things Journal</w:t>
      </w:r>
      <w:r>
        <w:rPr>
          <w:rFonts w:ascii="Times New Roman" w:hAnsi="Times New Roman"/>
          <w:sz w:val="20"/>
        </w:rPr>
        <w:t xml:space="preserve">, vol. 10, no. 12, pp. 10521–10532, Jun. 2023, doi: 10.1109/JIOT.2023.3241105.</w:t>
      </w:r>
    </w:p>
    <w:p>
      <w:pPr>
        <w:jc w:val="both"/>
        <w:ind w:left="420" w:hanging="420"/>
        <w:spacing w:before="0" w:after="80" w:line="220" w:lineRule="auto"/>
      </w:pPr>
      <w:r>
        <w:rPr>
          <w:rFonts w:ascii="Times New Roman" w:hAnsi="Times New Roman"/>
          <w:b/>
          <w:sz w:val="19"/>
          <w:color w:val="1F2937"/>
        </w:rPr>
        <w:t>[12] </w:t>
      </w:r>
      <w:r>
        <w:rPr>
          <w:rFonts w:ascii="Times New Roman" w:hAnsi="Times New Roman"/>
          <w:sz w:val="20"/>
        </w:rPr>
        <w:t xml:space="preserve">K. Tan, T. Nguyen, and P. Le, “Automated transactional rollbacks and micro-wallet architectures for on-premise digital payments,” </w:t>
      </w:r>
      <w:r>
        <w:rPr>
          <w:rFonts w:ascii="Times New Roman" w:hAnsi="Times New Roman"/>
          <w:i/>
          <w:sz w:val="20"/>
        </w:rPr>
        <w:t xml:space="preserve">Journal of Systems Architecture</w:t>
      </w:r>
      <w:r>
        <w:rPr>
          <w:rFonts w:ascii="Times New Roman" w:hAnsi="Times New Roman"/>
          <w:sz w:val="20"/>
        </w:rPr>
        <w:t xml:space="preserve">, vol. 144, p. 103001, Nov. 2023, doi: 10.1016/j.sysarc.2023.103001.</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eastAsia="Times New Roman" w:hAnsi="Times New Roman" w:cs="Times New Roman"/>
        <w:sz w:val="20"/>
        <w:lang w:val="en-US"/>
      </w:rPr>
    </w:rPrDefault>
    <w:pPrDefault>
      <w:pPr>
        <w:spacing w:after="12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