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A365D"/>
          <w:sz w:val="36"/>
        </w:rPr>
        <w:t>RouteNexa AI: An Intelligent Logistics Analytics, Route Efficiency and Predictive Decision Support System for Factory-to-Customer Shipments</w:t>
      </w:r>
    </w:p>
    <w:p>
      <w:pPr>
        <w:spacing w:after="40"/>
        <w:jc w:val="center"/>
      </w:pPr>
      <w:r>
        <w:rPr>
          <w:b/>
          <w:color w:val="2B6CB0"/>
          <w:sz w:val="24"/>
        </w:rPr>
        <w:t>Pranav Kokande</w:t>
      </w:r>
    </w:p>
    <w:p>
      <w:pPr>
        <w:spacing w:after="40"/>
        <w:jc w:val="center"/>
      </w:pPr>
      <w:r>
        <w:rPr>
          <w:i/>
          <w:color w:val="718096"/>
          <w:sz w:val="20"/>
        </w:rPr>
        <w:t>Department of Computer Science and Engineering</w:t>
        <w:br/>
        <w:t>Nassau Candy Logistics Analytics Initiative</w:t>
      </w:r>
    </w:p>
    <w:p>
      <w:pPr>
        <w:keepNext/>
        <w:spacing w:before="320" w:after="120"/>
      </w:pPr>
      <w:r>
        <w:rPr>
          <w:b/>
          <w:color w:val="1A365D"/>
          <w:sz w:val="28"/>
        </w:rPr>
        <w:t>Abstract</w:t>
      </w:r>
    </w:p>
    <w:p>
      <w:pPr>
        <w:spacing w:after="120" w:line="276" w:lineRule="auto"/>
        <w:ind w:left="576" w:right="576"/>
      </w:pPr>
      <w:r>
        <w:rPr>
          <w:rFonts w:ascii="Times New Roman" w:hAnsi="Times New Roman"/>
          <w:i/>
          <w:sz w:val="20"/>
        </w:rPr>
        <w:t xml:space="preserve">Enterprise supply chains in perishable and confectionery distribution face severe operational vulnerabilities stemming from multi-tiered transit variance, carrier Service Level Agreement (SLA) breaches, and systematic recording anomalies in historical Enterprise Resource Planning (ERP) logs. This paper introduces </w:t>
      </w:r>
      <w:r>
        <w:rPr>
          <w:rFonts w:ascii="Times New Roman" w:hAnsi="Times New Roman"/>
          <w:b/>
        </w:rPr>
        <w:t>RouteNexa AI</w:t>
      </w:r>
      <w:r>
        <w:rPr>
          <w:rFonts w:ascii="Times New Roman" w:hAnsi="Times New Roman"/>
          <w:i/>
          <w:sz w:val="20"/>
        </w:rPr>
        <w:t xml:space="preserve">, an end-to-end, closed-loop logistics decision-support and predictive intelligence platform evaluated on 10,194 nationwide freight shipments across 196 distinct shipping corridors and 5 specialized manufacturing plants. </w:t>
      </w:r>
    </w:p>
    <w:p>
      <w:pPr>
        <w:spacing w:after="120" w:line="276" w:lineRule="auto"/>
      </w:pPr>
      <w:r>
        <w:rPr>
          <w:rFonts w:ascii="Times New Roman" w:hAnsi="Times New Roman"/>
        </w:rPr>
        <w:t xml:space="preserve">Our contributions are threefold: </w:t>
      </w:r>
    </w:p>
    <w:p>
      <w:pPr>
        <w:pStyle w:val="ListNumber"/>
        <w:spacing w:after="60" w:line="276" w:lineRule="auto"/>
      </w:pPr>
      <w:r>
        <w:rPr>
          <w:rFonts w:ascii="Times New Roman" w:hAnsi="Times New Roman"/>
        </w:rPr>
      </w:r>
      <w:r>
        <w:rPr>
          <w:rFonts w:ascii="Times New Roman" w:hAnsi="Times New Roman"/>
          <w:b/>
        </w:rPr>
        <w:t>Empirical Cohort Anchoring Formulation:</w:t>
      </w:r>
      <w:r>
        <w:rPr>
          <w:rFonts w:ascii="Times New Roman" w:hAnsi="Times New Roman"/>
        </w:rPr>
        <w:t xml:space="preserve"> A non-destructive mathematical transformation that detects and normalizes multi-year artificial date offsets in legacy enterprise databases without manual label manipulation, successfully recovering physically realistic operational lead times ($\mu = 4.29$ days, $\sigma = 1.62$ days).</w:t>
      </w:r>
    </w:p>
    <w:p>
      <w:pPr>
        <w:pStyle w:val="ListNumber"/>
        <w:spacing w:after="60" w:line="276" w:lineRule="auto"/>
      </w:pPr>
      <w:r>
        <w:rPr>
          <w:rFonts w:ascii="Times New Roman" w:hAnsi="Times New Roman"/>
        </w:rPr>
      </w:r>
      <w:r>
        <w:rPr>
          <w:rFonts w:ascii="Times New Roman" w:hAnsi="Times New Roman"/>
          <w:b/>
        </w:rPr>
        <w:t>Multi-Model Predictive Architecture:</w:t>
      </w:r>
      <w:r>
        <w:rPr>
          <w:rFonts w:ascii="Times New Roman" w:hAnsi="Times New Roman"/>
        </w:rPr>
        <w:t xml:space="preserve"> An ensemble framework coupling an SLA delay classifier ($F_1 = 0.88$, $\text{AUC-ROC} = 0.92$), a Gradient Boosted ETA lead-time regressor ($\text{MAE} = 0.62$ days, 94.2% accuracy within $\pm 1$ day), an unsupervised Isolation Forest for multi-dimensional transit anomaly detection, and a 14-day rolling autoregressive volume forecaster with 95% confidence intervals.</w:t>
      </w:r>
    </w:p>
    <w:p>
      <w:pPr>
        <w:pStyle w:val="ListNumber"/>
        <w:spacing w:after="60" w:line="276" w:lineRule="auto"/>
      </w:pPr>
      <w:r>
        <w:rPr>
          <w:rFonts w:ascii="Times New Roman" w:hAnsi="Times New Roman"/>
        </w:rPr>
      </w:r>
      <w:r>
        <w:rPr>
          <w:rFonts w:ascii="Times New Roman" w:hAnsi="Times New Roman"/>
          <w:b/>
        </w:rPr>
        <w:t>Closed-Loop Continual Model Observability:</w:t>
      </w:r>
      <w:r>
        <w:rPr>
          <w:rFonts w:ascii="Times New Roman" w:hAnsi="Times New Roman"/>
        </w:rPr>
        <w:t xml:space="preserve"> A live feedback architecture that captures post-delivery ground truth, tracks real-time model degradation using strict sample quorum rules ($N \ge 5$), executes in-memory zero-mutation prediction simulations, and provides deterministic, natural-language read-only SQL querying.</w:t>
      </w:r>
    </w:p>
    <w:p>
      <w:pPr>
        <w:spacing w:after="120" w:line="276" w:lineRule="auto"/>
      </w:pPr>
      <w:r>
        <w:rPr>
          <w:rFonts w:ascii="Times New Roman" w:hAnsi="Times New Roman"/>
        </w:rPr>
        <w:t>Empirical benchmarks demonstrate that RouteNexa AI yields a 28.4% reduction in SLA breach vulnerability and enables proactive route rebalancing for high-variance freight corridors.</w:t>
      </w:r>
    </w:p>
    <w:p>
      <w:pPr>
        <w:spacing w:after="120" w:line="276" w:lineRule="auto"/>
      </w:pPr>
      <w:r>
        <w:rPr>
          <w:rFonts w:ascii="Times New Roman" w:hAnsi="Times New Roman"/>
        </w:rPr>
      </w:r>
      <w:r>
        <w:rPr>
          <w:rFonts w:ascii="Times New Roman" w:hAnsi="Times New Roman"/>
          <w:b/>
        </w:rPr>
        <w:t>Keywords:</w:t>
      </w:r>
      <w:r>
        <w:rPr>
          <w:rFonts w:ascii="Times New Roman" w:hAnsi="Times New Roman"/>
        </w:rPr>
        <w:t xml:space="preserve"> Supply Chain Analytics, Operational Lead Time, Empirical Cohort Anchoring, ETA Prediction, Random Forest, Isolation Forest, Model Observability, Decision Support Systems, Explainable AI.</w:t>
      </w:r>
    </w:p>
    <w:p>
      <w:pPr>
        <w:keepNext/>
        <w:spacing w:before="320" w:after="120"/>
      </w:pPr>
      <w:r>
        <w:rPr>
          <w:b/>
          <w:color w:val="1A365D"/>
          <w:sz w:val="28"/>
        </w:rPr>
        <w:t>1. Introduction</w:t>
      </w:r>
    </w:p>
    <w:p>
      <w:pPr>
        <w:spacing w:after="120" w:line="276" w:lineRule="auto"/>
      </w:pPr>
      <w:r>
        <w:rPr>
          <w:rFonts w:ascii="Times New Roman" w:hAnsi="Times New Roman"/>
        </w:rPr>
        <w:t>Modern freight distribution networks are susceptible to systemic delays caused by weather fluctuations, geographical bottlenecks, variable carrier fulfillment speeds, and capacity imbalances across regional production centers. In temperature-sensitive and high-turnover industries such as confectionery manufacturing and distribution, delivery lead-time precision is critical. Late deliveries incur severe financial penalties, elevate inventory holding costs, and risk product degradation (e.g., chocolate melting, sugar bloom, packaging deformation).</w:t>
      </w:r>
    </w:p>
    <w:p>
      <w:pPr>
        <w:spacing w:after="120" w:line="276" w:lineRule="auto"/>
      </w:pPr>
      <w:r>
        <w:rPr>
          <w:rFonts w:ascii="Times New Roman" w:hAnsi="Times New Roman"/>
        </w:rPr>
        <w:t>Despite extensive investments in Enterprise Resource Planning (ERP) and Transportation Management Systems (TMS), industrial logistics remains predominantly reactive. Logistics dispatchers typically identify delivery failures only after an SLA violation has transpired. Furthermore, enterprise databases often contain systematic date offsets, truncated postal entries, and regional recording discrepancies resulting from legacy system migrations, rendering standard off-the-shelf machine learning pipelines unusable without rigorous domain-anchored normalization.</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flowchart LR</w:t>
              <w:br/>
              <w:t xml:space="preserve">    A["Raw ERP Data (10,194 Records)"] --&gt; B["Empirical Cohort Anchoring"]</w:t>
              <w:br/>
              <w:t xml:space="preserve">    B --&gt; C["Operational Lead Time Recovery"]</w:t>
              <w:br/>
              <w:t xml:space="preserve">    C --&gt; D["Multi-Model ML Inference Engine"]</w:t>
              <w:br/>
              <w:t xml:space="preserve">    D --&gt; E["SLA Delay Classifier (RF)"]</w:t>
              <w:br/>
              <w:t xml:space="preserve">    D --&gt; F["ETA Regressor (GBM)"]</w:t>
              <w:br/>
              <w:t xml:space="preserve">    D --&gt; G["Anomaly Detector (iForest)"]</w:t>
              <w:br/>
              <w:t xml:space="preserve">    D --&gt; H["14-Day Rolling Forecaster"]</w:t>
              <w:br/>
              <w:t xml:space="preserve">    E &amp; F &amp; G &amp; H --&gt; I["Closed-Loop Observability &amp; Decision Support"]</w:t>
              <w:br/>
              <w:t xml:space="preserve">    I --&gt; J["Ground-Truth Feedback &amp; Route Optimization"]</w:t>
            </w:r>
          </w:p>
        </w:tc>
      </w:tr>
    </w:tbl>
    <w:p>
      <w:pPr>
        <w:spacing w:after="120"/>
      </w:pPr>
    </w:p>
    <w:p>
      <w:pPr>
        <w:spacing w:after="120" w:line="276" w:lineRule="auto"/>
      </w:pPr>
      <w:r>
        <w:rPr>
          <w:rFonts w:ascii="Times New Roman" w:hAnsi="Times New Roman"/>
        </w:rPr>
        <w:t xml:space="preserve">To address these challenges, we design and implement </w:t>
      </w:r>
      <w:r>
        <w:rPr>
          <w:rFonts w:ascii="Times New Roman" w:hAnsi="Times New Roman"/>
          <w:b/>
        </w:rPr>
        <w:t>RouteNexa AI</w:t>
      </w:r>
      <w:r>
        <w:rPr>
          <w:rFonts w:ascii="Times New Roman" w:hAnsi="Times New Roman"/>
        </w:rPr>
        <w:t xml:space="preserve">, a production-deployed logistics intelligence framework. Evaluated on the historical shipments of </w:t>
      </w:r>
      <w:r>
        <w:rPr>
          <w:rFonts w:ascii="Times New Roman" w:hAnsi="Times New Roman"/>
          <w:b/>
        </w:rPr>
        <w:t>Nassau Candy Distributor</w:t>
      </w:r>
      <w:r>
        <w:rPr>
          <w:rFonts w:ascii="Times New Roman" w:hAnsi="Times New Roman"/>
        </w:rPr>
        <w:t>—one of the largest specialty confectionery manufacturers in the United States—RouteNexa AI bridges raw enterprise transactional data with real-time operational decision support.</w:t>
      </w:r>
    </w:p>
    <w:p>
      <w:pPr>
        <w:keepNext/>
        <w:spacing w:before="240" w:after="80"/>
      </w:pPr>
      <w:r>
        <w:rPr>
          <w:b/>
          <w:color w:val="2B6CB0"/>
          <w:sz w:val="24"/>
        </w:rPr>
        <w:t>Key Contributions:</w:t>
      </w:r>
    </w:p>
    <w:p>
      <w:pPr>
        <w:pStyle w:val="ListNumber"/>
        <w:spacing w:after="60" w:line="276" w:lineRule="auto"/>
      </w:pPr>
      <w:r>
        <w:rPr>
          <w:rFonts w:ascii="Times New Roman" w:hAnsi="Times New Roman"/>
        </w:rPr>
      </w:r>
      <w:r>
        <w:rPr>
          <w:rFonts w:ascii="Times New Roman" w:hAnsi="Times New Roman"/>
          <w:b/>
        </w:rPr>
        <w:t>Mathematical Resolution of Systematic ERP Temporal Distortions:</w:t>
      </w:r>
      <w:r>
        <w:rPr>
          <w:rFonts w:ascii="Times New Roman" w:hAnsi="Times New Roman"/>
        </w:rPr>
        <w:t xml:space="preserve"> We formulate and validate the *Empirical Same Day Cohort Anchoring* algorithm, which uncovers rigid cohort shifts (spanning 904 to 1,642 days) in legacy date fields and dynamically recovers true operational shipping lead times.</w:t>
      </w:r>
    </w:p>
    <w:p>
      <w:pPr>
        <w:pStyle w:val="ListNumber"/>
        <w:spacing w:after="60" w:line="276" w:lineRule="auto"/>
      </w:pPr>
      <w:r>
        <w:rPr>
          <w:rFonts w:ascii="Times New Roman" w:hAnsi="Times New Roman"/>
        </w:rPr>
      </w:r>
      <w:r>
        <w:rPr>
          <w:rFonts w:ascii="Times New Roman" w:hAnsi="Times New Roman"/>
          <w:b/>
        </w:rPr>
        <w:t>Tri-Tier Route Reliability Index ($E_R$):</w:t>
      </w:r>
      <w:r>
        <w:rPr>
          <w:rFonts w:ascii="Times New Roman" w:hAnsi="Times New Roman"/>
        </w:rPr>
        <w:t xml:space="preserve"> We introduce an objective corridor efficiency metric that synthesizes operational transit speed (40%), historical delay frequency (40%), and lead-time standard deviation $\sigma$ (20%) across 196 nationwide shipping routes.</w:t>
      </w:r>
    </w:p>
    <w:p>
      <w:pPr>
        <w:pStyle w:val="ListNumber"/>
        <w:spacing w:after="60" w:line="276" w:lineRule="auto"/>
      </w:pPr>
      <w:r>
        <w:rPr>
          <w:rFonts w:ascii="Times New Roman" w:hAnsi="Times New Roman"/>
        </w:rPr>
      </w:r>
      <w:r>
        <w:rPr>
          <w:rFonts w:ascii="Times New Roman" w:hAnsi="Times New Roman"/>
          <w:b/>
        </w:rPr>
        <w:t>Multi-Horizon Predictive Ensemble:</w:t>
      </w:r>
      <w:r>
        <w:rPr>
          <w:rFonts w:ascii="Times New Roman" w:hAnsi="Times New Roman"/>
        </w:rPr>
        <w:t xml:space="preserve"> We deploy four coordinated machine learning models addressing categorical SLA breach risk, continuous ETA estimation, multidimensional outlier flagging, and daily outbound volume forecasting.</w:t>
      </w:r>
    </w:p>
    <w:p>
      <w:pPr>
        <w:pStyle w:val="ListNumber"/>
        <w:spacing w:after="60" w:line="276" w:lineRule="auto"/>
      </w:pPr>
      <w:r>
        <w:rPr>
          <w:rFonts w:ascii="Times New Roman" w:hAnsi="Times New Roman"/>
        </w:rPr>
      </w:r>
      <w:r>
        <w:rPr>
          <w:rFonts w:ascii="Times New Roman" w:hAnsi="Times New Roman"/>
          <w:b/>
        </w:rPr>
        <w:t>Zero-Mutation Production Sandbox &amp; Ground-Truth Feedback Loop:</w:t>
      </w:r>
      <w:r>
        <w:rPr>
          <w:rFonts w:ascii="Times New Roman" w:hAnsi="Times New Roman"/>
        </w:rPr>
        <w:t xml:space="preserve"> We develop an architecture supporting isolated in-memory model testing, automated ground-truth performance evaluation (MAE, RMSE, $2 \times 2$ confusion matrices), and sample-quorum-constrained degradation alerts.</w:t>
      </w:r>
    </w:p>
    <w:p>
      <w:pPr>
        <w:pStyle w:val="ListNumber"/>
        <w:spacing w:after="60" w:line="276" w:lineRule="auto"/>
      </w:pPr>
      <w:r>
        <w:rPr>
          <w:rFonts w:ascii="Times New Roman" w:hAnsi="Times New Roman"/>
        </w:rPr>
      </w:r>
      <w:r>
        <w:rPr>
          <w:rFonts w:ascii="Times New Roman" w:hAnsi="Times New Roman"/>
          <w:b/>
        </w:rPr>
        <w:t>Deterministic Natural Language Interface:</w:t>
      </w:r>
      <w:r>
        <w:rPr>
          <w:rFonts w:ascii="Times New Roman" w:hAnsi="Times New Roman"/>
        </w:rPr>
        <w:t xml:space="preserve"> We design a safe, read-only analytical query engine that parses operational queries into deterministic SQLAlchemy aggregations without exposing the database to arbitrary SQL execution risks.</w:t>
      </w:r>
    </w:p>
    <w:p>
      <w:pPr>
        <w:keepNext/>
        <w:spacing w:before="320" w:after="120"/>
      </w:pPr>
      <w:r>
        <w:rPr>
          <w:b/>
          <w:color w:val="1A365D"/>
          <w:sz w:val="28"/>
        </w:rPr>
        <w:t>2. Related Work</w:t>
      </w:r>
    </w:p>
    <w:p>
      <w:pPr>
        <w:keepNext/>
        <w:spacing w:before="240" w:after="80"/>
      </w:pPr>
      <w:r>
        <w:rPr>
          <w:b/>
          <w:color w:val="2B6CB0"/>
          <w:sz w:val="24"/>
        </w:rPr>
        <w:t>2.1 Logistics Lead Time &amp; ETA Estimation</w:t>
      </w:r>
    </w:p>
    <w:p>
      <w:pPr>
        <w:spacing w:after="120" w:line="276" w:lineRule="auto"/>
      </w:pPr>
      <w:r>
        <w:rPr>
          <w:rFonts w:ascii="Times New Roman" w:hAnsi="Times New Roman"/>
        </w:rPr>
        <w:t>Accurate Estimated Time of Arrival (ETA) prediction has been heavily explored in commercial telematics and ride-hailing networks. Early research applied linear autoregressive models and Kalman filters to vehicular tracking data. However, full truckload (FTL) and less-than-truckload (LTL) enterprise freight involves multi-echelon stages: factory staging, line-haul carriage, distribution hub consolidation, and regional last-mile delivery. Modern approaches apply ensemble decision trees (Random Forest, Gradient Boosting, XGBoost) and deep recurrent networks (LSTM, GRU) to capture non-linear interactions among distance, dispatch day, freight volume, and carrier tiers.</w:t>
      </w:r>
    </w:p>
    <w:p>
      <w:pPr>
        <w:keepNext/>
        <w:spacing w:before="240" w:after="80"/>
      </w:pPr>
      <w:r>
        <w:rPr>
          <w:b/>
          <w:color w:val="2B6CB0"/>
          <w:sz w:val="24"/>
        </w:rPr>
        <w:t>2.2 Systematic Anomalies in Enterprise ERP Data</w:t>
      </w:r>
    </w:p>
    <w:p>
      <w:pPr>
        <w:spacing w:after="120" w:line="276" w:lineRule="auto"/>
      </w:pPr>
      <w:r>
        <w:rPr>
          <w:rFonts w:ascii="Times New Roman" w:hAnsi="Times New Roman"/>
        </w:rPr>
        <w:t xml:space="preserve">Data quality challenges in supply chain databases are widely documented in literature, often categorized into missing values, sensor noise, or human entry errors. However, </w:t>
      </w:r>
      <w:r>
        <w:rPr>
          <w:rFonts w:ascii="Times New Roman" w:hAnsi="Times New Roman"/>
          <w:b/>
        </w:rPr>
        <w:t>systematic chronological shifts</w:t>
      </w:r>
      <w:r>
        <w:rPr>
          <w:rFonts w:ascii="Times New Roman" w:hAnsi="Times New Roman"/>
        </w:rPr>
        <w:t>—where timestamps are altered uniformly across cohorts during database migration, database anonymization, or fiscal calendar realignments—remain under-addressed. Standard imputation or outlier removal techniques fail because 100% of the dataset exhibits the shift. Our work formalizes empirical cohort anchoring as an exact mathematical recovery method.</w:t>
      </w:r>
    </w:p>
    <w:p>
      <w:pPr>
        <w:keepNext/>
        <w:spacing w:before="240" w:after="80"/>
      </w:pPr>
      <w:r>
        <w:rPr>
          <w:b/>
          <w:color w:val="2B6CB0"/>
          <w:sz w:val="24"/>
        </w:rPr>
        <w:t>2.3 Continual Model Observability in Production Logistics</w:t>
      </w:r>
    </w:p>
    <w:p>
      <w:pPr>
        <w:spacing w:after="120" w:line="276" w:lineRule="auto"/>
      </w:pPr>
      <w:r>
        <w:rPr>
          <w:rFonts w:ascii="Times New Roman" w:hAnsi="Times New Roman"/>
        </w:rPr>
        <w:t>Deploying machine learning models in operations research requires monitoring against concept drift and covariate shift. When regional distribution changes or carrier performance fluctuates, model degradation can lead to misallocated inventory and missed SLAs. While commercial MLOps platforms provide generic data drift tracking, logistics requires domain-specific thresholds (e.g., tolerance within \pm 1 day) and safeguards against false alerts when sample sizes are statistically insufficient (N &lt; 5).</w:t>
      </w:r>
    </w:p>
    <w:p>
      <w:pPr>
        <w:keepNext/>
        <w:spacing w:before="320" w:after="120"/>
      </w:pPr>
      <w:r>
        <w:rPr>
          <w:b/>
          <w:color w:val="1A365D"/>
          <w:sz w:val="28"/>
        </w:rPr>
        <w:t>3. Dataset Characterization &amp; Mathematical Preprocessing</w:t>
      </w:r>
    </w:p>
    <w:p>
      <w:pPr>
        <w:keepNext/>
        <w:spacing w:before="240" w:after="80"/>
      </w:pPr>
      <w:r>
        <w:rPr>
          <w:b/>
          <w:color w:val="2B6CB0"/>
          <w:sz w:val="24"/>
        </w:rPr>
        <w:t>3.1 Dataset Overview</w:t>
      </w:r>
    </w:p>
    <w:p>
      <w:pPr>
        <w:spacing w:after="120" w:line="276" w:lineRule="auto"/>
      </w:pPr>
      <w:r>
        <w:rPr>
          <w:rFonts w:ascii="Times New Roman" w:hAnsi="Times New Roman"/>
        </w:rPr>
        <w:t xml:space="preserve">The experimental dataset comprises </w:t>
      </w:r>
      <w:r>
        <w:rPr>
          <w:rFonts w:ascii="Times New Roman" w:hAnsi="Times New Roman"/>
          <w:b/>
        </w:rPr>
        <w:t>10,194 shipment records</w:t>
      </w:r>
      <w:r>
        <w:rPr>
          <w:rFonts w:ascii="Times New Roman" w:hAnsi="Times New Roman"/>
        </w:rPr>
        <w:t xml:space="preserve"> spanning 18 enterprise dimensions from Nassau Candy Distributor. Key attributes include Order Date, Ship Date, Customer Identifiers, Confectionery Product Line, Order Units, Sales Revenue, Gross Profit, Ship Mode, Customer Geographic Hierarchy (Region, State/Province, City, Postal Code), and Manufacturing Facility.</w:t>
      </w:r>
    </w:p>
    <w:p>
      <w:pPr>
        <w:spacing w:after="120" w:line="276" w:lineRule="auto"/>
      </w:pPr>
      <w:r>
        <w:rPr>
          <w:rFonts w:ascii="Times New Roman" w:hAnsi="Times New Roman"/>
        </w:rPr>
        <w:t xml:space="preserve">The production network consists of </w:t>
      </w:r>
      <w:r>
        <w:rPr>
          <w:rFonts w:ascii="Times New Roman" w:hAnsi="Times New Roman"/>
          <w:b/>
        </w:rPr>
        <w:t>5 primary manufacturing plants</w:t>
      </w:r>
      <w:r>
        <w:rPr>
          <w:rFonts w:ascii="Times New Roman" w:hAnsi="Times New Roman"/>
        </w:rPr>
        <w:t>:</w:t>
      </w:r>
    </w:p>
    <w:p>
      <w:pPr>
        <w:pStyle w:val="ListBullet"/>
        <w:spacing w:after="60" w:line="276" w:lineRule="auto"/>
      </w:pPr>
      <w:r>
        <w:rPr>
          <w:rFonts w:ascii="Times New Roman" w:hAnsi="Times New Roman"/>
        </w:rPr>
      </w:r>
      <w:r>
        <w:rPr>
          <w:rFonts w:ascii="Times New Roman" w:hAnsi="Times New Roman"/>
          <w:b/>
        </w:rPr>
        <w:t>Wicked Choccy's</w:t>
      </w:r>
      <w:r>
        <w:rPr>
          <w:rFonts w:ascii="Times New Roman" w:hAnsi="Times New Roman"/>
        </w:rPr>
        <w:t xml:space="preserve"> (Savannah, GA): Premium Milk and Caramel Chocolate</w:t>
      </w:r>
    </w:p>
    <w:p>
      <w:pPr>
        <w:pStyle w:val="ListBullet"/>
        <w:spacing w:after="60" w:line="276" w:lineRule="auto"/>
      </w:pPr>
      <w:r>
        <w:rPr>
          <w:rFonts w:ascii="Times New Roman" w:hAnsi="Times New Roman"/>
        </w:rPr>
      </w:r>
      <w:r>
        <w:rPr>
          <w:rFonts w:ascii="Times New Roman" w:hAnsi="Times New Roman"/>
          <w:b/>
        </w:rPr>
        <w:t>Sugar Shack</w:t>
      </w:r>
      <w:r>
        <w:rPr>
          <w:rFonts w:ascii="Times New Roman" w:hAnsi="Times New Roman"/>
        </w:rPr>
        <w:t xml:space="preserve"> (Thief River Falls, MN): Hard Sugar Candies, Gummies &amp; Beverages</w:t>
      </w:r>
    </w:p>
    <w:p>
      <w:pPr>
        <w:pStyle w:val="ListBullet"/>
        <w:spacing w:after="60" w:line="276" w:lineRule="auto"/>
      </w:pPr>
      <w:r>
        <w:rPr>
          <w:rFonts w:ascii="Times New Roman" w:hAnsi="Times New Roman"/>
        </w:rPr>
      </w:r>
      <w:r>
        <w:rPr>
          <w:rFonts w:ascii="Times New Roman" w:hAnsi="Times New Roman"/>
          <w:b/>
        </w:rPr>
        <w:t>The Other Factory</w:t>
      </w:r>
      <w:r>
        <w:rPr>
          <w:rFonts w:ascii="Times New Roman" w:hAnsi="Times New Roman"/>
        </w:rPr>
        <w:t xml:space="preserve"> (Memphis, TN): Chewy Candies &amp; Artisanal Toffee</w:t>
      </w:r>
    </w:p>
    <w:p>
      <w:pPr>
        <w:pStyle w:val="ListBullet"/>
        <w:spacing w:after="60" w:line="276" w:lineRule="auto"/>
      </w:pPr>
      <w:r>
        <w:rPr>
          <w:rFonts w:ascii="Times New Roman" w:hAnsi="Times New Roman"/>
        </w:rPr>
      </w:r>
      <w:r>
        <w:rPr>
          <w:rFonts w:ascii="Times New Roman" w:hAnsi="Times New Roman"/>
          <w:b/>
        </w:rPr>
        <w:t>Secret Factory</w:t>
      </w:r>
      <w:r>
        <w:rPr>
          <w:rFonts w:ascii="Times New Roman" w:hAnsi="Times New Roman"/>
        </w:rPr>
        <w:t xml:space="preserve"> (Rock Island, IL): Specialty &amp; Experimental Confections</w:t>
      </w:r>
    </w:p>
    <w:p>
      <w:pPr>
        <w:pStyle w:val="ListBullet"/>
        <w:spacing w:after="60" w:line="276" w:lineRule="auto"/>
      </w:pPr>
      <w:r>
        <w:rPr>
          <w:rFonts w:ascii="Times New Roman" w:hAnsi="Times New Roman"/>
        </w:rPr>
      </w:r>
      <w:r>
        <w:rPr>
          <w:rFonts w:ascii="Times New Roman" w:hAnsi="Times New Roman"/>
          <w:b/>
        </w:rPr>
        <w:t>Lot's O' Nuts</w:t>
      </w:r>
      <w:r>
        <w:rPr>
          <w:rFonts w:ascii="Times New Roman" w:hAnsi="Times New Roman"/>
        </w:rPr>
        <w:t xml:space="preserve"> (Casa Grande, AZ): Nut Clusters &amp; Marshmallow Chocolate Bars</w:t>
      </w:r>
    </w:p>
    <w:p>
      <w:pPr>
        <w:spacing w:after="120" w:line="276" w:lineRule="auto"/>
      </w:pPr>
      <w:r>
        <w:rPr>
          <w:rFonts w:ascii="Times New Roman" w:hAnsi="Times New Roman"/>
        </w:rPr>
        <w:t xml:space="preserve">These factories service customer delivery destinations across all 50 US states, generating </w:t>
      </w:r>
      <w:r>
        <w:rPr>
          <w:rFonts w:ascii="Times New Roman" w:hAnsi="Times New Roman"/>
          <w:b/>
        </w:rPr>
        <w:t>196 active shipping corridors</w:t>
      </w:r>
      <w:r>
        <w:rPr>
          <w:rFonts w:ascii="Times New Roman" w:hAnsi="Times New Roman"/>
        </w:rPr>
        <w:t>.</w:t>
      </w:r>
    </w:p>
    <w:p>
      <w:pPr>
        <w:keepNext/>
        <w:spacing w:before="240" w:after="80"/>
      </w:pPr>
      <w:r>
        <w:rPr>
          <w:b/>
          <w:color w:val="2B6CB0"/>
          <w:sz w:val="24"/>
        </w:rPr>
        <w:t>3.2 Formalization of the Date Offset Anomaly</w:t>
      </w:r>
    </w:p>
    <w:p>
      <w:pPr>
        <w:spacing w:after="120" w:line="276" w:lineRule="auto"/>
      </w:pPr>
      <w:r>
        <w:rPr>
          <w:rFonts w:ascii="Times New Roman" w:hAnsi="Times New Roman"/>
        </w:rPr>
        <w:t>Let t_{\text{order}, i} and t_{\text{ship}, i} denote the recorded order timestamp and shipment timestamp for record i. The raw recorded lead time L_{\text{raw}, i} is defined as:</w:t>
      </w:r>
    </w:p>
    <w:p>
      <w:pPr>
        <w:spacing w:after="120" w:line="276" w:lineRule="auto"/>
      </w:pPr>
      <w:r>
        <w:rPr>
          <w:rFonts w:ascii="Times New Roman" w:hAnsi="Times New Roman"/>
        </w:rPr>
        <w:t>L_{\text{raw}, i} = t_{\text{ship}, i} - t_{\text{order}, i}</w:t>
      </w:r>
    </w:p>
    <w:p>
      <w:pPr>
        <w:spacing w:after="120" w:line="276" w:lineRule="auto"/>
      </w:pPr>
      <w:r>
        <w:rPr>
          <w:rFonts w:ascii="Times New Roman" w:hAnsi="Times New Roman"/>
        </w:rPr>
        <w:t>In the raw dataset, L_{\text{raw}, i} \in [904, 1642] days (\mu = 1320.84 days). Physically, a candy distributor cannot sustain transit lead times exceeding 2.5 to 4.5 years. Analyzing order cohorts reveals that Order IDs are partitioned into annual business cohorts c \in \{2021, 2022, 2023, 2024\} based on the string prefix `US-YYYY-XXXXX`.</w:t>
      </w:r>
    </w:p>
    <w:p>
      <w:pPr>
        <w:spacing w:after="120" w:line="276" w:lineRule="auto"/>
      </w:pPr>
      <w:r>
        <w:rPr>
          <w:rFonts w:ascii="Times New Roman" w:hAnsi="Times New Roman"/>
        </w:rPr>
        <w:t>During an enterprise data migration, order dates were remapped to \{2024, 2025\}, while ship dates were projected forward to \{2026, 2027, 2028, 2029, 2030\}. This introduces a discrete step offset \Delta_c specific to each cohort.</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w:t>
              <w:br/>
              <w:t>|                       DATE ANOMALY STEP OFFSET STRUCTURE                       |</w:t>
              <w:br/>
              <w:t>+-------------------------------------------------------------------------------+</w:t>
              <w:br/>
              <w:t>| Cohort Year | Records (N) | Same Day Orders | Min Raw Lead Time | Base Shift   |</w:t>
              <w:br/>
              <w:t>+-------------+-------------+-----------------+-------------------+--------------+</w:t>
              <w:br/>
              <w:t>| 2021        | 2,051       | 92              | 904 days          | 904 days     |</w:t>
              <w:br/>
              <w:t>| 2022        | 2,130       | 109             | 1,269 days        | 1,269 days   |</w:t>
              <w:br/>
              <w:t>| 2023        | 2,634       | 158             | 1,269 days        | 1,269 days   |</w:t>
              <w:br/>
              <w:t>| 2024        | 3,379       | 188             | 1,634 days        | 1,634 days   |</w:t>
              <w:br/>
              <w:t>+-------------------------------------------------------------------------------+</w:t>
            </w:r>
          </w:p>
        </w:tc>
      </w:tr>
    </w:tbl>
    <w:p>
      <w:pPr>
        <w:spacing w:after="120"/>
      </w:pPr>
    </w:p>
    <w:p>
      <w:pPr>
        <w:keepNext/>
        <w:spacing w:before="240" w:after="80"/>
      </w:pPr>
      <w:r>
        <w:rPr>
          <w:b/>
          <w:color w:val="2B6CB0"/>
          <w:sz w:val="24"/>
        </w:rPr>
        <w:t>3.3 Theory of Empirical Same Day Cohort Anchoring</w:t>
      </w:r>
    </w:p>
    <w:p>
      <w:pPr>
        <w:spacing w:after="120" w:line="276" w:lineRule="auto"/>
      </w:pPr>
      <w:r>
        <w:rPr>
          <w:rFonts w:ascii="Times New Roman" w:hAnsi="Times New Roman"/>
        </w:rPr>
        <w:t>To recover the true operational lead time L_{\text{op}, i} without arbitrary hand-tuned parameters, we establish an empirical domain invariant:</w:t>
      </w:r>
    </w:p>
    <w:p>
      <w:pPr>
        <w:spacing w:after="120" w:line="276" w:lineRule="auto"/>
      </w:pPr>
      <w:r>
        <w:rPr>
          <w:rFonts w:ascii="Times New Roman" w:hAnsi="Times New Roman"/>
        </w:rPr>
        <w:t xml:space="preserve">&gt; </w:t>
      </w:r>
      <w:r>
        <w:rPr>
          <w:rFonts w:ascii="Times New Roman" w:hAnsi="Times New Roman"/>
          <w:b/>
        </w:rPr>
        <w:t>Axiom 1 (Same Day Fulfillment Invariant):</w:t>
      </w:r>
      <w:r>
        <w:rPr>
          <w:rFonts w:ascii="Times New Roman" w:hAnsi="Times New Roman"/>
        </w:rPr>
        <w:t xml:space="preserve"> By commercial definition, orders dispatched via the "Same Day" carrier tier possess an operational transit duration L_{\text{op}} \approx 0 days (\min(L_{\text{op}}) = 0).</w:t>
      </w:r>
    </w:p>
    <w:p>
      <w:pPr>
        <w:spacing w:after="120" w:line="276" w:lineRule="auto"/>
      </w:pPr>
      <w:r>
        <w:rPr>
          <w:rFonts w:ascii="Times New Roman" w:hAnsi="Times New Roman"/>
        </w:rPr>
        <w:t>For each cohort c, the cohort-specific base shift \Delta_c is derived directly from the cohort's Same Day shipments \mathcal{S}_c = \{k \in \text{Cohort}_c \mid \text{ShipMode}_k = \text{"Same Day"}\}:</w:t>
      </w:r>
    </w:p>
    <w:p>
      <w:pPr>
        <w:spacing w:after="120" w:line="276" w:lineRule="auto"/>
      </w:pPr>
      <w:r>
        <w:rPr>
          <w:rFonts w:ascii="Times New Roman" w:hAnsi="Times New Roman"/>
        </w:rPr>
        <w:t>\Delta_c = \min_{k \in \mathcal{S}_c} \left( L_{\text{raw}, k} \right)</w:t>
      </w:r>
    </w:p>
    <w:p>
      <w:pPr>
        <w:spacing w:after="120" w:line="276" w:lineRule="auto"/>
      </w:pPr>
      <w:r>
        <w:rPr>
          <w:rFonts w:ascii="Times New Roman" w:hAnsi="Times New Roman"/>
        </w:rPr>
        <w:t>Across all four cohorts, the empirical variance of Same Day orders is tightly bound (\sigma \le 0.287 days), confirming the deterministic rigidity of the shift:</w:t>
      </w:r>
    </w:p>
    <w:p>
      <w:pPr>
        <w:pStyle w:val="ListBullet"/>
        <w:spacing w:after="60" w:line="276" w:lineRule="auto"/>
      </w:pPr>
      <w:r>
        <w:rPr>
          <w:rFonts w:ascii="Times New Roman" w:hAnsi="Times New Roman"/>
        </w:rPr>
        <w:t>$\Delta_{2021} = 904\text{ days}$</w:t>
      </w:r>
    </w:p>
    <w:p>
      <w:pPr>
        <w:pStyle w:val="ListBullet"/>
        <w:spacing w:after="60" w:line="276" w:lineRule="auto"/>
      </w:pPr>
      <w:r>
        <w:rPr>
          <w:rFonts w:ascii="Times New Roman" w:hAnsi="Times New Roman"/>
        </w:rPr>
        <w:t>$\Delta_{2022} = 1,269\text{ days} = 904 + 365\text{ days}$ (exactly +1 non-leap year)</w:t>
      </w:r>
    </w:p>
    <w:p>
      <w:pPr>
        <w:pStyle w:val="ListBullet"/>
        <w:spacing w:after="60" w:line="276" w:lineRule="auto"/>
      </w:pPr>
      <w:r>
        <w:rPr>
          <w:rFonts w:ascii="Times New Roman" w:hAnsi="Times New Roman"/>
        </w:rPr>
        <w:t>$\Delta_{2023} = 1,269\text{ days} = \Delta_{2022}$ (synchronous forward step)</w:t>
      </w:r>
    </w:p>
    <w:p>
      <w:pPr>
        <w:pStyle w:val="ListBullet"/>
        <w:spacing w:after="60" w:line="276" w:lineRule="auto"/>
      </w:pPr>
      <w:r>
        <w:rPr>
          <w:rFonts w:ascii="Times New Roman" w:hAnsi="Times New Roman"/>
        </w:rPr>
        <w:t>$\Delta_{2024} = 1,634\text{ days} = 1,269 + 365\text{ days}$ (exactly +1 non-leap year)</w:t>
      </w:r>
    </w:p>
    <w:p>
      <w:pPr>
        <w:spacing w:after="120" w:line="276" w:lineRule="auto"/>
      </w:pPr>
      <w:r>
        <w:rPr>
          <w:rFonts w:ascii="Times New Roman" w:hAnsi="Times New Roman"/>
        </w:rPr>
        <w:t xml:space="preserve">The true </w:t>
      </w:r>
      <w:r>
        <w:rPr>
          <w:rFonts w:ascii="Times New Roman" w:hAnsi="Times New Roman"/>
          <w:b/>
        </w:rPr>
        <w:t>Operational Shipping Lead Time</w:t>
      </w:r>
      <w:r>
        <w:rPr>
          <w:rFonts w:ascii="Times New Roman" w:hAnsi="Times New Roman"/>
        </w:rPr>
        <w:t xml:space="preserve"> L_{\text{op}, i} is thus computed as:</w:t>
      </w:r>
    </w:p>
    <w:p>
      <w:pPr>
        <w:spacing w:after="120" w:line="276" w:lineRule="auto"/>
      </w:pPr>
      <w:r>
        <w:rPr>
          <w:rFonts w:ascii="Times New Roman" w:hAnsi="Times New Roman"/>
        </w:rPr>
        <w:t>L_{\text{op}, i} = L_{\text{raw}, i} - \Delta_{c(i)}</w:t>
      </w:r>
    </w:p>
    <w:p>
      <w:pPr>
        <w:spacing w:after="120" w:line="276" w:lineRule="auto"/>
      </w:pPr>
      <w:r>
        <w:rPr>
          <w:rFonts w:ascii="Times New Roman" w:hAnsi="Times New Roman"/>
        </w:rPr>
        <w:t>And the true operational shipment timestamp is reconstructed as:</w:t>
      </w:r>
    </w:p>
    <w:p>
      <w:pPr>
        <w:spacing w:after="120" w:line="276" w:lineRule="auto"/>
      </w:pPr>
      <w:r>
        <w:rPr>
          <w:rFonts w:ascii="Times New Roman" w:hAnsi="Times New Roman"/>
        </w:rPr>
        <w:t>t_{\text{ship\_op}, i} = t_{\text{order}, i} + L_{\text{op}, i}</w:t>
      </w:r>
    </w:p>
    <w:p>
      <w:pPr>
        <w:spacing w:after="120" w:line="276" w:lineRule="auto"/>
      </w:pPr>
      <w:r>
        <w:rPr>
          <w:rFonts w:ascii="Times New Roman" w:hAnsi="Times New Roman"/>
        </w:rPr>
        <w:t>Applying this transformation restores standard industrial delivery curves across all carrier tiers: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w:t>
              <w:br/>
              <w:t>|                       OPERATIONAL LEAD TIME VALIDATION                        |</w:t>
              <w:br/>
              <w:t>+------------------+---------+-------+--------+-------+-------+-----------------+</w:t>
              <w:br/>
              <w:t>| Carrier Mode     | Records | Mean  | Median | Min   | Max   | Expected Range  |</w:t>
              <w:br/>
              <w:t>+------------------+---------+-------+--------+-------+-------+-----------------+</w:t>
              <w:br/>
              <w:t>| Same Day         | 547     | 0.38d | 0.0d   | 0d    | 2d    | 0 to 1 days     |</w:t>
              <w:br/>
              <w:t>| First Class      | 1,548   | 2.55d | 3.0d   | 1d    | 5d    | 1 to 3 days     |</w:t>
              <w:br/>
              <w:t>| Second Class     | 1,979   | 3.57d | 3.0d   | 1d    | 6d    | 2 to 5 days     |</w:t>
              <w:br/>
              <w:t>| Standard Class   | 6,120   | 5.32d | 5.0d   | 3d    | 11d   | 4 to 7 days     |</w:t>
              <w:br/>
              <w:t>+------------------+---------+-------+--------+-------+-------+-----------------+</w:t>
            </w:r>
          </w:p>
        </w:tc>
      </w:tr>
    </w:tbl>
    <w:p>
      <w:pPr>
        <w:spacing w:after="120"/>
      </w:pPr>
    </w:p>
    <w:p>
      <w:pPr>
        <w:keepNext/>
        <w:spacing w:before="240" w:after="80"/>
      </w:pPr>
      <w:r>
        <w:rPr>
          <w:b/>
          <w:color w:val="2B6CB0"/>
          <w:sz w:val="24"/>
        </w:rPr>
        <w:t>3.4 Explicit Data Quality Audit Flags</w:t>
      </w:r>
    </w:p>
    <w:p>
      <w:pPr>
        <w:spacing w:after="120" w:line="276" w:lineRule="auto"/>
      </w:pPr>
      <w:r>
        <w:rPr>
          <w:rFonts w:ascii="Times New Roman" w:hAnsi="Times New Roman"/>
        </w:rPr>
        <w:t>In addition to the temporal shift, the automated preprocessing pipeline tags each record with 5 discrete data quality flags to ensure complete auditability:</w:t>
      </w:r>
    </w:p>
    <w:p>
      <w:pPr>
        <w:pStyle w:val="ListNumber"/>
        <w:spacing w:after="60" w:line="276" w:lineRule="auto"/>
      </w:pPr>
      <w:r>
        <w:rPr>
          <w:rFonts w:ascii="Times New Roman" w:hAnsi="Times New Roman"/>
        </w:rPr>
        <w:t>`flag_artificial_date_shift`: 10,194 records (100.0%) corrected via cohort anchoring.</w:t>
      </w:r>
    </w:p>
    <w:p>
      <w:pPr>
        <w:pStyle w:val="ListNumber"/>
        <w:spacing w:after="60" w:line="276" w:lineRule="auto"/>
      </w:pPr>
      <w:r>
        <w:rPr>
          <w:rFonts w:ascii="Times New Roman" w:hAnsi="Times New Roman"/>
        </w:rPr>
        <w:t>`flag_truncated_us_postal_code`: 449 records (4.41%) where leading zeros were dropped by spreadsheet ingestion (e.g., `1001` instead of `01001` in Massachusetts).</w:t>
      </w:r>
    </w:p>
    <w:p>
      <w:pPr>
        <w:pStyle w:val="ListNumber"/>
        <w:spacing w:after="60" w:line="276" w:lineRule="auto"/>
      </w:pPr>
      <w:r>
        <w:rPr>
          <w:rFonts w:ascii="Times New Roman" w:hAnsi="Times New Roman"/>
        </w:rPr>
        <w:t>`flag_canadian_fsa_postal_code`: 200 records (1.96%) containing alphanumeric Forward Sortation Area formats.</w:t>
      </w:r>
    </w:p>
    <w:p>
      <w:pPr>
        <w:pStyle w:val="ListNumber"/>
        <w:spacing w:after="60" w:line="276" w:lineRule="auto"/>
      </w:pPr>
      <w:r>
        <w:rPr>
          <w:rFonts w:ascii="Times New Roman" w:hAnsi="Times New Roman"/>
        </w:rPr>
        <w:t>`flag_product_division_inconsistency`: 6 records (0.06%) where candy classifications conflicted with factory capability.</w:t>
      </w:r>
    </w:p>
    <w:p>
      <w:pPr>
        <w:pStyle w:val="ListNumber"/>
        <w:spacing w:after="60" w:line="276" w:lineRule="auto"/>
      </w:pPr>
      <w:r>
        <w:rPr>
          <w:rFonts w:ascii="Times New Roman" w:hAnsi="Times New Roman"/>
        </w:rPr>
        <w:t>`flag_extreme_product_volume_imbalance`: 230 records (2.26%) representing commercial wholesale volume orders exceeding $3\sigma$ of the product category mean.</w:t>
      </w:r>
    </w:p>
    <w:p>
      <w:pPr>
        <w:keepNext/>
        <w:spacing w:before="320" w:after="120"/>
      </w:pPr>
      <w:r>
        <w:rPr>
          <w:b/>
          <w:color w:val="1A365D"/>
          <w:sz w:val="28"/>
        </w:rPr>
        <w:t>4. Machine Learning &amp; Algorithmic Architecture</w:t>
      </w:r>
    </w:p>
    <w:p>
      <w:pPr>
        <w:spacing w:after="120" w:line="276" w:lineRule="auto"/>
      </w:pPr>
      <w:r>
        <w:rPr>
          <w:rFonts w:ascii="Times New Roman" w:hAnsi="Times New Roman"/>
        </w:rPr>
        <w:t>RouteNexa AI deploys an ensemble of four specialized models coordinated through a centralized `MLModelManager`.</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flowchart TD</w:t>
              <w:br/>
              <w:t xml:space="preserve">    subgraph Feature Engineering</w:t>
              <w:br/>
              <w:t xml:space="preserve">        A1[Product &amp; Factory OHE] --&gt; F[Feature Vector X]</w:t>
              <w:br/>
              <w:t xml:space="preserve">        A2[Ship Mode OHE] --&gt; F</w:t>
              <w:br/>
              <w:t xml:space="preserve">        A3[Geodesic Distance d_ij] --&gt; F</w:t>
              <w:br/>
              <w:t xml:space="preserve">        A4[Order Units &amp; Seasonality] --&gt; F</w:t>
              <w:br/>
              <w:t xml:space="preserve">        A5[State Historical Delay Rate] --&gt; F</w:t>
              <w:br/>
              <w:t xml:space="preserve">    end</w:t>
              <w:br/>
              <w:br/>
              <w:t xml:space="preserve">    subgraph Predictive Layer</w:t>
              <w:br/>
              <w:t xml:space="preserve">        F --&gt; M1["Random Forest Delay Classifier (P_delay)"]</w:t>
              <w:br/>
              <w:t xml:space="preserve">        F --&gt; M2["Gradient Boosted ETA Regressor (y_hat)"]</w:t>
              <w:br/>
              <w:t xml:space="preserve">        F --&gt; M3["Isolation Forest Anomaly Detector (s_anomaly)"]</w:t>
              <w:br/>
              <w:t xml:space="preserve">    end</w:t>
              <w:br/>
              <w:br/>
              <w:t xml:space="preserve">    subgraph Time Series Layer</w:t>
              <w:br/>
              <w:t xml:space="preserve">        H[Daily Aggregated Volume] --&gt; M4["14-Day Rolling Forecaster (V_t+h)"]</w:t>
              <w:br/>
              <w:t xml:space="preserve">    end</w:t>
              <w:br/>
              <w:br/>
              <w:t xml:space="preserve">    M1 &amp; M2 &amp; M3 &amp; M4 --&gt; Out["Unified Decision Support Context"]</w:t>
            </w:r>
          </w:p>
        </w:tc>
      </w:tr>
    </w:tbl>
    <w:p>
      <w:pPr>
        <w:spacing w:after="120"/>
      </w:pPr>
    </w:p>
    <w:p>
      <w:pPr>
        <w:keepNext/>
        <w:spacing w:before="240" w:after="80"/>
      </w:pPr>
      <w:r>
        <w:rPr>
          <w:b/>
          <w:color w:val="2B6CB0"/>
          <w:sz w:val="24"/>
        </w:rPr>
        <w:t>4.1 SLA Delay Classification Model</w:t>
      </w:r>
    </w:p>
    <w:p>
      <w:pPr>
        <w:spacing w:after="120" w:line="276" w:lineRule="auto"/>
      </w:pPr>
      <w:r>
        <w:rPr>
          <w:rFonts w:ascii="Times New Roman" w:hAnsi="Times New Roman"/>
        </w:rPr>
        <w:t>Carrier contracts stipulate strict transit duration thresholds \tau_{\text{SLA}}(\text{Mode}):</w:t>
      </w:r>
    </w:p>
    <w:p>
      <w:pPr>
        <w:pStyle w:val="ListBullet"/>
        <w:spacing w:after="60" w:line="276" w:lineRule="auto"/>
      </w:pPr>
      <w:r>
        <w:rPr>
          <w:rFonts w:ascii="Times New Roman" w:hAnsi="Times New Roman"/>
        </w:rPr>
        <w:t>Same Day: 1 day</w:t>
      </w:r>
    </w:p>
    <w:p>
      <w:pPr>
        <w:pStyle w:val="ListBullet"/>
        <w:spacing w:after="60" w:line="276" w:lineRule="auto"/>
      </w:pPr>
      <w:r>
        <w:rPr>
          <w:rFonts w:ascii="Times New Roman" w:hAnsi="Times New Roman"/>
        </w:rPr>
        <w:t>First Class: 3 days</w:t>
      </w:r>
    </w:p>
    <w:p>
      <w:pPr>
        <w:pStyle w:val="ListBullet"/>
        <w:spacing w:after="60" w:line="276" w:lineRule="auto"/>
      </w:pPr>
      <w:r>
        <w:rPr>
          <w:rFonts w:ascii="Times New Roman" w:hAnsi="Times New Roman"/>
        </w:rPr>
        <w:t>Second Class: 5 days</w:t>
      </w:r>
    </w:p>
    <w:p>
      <w:pPr>
        <w:pStyle w:val="ListBullet"/>
        <w:spacing w:after="60" w:line="276" w:lineRule="auto"/>
      </w:pPr>
      <w:r>
        <w:rPr>
          <w:rFonts w:ascii="Times New Roman" w:hAnsi="Times New Roman"/>
        </w:rPr>
        <w:t>Standard Class: 6 days</w:t>
      </w:r>
    </w:p>
    <w:p>
      <w:pPr>
        <w:spacing w:after="120" w:line="276" w:lineRule="auto"/>
      </w:pPr>
      <w:r>
        <w:rPr>
          <w:rFonts w:ascii="Times New Roman" w:hAnsi="Times New Roman"/>
        </w:rPr>
        <w:t xml:space="preserve">An order is labeled delayed (y_{\text{delay}} = 1) if L_{\text{op}} &gt; \tau_{\text{SLA}}(\text{Mode}). Across the 10,194 shipments, the overall delay rate is </w:t>
      </w:r>
      <w:r>
        <w:rPr>
          <w:rFonts w:ascii="Times New Roman" w:hAnsi="Times New Roman"/>
          <w:b/>
        </w:rPr>
        <w:t>18.7%</w:t>
      </w:r>
      <w:r>
        <w:rPr>
          <w:rFonts w:ascii="Times New Roman" w:hAnsi="Times New Roman"/>
        </w:rPr>
        <w:t xml:space="preserve"> (1,906 delayed shipments).</w:t>
      </w:r>
    </w:p>
    <w:p>
      <w:pPr>
        <w:spacing w:after="120" w:line="276" w:lineRule="auto"/>
      </w:pPr>
      <w:r>
        <w:rPr>
          <w:rFonts w:ascii="Times New Roman" w:hAnsi="Times New Roman"/>
        </w:rPr>
        <w:t xml:space="preserve">We train a </w:t>
      </w:r>
      <w:r>
        <w:rPr>
          <w:rFonts w:ascii="Times New Roman" w:hAnsi="Times New Roman"/>
          <w:b/>
        </w:rPr>
        <w:t>Balanced Random Forest Classifier</w:t>
      </w:r>
      <w:r>
        <w:rPr>
          <w:rFonts w:ascii="Times New Roman" w:hAnsi="Times New Roman"/>
        </w:rPr>
        <w:t xml:space="preserve"> (N_{\text{estimators}} = 150, \text{max\_depth} = 12) on features comprising carrier mode, product division, state destination, factory origin, geodesic distance, and order volume. Class weights are inversely adjusted to mitigate the 4.35:1 majority class imbalance:</w:t>
      </w:r>
    </w:p>
    <w:p>
      <w:pPr>
        <w:spacing w:after="120" w:line="276" w:lineRule="auto"/>
      </w:pPr>
      <w:r>
        <w:rPr>
          <w:rFonts w:ascii="Times New Roman" w:hAnsi="Times New Roman"/>
        </w:rPr>
        <w:t>w_j = \frac{N}{2 \cdot N_j}</w:t>
      </w:r>
    </w:p>
    <w:p>
      <w:pPr>
        <w:keepNext/>
        <w:spacing w:before="240" w:after="80"/>
      </w:pPr>
      <w:r>
        <w:rPr>
          <w:b/>
          <w:color w:val="2B6CB0"/>
          <w:sz w:val="24"/>
        </w:rPr>
        <w:t>4.2 Continuous ETA Lead-Time Regressor</w:t>
      </w:r>
    </w:p>
    <w:p>
      <w:pPr>
        <w:spacing w:after="120" w:line="276" w:lineRule="auto"/>
      </w:pPr>
      <w:r>
        <w:rPr>
          <w:rFonts w:ascii="Times New Roman" w:hAnsi="Times New Roman"/>
        </w:rPr>
        <w:t xml:space="preserve">To forecast the exact delivery duration \hat{y}_{\text{lead\_time}} in days, we train a </w:t>
      </w:r>
      <w:r>
        <w:rPr>
          <w:rFonts w:ascii="Times New Roman" w:hAnsi="Times New Roman"/>
          <w:b/>
        </w:rPr>
        <w:t>Gradient Boosted Regressor</w:t>
      </w:r>
      <w:r>
        <w:rPr>
          <w:rFonts w:ascii="Times New Roman" w:hAnsi="Times New Roman"/>
        </w:rPr>
        <w:t xml:space="preserve"> utilizing Huber loss:</w:t>
      </w:r>
    </w:p>
    <w:p>
      <w:pPr>
        <w:spacing w:after="120" w:line="276" w:lineRule="auto"/>
      </w:pPr>
      <w:r>
        <w:rPr>
          <w:rFonts w:ascii="Times New Roman" w:hAnsi="Times New Roman"/>
        </w:rPr>
        <w:t xml:space="preserve">L_\delta(y, \hat{y}) = \begin{cases} </w:t>
      </w:r>
    </w:p>
    <w:p>
      <w:pPr>
        <w:spacing w:after="120" w:line="276" w:lineRule="auto"/>
      </w:pPr>
      <w:r>
        <w:rPr>
          <w:rFonts w:ascii="Times New Roman" w:hAnsi="Times New Roman"/>
        </w:rPr>
        <w:t>\frac{1}{2}(y - \hat{y})^2 &amp; \text{for } |y - \hat{y}| \le \delta \\</w:t>
      </w:r>
    </w:p>
    <w:p>
      <w:pPr>
        <w:spacing w:after="120" w:line="276" w:lineRule="auto"/>
      </w:pPr>
      <w:r>
        <w:rPr>
          <w:rFonts w:ascii="Times New Roman" w:hAnsi="Times New Roman"/>
        </w:rPr>
        <w:t>\delta |y - \hat{y}| - \frac{1}{2}\delta^2 &amp; \text{otherwise}</w:t>
      </w:r>
    </w:p>
    <w:p>
      <w:pPr>
        <w:spacing w:after="120" w:line="276" w:lineRule="auto"/>
      </w:pPr>
      <w:r>
        <w:rPr>
          <w:rFonts w:ascii="Times New Roman" w:hAnsi="Times New Roman"/>
        </w:rPr>
        <w:t>\end{cases}</w:t>
      </w:r>
    </w:p>
    <w:p>
      <w:pPr>
        <w:spacing w:after="120" w:line="276" w:lineRule="auto"/>
      </w:pPr>
      <w:r>
        <w:rPr>
          <w:rFonts w:ascii="Times New Roman" w:hAnsi="Times New Roman"/>
        </w:rPr>
        <w:t>Huber loss (\delta = 1.0) ensures robust gradient updates against extreme delivery outliers while maintaining linear penalties for moderate delays.</w:t>
      </w:r>
    </w:p>
    <w:p>
      <w:pPr>
        <w:keepNext/>
        <w:spacing w:before="240" w:after="80"/>
      </w:pPr>
      <w:r>
        <w:rPr>
          <w:b/>
          <w:color w:val="2B6CB0"/>
          <w:sz w:val="24"/>
        </w:rPr>
        <w:t>4.3 Unsupervised Anomaly Detection (Isolation Forest)</w:t>
      </w:r>
    </w:p>
    <w:p>
      <w:pPr>
        <w:spacing w:after="120" w:line="276" w:lineRule="auto"/>
      </w:pPr>
      <w:r>
        <w:rPr>
          <w:rFonts w:ascii="Times New Roman" w:hAnsi="Times New Roman"/>
        </w:rPr>
        <w:t xml:space="preserve">To isolate multidimensional anomalies (e.g., small-volume shipments experiencing disproportionate transit durations or distant destinations with uncharacteristic shipping speeds), we implement an </w:t>
      </w:r>
      <w:r>
        <w:rPr>
          <w:rFonts w:ascii="Times New Roman" w:hAnsi="Times New Roman"/>
          <w:b/>
        </w:rPr>
        <w:t>Isolation Forest</w:t>
      </w:r>
      <w:r>
        <w:rPr>
          <w:rFonts w:ascii="Times New Roman" w:hAnsi="Times New Roman"/>
        </w:rPr>
        <w:t>:</w:t>
      </w:r>
    </w:p>
    <w:p>
      <w:pPr>
        <w:spacing w:after="120" w:line="276" w:lineRule="auto"/>
      </w:pPr>
      <w:r>
        <w:rPr>
          <w:rFonts w:ascii="Times New Roman" w:hAnsi="Times New Roman"/>
        </w:rPr>
        <w:t>s(x, n) = 2^{-\frac{E(h(x))}{c(n)}}</w:t>
      </w:r>
    </w:p>
    <w:p>
      <w:pPr>
        <w:spacing w:after="120" w:line="276" w:lineRule="auto"/>
      </w:pPr>
      <w:r>
        <w:rPr>
          <w:rFonts w:ascii="Times New Roman" w:hAnsi="Times New Roman"/>
        </w:rPr>
        <w:t>where E(h(x)) is the average path length of sample x across an ensemble of isolation trees, and c(n) is the average path length of unsuccessful searches in a Binary Search Tree of size n. Samples with anomaly scores s &gt; 0.65 (contamination factor \gamma = 0.03) are automatically flagged for operations inspection.</w:t>
      </w:r>
    </w:p>
    <w:p>
      <w:pPr>
        <w:keepNext/>
        <w:spacing w:before="240" w:after="80"/>
      </w:pPr>
      <w:r>
        <w:rPr>
          <w:b/>
          <w:color w:val="2B6CB0"/>
          <w:sz w:val="24"/>
        </w:rPr>
        <w:t>4.4 14-Day Rolling Volume Forecaster</w:t>
      </w:r>
    </w:p>
    <w:p>
      <w:pPr>
        <w:spacing w:after="120" w:line="276" w:lineRule="auto"/>
      </w:pPr>
      <w:r>
        <w:rPr>
          <w:rFonts w:ascii="Times New Roman" w:hAnsi="Times New Roman"/>
        </w:rPr>
        <w:t>Outbound facility planning requires multi-day volume projections. We implement an autoregressive rolling window forecaster computing expected daily dispatch volumes \hat{V}_{t+h} with empirical 95% prediction intervals:</w:t>
      </w:r>
    </w:p>
    <w:p>
      <w:pPr>
        <w:spacing w:after="120" w:line="276" w:lineRule="auto"/>
      </w:pPr>
      <w:r>
        <w:rPr>
          <w:rFonts w:ascii="Times New Roman" w:hAnsi="Times New Roman"/>
        </w:rPr>
        <w:t>\hat{V}_{t+h} = \frac{1}{W} \sum_{k=1}^{W} V_{t-k} + \beta \cdot \text{Trend}(h) \pm 1.96 \cdot \sigma_W</w:t>
      </w:r>
    </w:p>
    <w:p>
      <w:pPr>
        <w:spacing w:after="120" w:line="276" w:lineRule="auto"/>
      </w:pPr>
      <w:r>
        <w:rPr>
          <w:rFonts w:ascii="Times New Roman" w:hAnsi="Times New Roman"/>
        </w:rPr>
        <w:t>where W = 14 days, incorporating day-of-week cyclicality coefficients.</w:t>
      </w:r>
    </w:p>
    <w:p>
      <w:pPr>
        <w:keepNext/>
        <w:spacing w:before="240" w:after="80"/>
      </w:pPr>
      <w:r>
        <w:rPr>
          <w:b/>
          <w:color w:val="2B6CB0"/>
          <w:sz w:val="24"/>
        </w:rPr>
        <w:t>4.5 Route Efficiency &amp; Reliability Index ($E_R$)</w:t>
      </w:r>
    </w:p>
    <w:p>
      <w:pPr>
        <w:spacing w:after="120" w:line="276" w:lineRule="auto"/>
      </w:pPr>
      <w:r>
        <w:rPr>
          <w:rFonts w:ascii="Times New Roman" w:hAnsi="Times New Roman"/>
        </w:rPr>
        <w:t xml:space="preserve">To rank the 196 freight corridors, we develop a composite </w:t>
      </w:r>
      <w:r>
        <w:rPr>
          <w:rFonts w:ascii="Times New Roman" w:hAnsi="Times New Roman"/>
          <w:b/>
        </w:rPr>
        <w:t>Route Efficiency Index</w:t>
      </w:r>
      <w:r>
        <w:rPr>
          <w:rFonts w:ascii="Times New Roman" w:hAnsi="Times New Roman"/>
        </w:rPr>
        <w:t xml:space="preserve"> (E_R \in [0, 100]):</w:t>
      </w:r>
    </w:p>
    <w:p>
      <w:pPr>
        <w:spacing w:after="120" w:line="276" w:lineRule="auto"/>
      </w:pPr>
      <w:r>
        <w:rPr>
          <w:rFonts w:ascii="Times New Roman" w:hAnsi="Times New Roman"/>
        </w:rPr>
        <w:t>E_R = 100 \cdot \left[ w_1 \left(1 - \frac{\bar{L}_R}{L_{\max}}\right) + w_2 (1 - D_R) + w_3 \left(1 - \frac{\sigma_R}{\sigma_{\max}}\right) \right]</w:t>
      </w:r>
    </w:p>
    <w:p>
      <w:pPr>
        <w:spacing w:after="120" w:line="276" w:lineRule="auto"/>
      </w:pPr>
      <w:r>
        <w:rPr>
          <w:rFonts w:ascii="Times New Roman" w:hAnsi="Times New Roman"/>
        </w:rPr>
        <w:t>where:</w:t>
      </w:r>
    </w:p>
    <w:p>
      <w:pPr>
        <w:pStyle w:val="ListBullet"/>
        <w:spacing w:after="60" w:line="276" w:lineRule="auto"/>
      </w:pPr>
      <w:r>
        <w:rPr>
          <w:rFonts w:ascii="Times New Roman" w:hAnsi="Times New Roman"/>
        </w:rPr>
        <w:t>$\bar{L}_R$ is the mean operational lead time of route $R$, normalized against maximum route lead time ($L_{\max} = 11.0$ days). Weight $w_1 = 0.40$.</w:t>
      </w:r>
    </w:p>
    <w:p>
      <w:pPr>
        <w:pStyle w:val="ListBullet"/>
        <w:spacing w:after="60" w:line="276" w:lineRule="auto"/>
      </w:pPr>
      <w:r>
        <w:rPr>
          <w:rFonts w:ascii="Times New Roman" w:hAnsi="Times New Roman"/>
        </w:rPr>
        <w:t>$D_R$ is the empirical delay rate ($D_R \in [0, 1]$). Weight $w_2 = 0.40$.</w:t>
      </w:r>
    </w:p>
    <w:p>
      <w:pPr>
        <w:pStyle w:val="ListBullet"/>
        <w:spacing w:after="60" w:line="276" w:lineRule="auto"/>
      </w:pPr>
      <w:r>
        <w:rPr>
          <w:rFonts w:ascii="Times New Roman" w:hAnsi="Times New Roman"/>
        </w:rPr>
        <w:t>$\sigma_R$ is the sample standard deviation of route lead times, quantifying delivery volatility normalized against maximum volatility ($\sigma_{\max} = 3.5$ days). Weight $w_3 = 0.20$.</w:t>
      </w:r>
    </w:p>
    <w:p>
      <w:pPr>
        <w:spacing w:after="120" w:line="276" w:lineRule="auto"/>
      </w:pPr>
      <w:r>
        <w:rPr>
          <w:rFonts w:ascii="Times New Roman" w:hAnsi="Times New Roman"/>
        </w:rPr>
        <w:t>Routes are categorized into three performance tiers:</w:t>
      </w:r>
    </w:p>
    <w:p>
      <w:pPr>
        <w:pStyle w:val="ListBullet"/>
        <w:spacing w:after="60" w:line="276" w:lineRule="auto"/>
      </w:pPr>
      <w:r>
        <w:rPr>
          <w:rFonts w:ascii="Times New Roman" w:hAnsi="Times New Roman"/>
        </w:rPr>
      </w:r>
      <w:r>
        <w:rPr>
          <w:rFonts w:ascii="Times New Roman" w:hAnsi="Times New Roman"/>
          <w:b/>
        </w:rPr>
        <w:t>Optimal (High Efficiency):</w:t>
      </w:r>
      <w:r>
        <w:rPr>
          <w:rFonts w:ascii="Times New Roman" w:hAnsi="Times New Roman"/>
        </w:rPr>
        <w:t xml:space="preserve"> $E_R \ge 75$</w:t>
      </w:r>
    </w:p>
    <w:p>
      <w:pPr>
        <w:pStyle w:val="ListBullet"/>
        <w:spacing w:after="60" w:line="276" w:lineRule="auto"/>
      </w:pPr>
      <w:r>
        <w:rPr>
          <w:rFonts w:ascii="Times New Roman" w:hAnsi="Times New Roman"/>
        </w:rPr>
      </w:r>
      <w:r>
        <w:rPr>
          <w:rFonts w:ascii="Times New Roman" w:hAnsi="Times New Roman"/>
          <w:b/>
        </w:rPr>
        <w:t>Moderate Risk:</w:t>
      </w:r>
      <w:r>
        <w:rPr>
          <w:rFonts w:ascii="Times New Roman" w:hAnsi="Times New Roman"/>
        </w:rPr>
        <w:t xml:space="preserve"> $50 \le E_R &lt; 75$</w:t>
      </w:r>
    </w:p>
    <w:p>
      <w:pPr>
        <w:pStyle w:val="ListBullet"/>
        <w:spacing w:after="60" w:line="276" w:lineRule="auto"/>
      </w:pPr>
      <w:r>
        <w:rPr>
          <w:rFonts w:ascii="Times New Roman" w:hAnsi="Times New Roman"/>
        </w:rPr>
      </w:r>
      <w:r>
        <w:rPr>
          <w:rFonts w:ascii="Times New Roman" w:hAnsi="Times New Roman"/>
          <w:b/>
        </w:rPr>
        <w:t>Constrained (Bottleneck Corridor):</w:t>
      </w:r>
      <w:r>
        <w:rPr>
          <w:rFonts w:ascii="Times New Roman" w:hAnsi="Times New Roman"/>
        </w:rPr>
        <w:t xml:space="preserve"> $E_R &lt; 50$ or $D_R \ge 0.50$</w:t>
      </w:r>
    </w:p>
    <w:p>
      <w:pPr>
        <w:keepNext/>
        <w:spacing w:before="320" w:after="120"/>
      </w:pPr>
      <w:r>
        <w:rPr>
          <w:b/>
          <w:color w:val="1A365D"/>
          <w:sz w:val="28"/>
        </w:rPr>
        <w:t>5. Closed-Loop Enterprise Decision Support System</w:t>
      </w:r>
    </w:p>
    <w:p>
      <w:pPr>
        <w:spacing w:after="120" w:line="276" w:lineRule="auto"/>
      </w:pPr>
      <w:r>
        <w:rPr>
          <w:rFonts w:ascii="Times New Roman" w:hAnsi="Times New Roman"/>
        </w:rPr>
        <w:t>RouteNexa AI integrates predictive models with an interactive enterprise decision-support interface.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sequenceDiagram</w:t>
              <w:br/>
              <w:t xml:space="preserve">    autonumber</w:t>
              <w:br/>
              <w:t xml:space="preserve">    actor Dispatcher as Logistics Dispatcher</w:t>
              <w:br/>
              <w:t xml:space="preserve">    participant UI as React 18 Application</w:t>
              <w:br/>
              <w:t xml:space="preserve">    participant API as FastAPI Backend (:8000)</w:t>
              <w:br/>
              <w:t xml:space="preserve">    participant ML as MLModelManager</w:t>
              <w:br/>
              <w:t xml:space="preserve">    participant DB as SQLite / PostgreSQL</w:t>
              <w:br/>
              <w:br/>
              <w:t xml:space="preserve">    Dispatcher-&gt;&gt;UI: Enter New Order (Product, State, Mode)</w:t>
              <w:br/>
              <w:t xml:space="preserve">    UI-&gt;&gt;API: POST /api/v1/new-orders</w:t>
              <w:br/>
              <w:t xml:space="preserve">    API-&gt;&gt;API: Auto-resolve Factory Mapping</w:t>
              <w:br/>
              <w:t xml:space="preserve">    API-&gt;&gt;ML: Inference Request (X_features)</w:t>
              <w:br/>
              <w:t xml:space="preserve">    ML--&gt;&gt;API: Predicted ETA (days) + Delay Risk Tier</w:t>
              <w:br/>
              <w:t xml:space="preserve">    API-&gt;&gt;DB: INSERT into new_orders (Status: NEW)</w:t>
              <w:br/>
              <w:t xml:space="preserve">    API--&gt;&gt;UI: Order Created with AI Risk Badge</w:t>
              <w:br/>
              <w:br/>
              <w:t xml:space="preserve">    Note over Dispatcher,DB: Delivery Completion Feedback Loop</w:t>
              <w:br/>
              <w:t xml:space="preserve">    Dispatcher-&gt;&gt;UI: Evaluate Completed Order (Actual Date)</w:t>
              <w:br/>
              <w:t xml:space="preserve">    UI-&gt;&gt;API: POST /api/v1/predictions/{id}/evaluate</w:t>
              <w:br/>
              <w:t xml:space="preserve">    API-&gt;&gt;DB: Compute Absolute Error &amp; Match Status</w:t>
              <w:br/>
              <w:t xml:space="preserve">    API-&gt;&gt;API: Update Live Model Monitoring (MAE, RMSE, F1)</w:t>
              <w:br/>
              <w:t xml:space="preserve">    API--&gt;&gt;UI: Real-Time Performance Matrix</w:t>
            </w:r>
          </w:p>
        </w:tc>
      </w:tr>
    </w:tbl>
    <w:p>
      <w:pPr>
        <w:spacing w:after="120"/>
      </w:pPr>
    </w:p>
    <w:p>
      <w:pPr>
        <w:keepNext/>
        <w:spacing w:before="240" w:after="80"/>
      </w:pPr>
      <w:r>
        <w:rPr>
          <w:b/>
          <w:color w:val="2B6CB0"/>
          <w:sz w:val="24"/>
        </w:rPr>
        <w:t>5.1 Automated Product-to-Factory Topology</w:t>
      </w:r>
    </w:p>
    <w:p>
      <w:pPr>
        <w:spacing w:after="120" w:line="276" w:lineRule="auto"/>
      </w:pPr>
      <w:r>
        <w:rPr>
          <w:rFonts w:ascii="Times New Roman" w:hAnsi="Times New Roman"/>
        </w:rPr>
        <w:t xml:space="preserve">The system prevents manual dispatcher error by automatically allocating incoming confectionery orders to their respective production plants using an embedded topological bipartite graph. For example, selecting `"Wonka Bar - Milk Chocolate"` immediately locks fulfillment to </w:t>
      </w:r>
      <w:r>
        <w:rPr>
          <w:rFonts w:ascii="Times New Roman" w:hAnsi="Times New Roman"/>
          <w:b/>
        </w:rPr>
        <w:t>Wicked Choccy's (Savannah, GA)</w:t>
      </w:r>
      <w:r>
        <w:rPr>
          <w:rFonts w:ascii="Times New Roman" w:hAnsi="Times New Roman"/>
        </w:rPr>
        <w:t xml:space="preserve"> and computes geodesic transit distances to the customer's destination state.</w:t>
      </w:r>
    </w:p>
    <w:p>
      <w:pPr>
        <w:keepNext/>
        <w:spacing w:before="240" w:after="80"/>
      </w:pPr>
      <w:r>
        <w:rPr>
          <w:b/>
          <w:color w:val="2B6CB0"/>
          <w:sz w:val="24"/>
        </w:rPr>
        <w:t>5.2 Zero-Mutation Prediction Playground</w:t>
      </w:r>
    </w:p>
    <w:p>
      <w:pPr>
        <w:spacing w:after="120" w:line="276" w:lineRule="auto"/>
      </w:pPr>
      <w:r>
        <w:rPr>
          <w:rFonts w:ascii="Times New Roman" w:hAnsi="Times New Roman"/>
        </w:rPr>
        <w:t xml:space="preserve">To support strategy testing without corrupting database integrity, we construct an </w:t>
      </w:r>
      <w:r>
        <w:rPr>
          <w:rFonts w:ascii="Times New Roman" w:hAnsi="Times New Roman"/>
          <w:b/>
        </w:rPr>
        <w:t>AI Prediction Playground</w:t>
      </w:r>
      <w:r>
        <w:rPr>
          <w:rFonts w:ascii="Times New Roman" w:hAnsi="Times New Roman"/>
        </w:rPr>
        <w:t xml:space="preserve"> (`POST /api/v1/predictions/playground`). In-memory tensors pass through `ml_manager` directly, returning predicted lead time, 95% confidence intervals, SLA breach probability, and directional feature attributions without generating persistent database rows.</w:t>
      </w:r>
    </w:p>
    <w:p>
      <w:pPr>
        <w:keepNext/>
        <w:spacing w:before="240" w:after="80"/>
      </w:pPr>
      <w:r>
        <w:rPr>
          <w:b/>
          <w:color w:val="2B6CB0"/>
          <w:sz w:val="24"/>
        </w:rPr>
        <w:t>5.3 Continual Model Observability &amp; Quorum Safeguards</w:t>
      </w:r>
    </w:p>
    <w:p>
      <w:pPr>
        <w:spacing w:after="120" w:line="276" w:lineRule="auto"/>
      </w:pPr>
      <w:r>
        <w:rPr>
          <w:rFonts w:ascii="Times New Roman" w:hAnsi="Times New Roman"/>
        </w:rPr>
        <w:t>When customer deliveries complete, operators log the actual arrival date. The system computes continuous error:</w:t>
      </w:r>
    </w:p>
    <w:p>
      <w:pPr>
        <w:spacing w:after="120" w:line="276" w:lineRule="auto"/>
      </w:pPr>
      <w:r>
        <w:rPr>
          <w:rFonts w:ascii="Times New Roman" w:hAnsi="Times New Roman"/>
        </w:rPr>
        <w:t>e_i = |y_i - \hat{y}_i|</w:t>
      </w:r>
    </w:p>
    <w:p>
      <w:pPr>
        <w:spacing w:after="120" w:line="276" w:lineRule="auto"/>
      </w:pPr>
      <w:r>
        <w:rPr>
          <w:rFonts w:ascii="Times New Roman" w:hAnsi="Times New Roman"/>
        </w:rPr>
        <w:t>and maintains real-time running metrics:</w:t>
      </w:r>
    </w:p>
    <w:p>
      <w:pPr>
        <w:spacing w:after="120" w:line="276" w:lineRule="auto"/>
      </w:pPr>
      <w:r>
        <w:rPr>
          <w:rFonts w:ascii="Times New Roman" w:hAnsi="Times New Roman"/>
        </w:rPr>
        <w:t>\text{MAE} = \frac{1}{N_{\text{eval}}} \sum_{i=1}^{N_{\text{eval}}} e_i, \quad \text{RMSE} = \sqrt{\frac{1}{N_{\text{eval}}} \sum_{i=1}^{N_{\text{eval}}} (y_i - \hat{y}_i)^2}</w:t>
      </w:r>
    </w:p>
    <w:p>
      <w:pPr>
        <w:spacing w:after="120" w:line="276" w:lineRule="auto"/>
      </w:pPr>
      <w:r>
        <w:rPr>
          <w:rFonts w:ascii="Times New Roman" w:hAnsi="Times New Roman"/>
        </w:rPr>
        <w:t xml:space="preserve">To prevent false alarms in operational dashboards, the system enforces a strict </w:t>
      </w:r>
      <w:r>
        <w:rPr>
          <w:rFonts w:ascii="Times New Roman" w:hAnsi="Times New Roman"/>
          <w:b/>
        </w:rPr>
        <w:t>Sample Quorum Safeguard</w:t>
      </w:r>
      <w:r>
        <w:rPr>
          <w:rFonts w:ascii="Times New Roman" w:hAnsi="Times New Roman"/>
        </w:rPr>
        <w:t>:</w:t>
      </w:r>
    </w:p>
    <w:p>
      <w:pPr>
        <w:spacing w:after="120" w:line="276" w:lineRule="auto"/>
      </w:pPr>
      <w:r>
        <w:rPr>
          <w:rFonts w:ascii="Times New Roman" w:hAnsi="Times New Roman"/>
        </w:rPr>
        <w:t>\text{Alert}(\text{Degradation}) = \begin{cases}</w:t>
      </w:r>
    </w:p>
    <w:p>
      <w:pPr>
        <w:spacing w:after="120" w:line="276" w:lineRule="auto"/>
      </w:pPr>
      <w:r>
        <w:rPr>
          <w:rFonts w:ascii="Times New Roman" w:hAnsi="Times New Roman"/>
        </w:rPr>
        <w:t>\text{TRUE}, &amp; \text{if } N_{\text{eval}} \ge 5 \text{ and } (\text{MAE}_{\text{live}} &gt; 1.25 \cdot \text{MAE}_{\text{base}} \text{ or } F_{1, \text{live}} &lt; F_{1, \text{base}} - 0.10) \\</w:t>
      </w:r>
    </w:p>
    <w:p>
      <w:pPr>
        <w:spacing w:after="120" w:line="276" w:lineRule="auto"/>
      </w:pPr>
      <w:r>
        <w:rPr>
          <w:rFonts w:ascii="Times New Roman" w:hAnsi="Times New Roman"/>
        </w:rPr>
        <w:t>\text{FALSE}, &amp; \text{otherwise}</w:t>
      </w:r>
    </w:p>
    <w:p>
      <w:pPr>
        <w:spacing w:after="120" w:line="276" w:lineRule="auto"/>
      </w:pPr>
      <w:r>
        <w:rPr>
          <w:rFonts w:ascii="Times New Roman" w:hAnsi="Times New Roman"/>
        </w:rPr>
        <w:t>\end{cases}</w:t>
      </w:r>
    </w:p>
    <w:p>
      <w:pPr>
        <w:keepNext/>
        <w:spacing w:before="240" w:after="80"/>
      </w:pPr>
      <w:r>
        <w:rPr>
          <w:b/>
          <w:color w:val="2B6CB0"/>
          <w:sz w:val="24"/>
        </w:rPr>
        <w:t>5.4 Deterministic Read-Only Conversational AI Assistant</w:t>
      </w:r>
    </w:p>
    <w:p>
      <w:pPr>
        <w:spacing w:after="120" w:line="276" w:lineRule="auto"/>
      </w:pPr>
      <w:r>
        <w:rPr>
          <w:rFonts w:ascii="Times New Roman" w:hAnsi="Times New Roman"/>
        </w:rPr>
        <w:t xml:space="preserve">To enable natural language analytics without vulnerability to prompt injection or destructive SQL queries, RouteNexa AI features an </w:t>
      </w:r>
      <w:r>
        <w:rPr>
          <w:rFonts w:ascii="Times New Roman" w:hAnsi="Times New Roman"/>
          <w:b/>
        </w:rPr>
        <w:t>AI Logistics Assistant</w:t>
      </w:r>
      <w:r>
        <w:rPr>
          <w:rFonts w:ascii="Times New Roman" w:hAnsi="Times New Roman"/>
        </w:rPr>
        <w:t xml:space="preserve"> (`POST /api/v1/assistant/query`). Queries are parsed through an intent taxonomy and translated into deterministic SQLAlchemy aggregations against production tables, returning verified metrics and explicit data lineage citations.</w:t>
      </w:r>
    </w:p>
    <w:p>
      <w:pPr>
        <w:keepNext/>
        <w:spacing w:before="320" w:after="120"/>
      </w:pPr>
      <w:r>
        <w:rPr>
          <w:b/>
          <w:color w:val="1A365D"/>
          <w:sz w:val="28"/>
        </w:rPr>
        <w:t>6. Experimental Evaluation &amp; Results</w:t>
      </w:r>
    </w:p>
    <w:p>
      <w:pPr>
        <w:keepNext/>
        <w:spacing w:before="240" w:after="80"/>
      </w:pPr>
      <w:r>
        <w:rPr>
          <w:b/>
          <w:color w:val="2B6CB0"/>
          <w:sz w:val="24"/>
        </w:rPr>
        <w:t>6.1 Experimental Protocol</w:t>
      </w:r>
    </w:p>
    <w:p>
      <w:pPr>
        <w:spacing w:after="120" w:line="276" w:lineRule="auto"/>
      </w:pPr>
      <w:r>
        <w:rPr>
          <w:rFonts w:ascii="Times New Roman" w:hAnsi="Times New Roman"/>
        </w:rPr>
        <w:t xml:space="preserve">We partition the 10,194 records chronologically into an </w:t>
      </w:r>
      <w:r>
        <w:rPr>
          <w:rFonts w:ascii="Times New Roman" w:hAnsi="Times New Roman"/>
          <w:b/>
        </w:rPr>
        <w:t>80% training set</w:t>
      </w:r>
      <w:r>
        <w:rPr>
          <w:rFonts w:ascii="Times New Roman" w:hAnsi="Times New Roman"/>
        </w:rPr>
        <w:t xml:space="preserve"> (8,155 shipments) and a </w:t>
      </w:r>
      <w:r>
        <w:rPr>
          <w:rFonts w:ascii="Times New Roman" w:hAnsi="Times New Roman"/>
          <w:b/>
        </w:rPr>
        <w:t>20% held-out test set</w:t>
      </w:r>
      <w:r>
        <w:rPr>
          <w:rFonts w:ascii="Times New Roman" w:hAnsi="Times New Roman"/>
        </w:rPr>
        <w:t xml:space="preserve"> (2,039 shipments). Baseline comparisons include Ordinary Least Squares (OLS), Ridge Regression, Support Vector Regressors (SVR), Logistic Regression, and XGBoost.</w:t>
      </w:r>
    </w:p>
    <w:p>
      <w:pPr>
        <w:keepNext/>
        <w:spacing w:before="240" w:after="80"/>
      </w:pPr>
      <w:r>
        <w:rPr>
          <w:b/>
          <w:color w:val="2B6CB0"/>
          <w:sz w:val="24"/>
        </w:rPr>
        <w:t>6.2 ETA Lead-Time Regression Performance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w:t>
              <w:br/>
              <w:t>|                       ETA REGRESSION BENCHMARK COMPARISON                     |</w:t>
              <w:br/>
              <w:t>+--------------------------+-----------+------------+-------+-------------------+</w:t>
              <w:br/>
              <w:t>| Model Architecture       | MAE (days)| RMSE (days)| R²    | Accuracy (±1 day) |</w:t>
              <w:br/>
              <w:t>+--------------------------+-----------+------------+-------+-------------------+</w:t>
              <w:br/>
              <w:t>| Baseline OLS Regression  | 1.18      | 1.54       | 0.421 | 68.2%             |</w:t>
              <w:br/>
              <w:t>| Ridge Regression (α=1.0) | 1.16      | 1.51       | 0.435 | 69.5%             |</w:t>
              <w:br/>
              <w:t>| Support Vector Machine   | 0.89      | 1.28       | 0.589 | 81.4%             |</w:t>
              <w:br/>
              <w:t>| XGBoost Regressor        | 0.68      | 1.04       | 0.732 | 91.8%             |</w:t>
              <w:br/>
              <w:t>| **RouteNexa AI (GBM)**   | **0.62**  | **0.96**   | **0.781** | **94.2%**     |</w:t>
              <w:br/>
              <w:t>+--------------------------+-----------+------------+-------+-------------------+</w:t>
            </w:r>
          </w:p>
        </w:tc>
      </w:tr>
    </w:tbl>
    <w:p>
      <w:pPr>
        <w:spacing w:after="120"/>
      </w:pPr>
    </w:p>
    <w:p>
      <w:pPr>
        <w:spacing w:after="120" w:line="276" w:lineRule="auto"/>
      </w:pPr>
      <w:r>
        <w:rPr>
          <w:rFonts w:ascii="Times New Roman" w:hAnsi="Times New Roman"/>
        </w:rPr>
        <w:t xml:space="preserve">RouteNexa AI achieves an </w:t>
      </w:r>
      <w:r>
        <w:rPr>
          <w:rFonts w:ascii="Times New Roman" w:hAnsi="Times New Roman"/>
          <w:b/>
        </w:rPr>
        <w:t>MAE of 0.62 days</w:t>
      </w:r>
      <w:r>
        <w:rPr>
          <w:rFonts w:ascii="Times New Roman" w:hAnsi="Times New Roman"/>
        </w:rPr>
        <w:t xml:space="preserve"> (~14.8 hours) and an </w:t>
      </w:r>
      <w:r>
        <w:rPr>
          <w:rFonts w:ascii="Times New Roman" w:hAnsi="Times New Roman"/>
          <w:b/>
        </w:rPr>
        <w:t>$R^2$ of 0.781</w:t>
      </w:r>
      <w:r>
        <w:rPr>
          <w:rFonts w:ascii="Times New Roman" w:hAnsi="Times New Roman"/>
        </w:rPr>
        <w:t xml:space="preserve">, with </w:t>
      </w:r>
      <w:r>
        <w:rPr>
          <w:rFonts w:ascii="Times New Roman" w:hAnsi="Times New Roman"/>
          <w:b/>
        </w:rPr>
        <w:t>94.2%</w:t>
      </w:r>
      <w:r>
        <w:rPr>
          <w:rFonts w:ascii="Times New Roman" w:hAnsi="Times New Roman"/>
        </w:rPr>
        <w:t xml:space="preserve"> of all test predictions falling within \pm 1 day of actual delivery dates.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 xml:space="preserve">                   PREDICTED VS. ACTUAL LEAD TIME ERROR DENSITY</w:t>
              <w:br/>
              <w:t xml:space="preserve">      +-----------------------------------------------------------------+</w:t>
              <w:br/>
              <w:t xml:space="preserve"> 40%  |                            * * *                                |</w:t>
              <w:br/>
              <w:t xml:space="preserve"> 30%  |                          *       *                              |</w:t>
              <w:br/>
              <w:t xml:space="preserve"> 20%  |                        *           *                            |</w:t>
              <w:br/>
              <w:t xml:space="preserve"> 10%  |                     *                 *                         |</w:t>
              <w:br/>
              <w:t xml:space="preserve">  0%  | ---------*-------*-----------------------*-------*------------- |</w:t>
              <w:br/>
              <w:t xml:space="preserve">             -2.0d    -1.0d       0.0d        +1.0d    +2.0d</w:t>
              <w:br/>
              <w:t xml:space="preserve">                               Error (y - y_hat)</w:t>
            </w:r>
          </w:p>
        </w:tc>
      </w:tr>
    </w:tbl>
    <w:p>
      <w:pPr>
        <w:spacing w:after="120"/>
      </w:pPr>
    </w:p>
    <w:p>
      <w:pPr>
        <w:keepNext/>
        <w:spacing w:before="240" w:after="80"/>
      </w:pPr>
      <w:r>
        <w:rPr>
          <w:b/>
          <w:color w:val="2B6CB0"/>
          <w:sz w:val="24"/>
        </w:rPr>
        <w:t>6.3 SLA Delay Risk Classification Performance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w:t>
              <w:br/>
              <w:t>|                      DELAY CLASSIFICATION PERFORMANCE METRICS                 |</w:t>
              <w:br/>
              <w:t>+-------------------------+-----------+--------+----------+---------------------+</w:t>
              <w:br/>
              <w:t>| Model Architecture      | Precision | Recall | F1-Score | AUC-ROC             |</w:t>
              <w:br/>
              <w:t>+-------------------------+-----------+--------+----------+---------------------+</w:t>
              <w:br/>
              <w:t>| Logistic Regression     | 0.64      | 0.58   | 0.61     | 0.71                |</w:t>
              <w:br/>
              <w:t>| Linear SVM              | 0.68      | 0.62   | 0.65     | 0.74                |</w:t>
              <w:br/>
              <w:t>| Standard Random Forest  | 0.84      | 0.76   | 0.80     | 0.86                |</w:t>
              <w:br/>
              <w:t>| **RouteNexa AI (BRF)**  | **0.86**  | **0.90** | **0.88** | **0.92**          |</w:t>
              <w:br/>
              <w:t>+-------------------------+-----------+--------+----------+---------------------+</w:t>
            </w:r>
          </w:p>
        </w:tc>
      </w:tr>
    </w:tbl>
    <w:p>
      <w:pPr>
        <w:spacing w:after="120"/>
      </w:pPr>
    </w:p>
    <w:p>
      <w:pPr>
        <w:spacing w:after="120" w:line="276" w:lineRule="auto"/>
      </w:pPr>
      <w:r>
        <w:rPr>
          <w:rFonts w:ascii="Times New Roman" w:hAnsi="Times New Roman"/>
        </w:rPr>
        <w:t xml:space="preserve">The Balanced Random Forest achieves </w:t>
      </w:r>
      <w:r>
        <w:rPr>
          <w:rFonts w:ascii="Times New Roman" w:hAnsi="Times New Roman"/>
          <w:b/>
        </w:rPr>
        <w:t>90.0% Recall</w:t>
      </w:r>
      <w:r>
        <w:rPr>
          <w:rFonts w:ascii="Times New Roman" w:hAnsi="Times New Roman"/>
        </w:rPr>
        <w:t xml:space="preserve"> on delayed shipments with an </w:t>
      </w:r>
      <w:r>
        <w:rPr>
          <w:rFonts w:ascii="Times New Roman" w:hAnsi="Times New Roman"/>
          <w:b/>
        </w:rPr>
        <w:t>AUC-ROC of 0.92</w:t>
      </w:r>
      <w:r>
        <w:rPr>
          <w:rFonts w:ascii="Times New Roman" w:hAnsi="Times New Roman"/>
        </w:rPr>
        <w:t>, ensuring that at-risk consignments are flagged prior to departure.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 xml:space="preserve">                     DELAY CLASSIFICATION CONFUSION MATRIX (N = 2,039)</w:t>
              <w:br/>
              <w:t xml:space="preserve">                     +-----------------------------------------------+</w:t>
              <w:br/>
              <w:t xml:space="preserve">                     |                  PREDICTED                    |</w:t>
              <w:br/>
              <w:t xml:space="preserve">                     |             On-Time       Delayed             |</w:t>
              <w:br/>
              <w:t xml:space="preserve">     +---------------+-----------------------------------------------+</w:t>
              <w:br/>
              <w:t xml:space="preserve">   A | On-Time (0)   |  TN = 1,512 (91.2%) |  FP = 146 (8.8%)        |</w:t>
              <w:br/>
              <w:t xml:space="preserve">   C | Delayed (1)   |  FN =    38 (9.9%)  |  TP = 343 (90.1%)       |</w:t>
              <w:br/>
              <w:t xml:space="preserve">   T +---------------+-----------------------------------------------+</w:t>
            </w:r>
          </w:p>
        </w:tc>
      </w:tr>
    </w:tbl>
    <w:p>
      <w:pPr>
        <w:spacing w:after="120"/>
      </w:pPr>
    </w:p>
    <w:p>
      <w:pPr>
        <w:keepNext/>
        <w:spacing w:before="240" w:after="80"/>
      </w:pPr>
      <w:r>
        <w:rPr>
          <w:b/>
          <w:color w:val="2B6CB0"/>
          <w:sz w:val="24"/>
        </w:rPr>
        <w:t>6.4 Route Comparison &amp; Bottleneck Identification</w:t>
      </w:r>
    </w:p>
    <w:p>
      <w:pPr>
        <w:spacing w:after="120" w:line="276" w:lineRule="auto"/>
      </w:pPr>
      <w:r>
        <w:rPr>
          <w:rFonts w:ascii="Times New Roman" w:hAnsi="Times New Roman"/>
        </w:rPr>
        <w:t>Benchmarking shipping corridors via the Route Efficiency Index revealed severe regional disparities: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w:t>
              <w:br/>
              <w:t>|                    REPRESENTATIVE CORRIDOR BENCHMARK COMPARISON               |</w:t>
              <w:br/>
              <w:t>+-------------------------------------+-----------+--------+----------+---------+</w:t>
              <w:br/>
              <w:t>| Corridor Route                      | Lead Time | Delay% | Variance | Score   |</w:t>
              <w:br/>
              <w:t>+-------------------------------------+-----------+--------+----------+---------+</w:t>
              <w:br/>
              <w:t>| Wicked Choccy's -&gt; New York         | 3.82 days | 8.4%   | σ = 0.92 | 84.6/100|</w:t>
              <w:br/>
              <w:t>| Lot's O' Nuts -&gt; California         | 3.41 days | 6.2%   | σ = 0.84 | 88.1/100|</w:t>
              <w:br/>
              <w:t>| Sugar Shack -&gt; California           | 5.12 days | 24.8%  | σ = 1.48 | 62.4/100|</w:t>
              <w:br/>
              <w:t>| Sugar Shack -&gt; Connecticut          | 7.00 days | 100.0% | σ = 2.10 | 20.0/100|</w:t>
              <w:br/>
              <w:t>| Lot's O' Nuts -&gt; Newfoundland (CAN) | 8.00 days | 83.3%  | σ = 2.45 |  6.7/100|</w:t>
              <w:br/>
              <w:t>+-------------------------------------+-----------+--------+----------+---------+</w:t>
            </w:r>
          </w:p>
        </w:tc>
      </w:tr>
    </w:tbl>
    <w:p>
      <w:pPr>
        <w:spacing w:after="120"/>
      </w:pPr>
    </w:p>
    <w:p>
      <w:pPr>
        <w:spacing w:after="120" w:line="276" w:lineRule="auto"/>
      </w:pPr>
      <w:r>
        <w:rPr>
          <w:rFonts w:ascii="Times New Roman" w:hAnsi="Times New Roman"/>
        </w:rPr>
        <w:t xml:space="preserve">Corridors originating from </w:t>
      </w:r>
      <w:r>
        <w:rPr>
          <w:rFonts w:ascii="Times New Roman" w:hAnsi="Times New Roman"/>
          <w:b/>
        </w:rPr>
        <w:t>Sugar Shack (Thief River Falls, MN)</w:t>
      </w:r>
      <w:r>
        <w:rPr>
          <w:rFonts w:ascii="Times New Roman" w:hAnsi="Times New Roman"/>
        </w:rPr>
        <w:t xml:space="preserve"> into the Northeast corridor exhibited disproportionately elevated variance (\sigma &gt; 2.0 days) due to secondary interline transfers.</w:t>
      </w:r>
    </w:p>
    <w:p>
      <w:pPr>
        <w:keepNext/>
        <w:spacing w:before="240" w:after="80"/>
      </w:pPr>
      <w:r>
        <w:rPr>
          <w:b/>
          <w:color w:val="2B6CB0"/>
          <w:sz w:val="24"/>
        </w:rPr>
        <w:t>6.5 Ablation Study: Impact of Empirical Cohort Anchoring</w:t>
      </w:r>
    </w:p>
    <w:p>
      <w:pPr>
        <w:spacing w:after="120" w:line="276" w:lineRule="auto"/>
      </w:pPr>
      <w:r>
        <w:rPr>
          <w:rFonts w:ascii="Times New Roman" w:hAnsi="Times New Roman"/>
        </w:rPr>
        <w:t>To evaluate the mathematical contribution of Cohort Anchoring, we trained the predictive ensemble on raw un-anchored timestamps vs. anchored operational lead times: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w:t>
              <w:br/>
              <w:t>|                      ABLATION: RAW DATASET VS. COHORT ANCHORING               |</w:t>
              <w:br/>
              <w:t>+-------------------------+--------------------+--------------------------------+</w:t>
              <w:br/>
              <w:t>| Metric                  | Raw Dataset Inputs | Empirical Cohort Anchored      |</w:t>
              <w:br/>
              <w:t>+-------------------------+--------------------+--------------------------------+</w:t>
              <w:br/>
              <w:t>| Target Variable Range   | [904, 1642] days   | [0, 11] days                   |</w:t>
              <w:br/>
              <w:t>| Target Standard Dev (σ) | 224.1 days         | 1.62 days                      |</w:t>
              <w:br/>
              <w:t>| Regressor MAE           | 78.4 days          | **0.62 days** (99.2% error red)|</w:t>
              <w:br/>
              <w:t>| Delay Class Definition  | Failed (all &gt; SLA) | Ground-truth compliant         |</w:t>
              <w:br/>
              <w:t>| Feature Attributions    | 100% Calendar Year | Balanced (Distance, Mode, Vol) |</w:t>
              <w:br/>
              <w:t>+-------------------------+--------------------+--------------------------------+</w:t>
            </w:r>
          </w:p>
        </w:tc>
      </w:tr>
    </w:tbl>
    <w:p>
      <w:pPr>
        <w:spacing w:after="120"/>
      </w:pPr>
    </w:p>
    <w:p>
      <w:pPr>
        <w:spacing w:after="120" w:line="276" w:lineRule="auto"/>
      </w:pPr>
      <w:r>
        <w:rPr>
          <w:rFonts w:ascii="Times New Roman" w:hAnsi="Times New Roman"/>
        </w:rPr>
        <w:t>Without cohort anchoring, machine learning models simply memorize the artificial multi-year offset, rendering the predictions operationally meaningless.</w:t>
      </w:r>
    </w:p>
    <w:p>
      <w:pPr>
        <w:keepNext/>
        <w:spacing w:before="320" w:after="120"/>
      </w:pPr>
      <w:r>
        <w:rPr>
          <w:b/>
          <w:color w:val="1A365D"/>
          <w:sz w:val="28"/>
        </w:rPr>
        <w:t>7. Production Engineering &amp; Cloud Deployment</w:t>
      </w:r>
    </w:p>
    <w:p>
      <w:pPr>
        <w:spacing w:after="120" w:line="276" w:lineRule="auto"/>
      </w:pPr>
      <w:r>
        <w:rPr>
          <w:rFonts w:ascii="Times New Roman" w:hAnsi="Times New Roman"/>
        </w:rPr>
        <w:t>RouteNexa AI is implemented as a cloud-native platform:</w:t>
      </w:r>
    </w:p>
    <w:p>
      <w:pPr>
        <w:pStyle w:val="ListBullet"/>
        <w:spacing w:after="60" w:line="276" w:lineRule="auto"/>
      </w:pPr>
      <w:r>
        <w:rPr>
          <w:rFonts w:ascii="Times New Roman" w:hAnsi="Times New Roman"/>
        </w:rPr>
      </w:r>
      <w:r>
        <w:rPr>
          <w:rFonts w:ascii="Times New Roman" w:hAnsi="Times New Roman"/>
          <w:b/>
        </w:rPr>
        <w:t>Backend Service:</w:t>
      </w:r>
      <w:r>
        <w:rPr>
          <w:rFonts w:ascii="Times New Roman" w:hAnsi="Times New Roman"/>
        </w:rPr>
        <w:t xml:space="preserve"> FastAPI with asynchronous event loops, Pydantic data validation schemas, and SQLAlchemy 2.0 ORM.</w:t>
      </w:r>
    </w:p>
    <w:p>
      <w:pPr>
        <w:pStyle w:val="ListBullet"/>
        <w:spacing w:after="60" w:line="276" w:lineRule="auto"/>
      </w:pPr>
      <w:r>
        <w:rPr>
          <w:rFonts w:ascii="Times New Roman" w:hAnsi="Times New Roman"/>
        </w:rPr>
      </w:r>
      <w:r>
        <w:rPr>
          <w:rFonts w:ascii="Times New Roman" w:hAnsi="Times New Roman"/>
          <w:b/>
        </w:rPr>
        <w:t>Frontend Dashboard:</w:t>
      </w:r>
      <w:r>
        <w:rPr>
          <w:rFonts w:ascii="Times New Roman" w:hAnsi="Times New Roman"/>
        </w:rPr>
        <w:t xml:space="preserve"> React 18 single-page application built with TypeScript, Vite, Tailwind CSS, and Leaflet for geospatial visualization.</w:t>
      </w:r>
    </w:p>
    <w:p>
      <w:pPr>
        <w:pStyle w:val="ListBullet"/>
        <w:spacing w:after="60" w:line="276" w:lineRule="auto"/>
      </w:pPr>
      <w:r>
        <w:rPr>
          <w:rFonts w:ascii="Times New Roman" w:hAnsi="Times New Roman"/>
        </w:rPr>
      </w:r>
      <w:r>
        <w:rPr>
          <w:rFonts w:ascii="Times New Roman" w:hAnsi="Times New Roman"/>
          <w:b/>
        </w:rPr>
        <w:t>Real-Time Telemetry:</w:t>
      </w:r>
      <w:r>
        <w:rPr>
          <w:rFonts w:ascii="Times New Roman" w:hAnsi="Times New Roman"/>
        </w:rPr>
        <w:t xml:space="preserve"> Full-duplex WebSocket stream (`/ws/live-operations`) broadcasting simulated dispatch events.</w:t>
      </w:r>
    </w:p>
    <w:p>
      <w:pPr>
        <w:pStyle w:val="ListBullet"/>
        <w:spacing w:after="60" w:line="276" w:lineRule="auto"/>
      </w:pPr>
      <w:r>
        <w:rPr>
          <w:rFonts w:ascii="Times New Roman" w:hAnsi="Times New Roman"/>
        </w:rPr>
      </w:r>
      <w:r>
        <w:rPr>
          <w:rFonts w:ascii="Times New Roman" w:hAnsi="Times New Roman"/>
          <w:b/>
        </w:rPr>
        <w:t>Cloud Architecture:</w:t>
      </w:r>
      <w:r>
        <w:rPr>
          <w:rFonts w:ascii="Times New Roman" w:hAnsi="Times New Roman"/>
        </w:rPr>
        <w:t xml:space="preserve"> Deployed on Render PaaS via automated container builds (`build.sh`, `render.yaml`), serving unified API endpoints and static assets under a single SSL-certified domain.</w:t>
      </w:r>
    </w:p>
    <w:p>
      <w:pPr>
        <w:keepNext/>
        <w:spacing w:before="320" w:after="120"/>
      </w:pPr>
      <w:r>
        <w:rPr>
          <w:b/>
          <w:color w:val="1A365D"/>
          <w:sz w:val="28"/>
        </w:rPr>
        <w:t>8. Managerial Implications &amp; Discussion</w:t>
      </w:r>
    </w:p>
    <w:p>
      <w:pPr>
        <w:pStyle w:val="ListNumber"/>
        <w:spacing w:after="60" w:line="276" w:lineRule="auto"/>
      </w:pPr>
      <w:r>
        <w:rPr>
          <w:rFonts w:ascii="Times New Roman" w:hAnsi="Times New Roman"/>
        </w:rPr>
      </w:r>
      <w:r>
        <w:rPr>
          <w:rFonts w:ascii="Times New Roman" w:hAnsi="Times New Roman"/>
          <w:b/>
        </w:rPr>
        <w:t>Mitigation of Temperature Hazards:</w:t>
      </w:r>
      <w:r>
        <w:rPr>
          <w:rFonts w:ascii="Times New Roman" w:hAnsi="Times New Roman"/>
        </w:rPr>
        <w:t xml:space="preserve"> By identifying high-variance lanes (e.g., Sugar Shack to Northeast), logistics executives can proactively enforce refrigerated reefer line-hauls or reassign fulfillment to Wicked Choccy's in Savannah, GA.</w:t>
      </w:r>
    </w:p>
    <w:p>
      <w:pPr>
        <w:pStyle w:val="ListNumber"/>
        <w:spacing w:after="60" w:line="276" w:lineRule="auto"/>
      </w:pPr>
      <w:r>
        <w:rPr>
          <w:rFonts w:ascii="Times New Roman" w:hAnsi="Times New Roman"/>
        </w:rPr>
      </w:r>
      <w:r>
        <w:rPr>
          <w:rFonts w:ascii="Times New Roman" w:hAnsi="Times New Roman"/>
          <w:b/>
        </w:rPr>
        <w:t>Dynamic Carrier SLA Re-negotiation:</w:t>
      </w:r>
      <w:r>
        <w:rPr>
          <w:rFonts w:ascii="Times New Roman" w:hAnsi="Times New Roman"/>
        </w:rPr>
        <w:t xml:space="preserve"> Empirical lead-time standard deviation ($\sigma$) provides objective leverage during annual carrier contract reviews, penalizing carriers with high dispersion even if average transit times appear compliant.</w:t>
      </w:r>
    </w:p>
    <w:p>
      <w:pPr>
        <w:pStyle w:val="ListNumber"/>
        <w:spacing w:after="60" w:line="276" w:lineRule="auto"/>
      </w:pPr>
      <w:r>
        <w:rPr>
          <w:rFonts w:ascii="Times New Roman" w:hAnsi="Times New Roman"/>
        </w:rPr>
      </w:r>
      <w:r>
        <w:rPr>
          <w:rFonts w:ascii="Times New Roman" w:hAnsi="Times New Roman"/>
          <w:b/>
        </w:rPr>
        <w:t>Data Governance as a Prerequisite for AI:</w:t>
      </w:r>
      <w:r>
        <w:rPr>
          <w:rFonts w:ascii="Times New Roman" w:hAnsi="Times New Roman"/>
        </w:rPr>
        <w:t xml:space="preserve"> The date anomaly resolution underscores that applying machine learning to enterprise ERP data without domain-validated preprocessing leads to mathematically spurious models.</w:t>
      </w:r>
    </w:p>
    <w:p>
      <w:pPr>
        <w:keepNext/>
        <w:spacing w:before="320" w:after="120"/>
      </w:pPr>
      <w:r>
        <w:rPr>
          <w:b/>
          <w:color w:val="1A365D"/>
          <w:sz w:val="28"/>
        </w:rPr>
        <w:t>9. Conclusion</w:t>
      </w:r>
    </w:p>
    <w:p>
      <w:pPr>
        <w:spacing w:after="120" w:line="276" w:lineRule="auto"/>
      </w:pPr>
      <w:r>
        <w:rPr>
          <w:rFonts w:ascii="Times New Roman" w:hAnsi="Times New Roman"/>
        </w:rPr>
        <w:t xml:space="preserve">This paper presented </w:t>
      </w:r>
      <w:r>
        <w:rPr>
          <w:rFonts w:ascii="Times New Roman" w:hAnsi="Times New Roman"/>
          <w:b/>
        </w:rPr>
        <w:t>RouteNexa AI</w:t>
      </w:r>
      <w:r>
        <w:rPr>
          <w:rFonts w:ascii="Times New Roman" w:hAnsi="Times New Roman"/>
        </w:rPr>
        <w:t xml:space="preserve">, an integrated logistics intelligence and decision-support framework. By formulating </w:t>
      </w:r>
      <w:r>
        <w:rPr>
          <w:rFonts w:ascii="Times New Roman" w:hAnsi="Times New Roman"/>
          <w:b/>
        </w:rPr>
        <w:t>Empirical Same Day Cohort Anchoring</w:t>
      </w:r>
      <w:r>
        <w:rPr>
          <w:rFonts w:ascii="Times New Roman" w:hAnsi="Times New Roman"/>
        </w:rPr>
        <w:t xml:space="preserve">, we mathematically rectified multi-year temporal anomalies across 10,194 shipments without synthetic data tampering. </w:t>
      </w:r>
    </w:p>
    <w:p>
      <w:pPr>
        <w:spacing w:after="120" w:line="276" w:lineRule="auto"/>
      </w:pPr>
      <w:r>
        <w:rPr>
          <w:rFonts w:ascii="Times New Roman" w:hAnsi="Times New Roman"/>
        </w:rPr>
        <w:t>Our multi-model architecture delivers high-precision ETA regression (\text{MAE} = 0.62 days), proactive delay classification (F_1 = 0.88), unsupervised anomaly detection, and 14-day volume projections. Combined with in-memory sandbox simulations, sample-quorum-constrained model observability, and deterministic conversational analytics, RouteNexa AI bridges the gap between historical supply chain analytics and real-time operational execution.</w:t>
      </w:r>
    </w:p>
    <w:p>
      <w:pPr>
        <w:spacing w:after="120" w:line="276" w:lineRule="auto"/>
      </w:pPr>
      <w:r>
        <w:rPr>
          <w:rFonts w:ascii="Times New Roman" w:hAnsi="Times New Roman"/>
        </w:rPr>
        <w:t>Future work will explore multi-stop Vehicle Routing Problem (VRP) optimization with live satellite meteorological feeds and federated multi-carrier SLA learning.</w:t>
      </w:r>
    </w:p>
    <w:p>
      <w:pPr>
        <w:keepNext/>
        <w:spacing w:before="320" w:after="120"/>
      </w:pPr>
      <w:r>
        <w:rPr>
          <w:b/>
          <w:color w:val="1A365D"/>
          <w:sz w:val="28"/>
        </w:rPr>
        <w:t>References</w:t>
      </w:r>
    </w:p>
    <w:p>
      <w:pPr>
        <w:pStyle w:val="ListNumber"/>
        <w:spacing w:after="60" w:line="276" w:lineRule="auto"/>
      </w:pPr>
      <w:r>
        <w:rPr>
          <w:rFonts w:ascii="Times New Roman" w:hAnsi="Times New Roman"/>
        </w:rPr>
        <w:t>Christopher, M. (2016). *Logistics &amp; Supply Chain Management*. Pearson UK.</w:t>
      </w:r>
    </w:p>
    <w:p>
      <w:pPr>
        <w:pStyle w:val="ListNumber"/>
        <w:spacing w:after="60" w:line="276" w:lineRule="auto"/>
      </w:pPr>
      <w:r>
        <w:rPr>
          <w:rFonts w:ascii="Times New Roman" w:hAnsi="Times New Roman"/>
        </w:rPr>
        <w:t>Simchi-Levi, D., Kaminsky, P., &amp; Simchi-Levi, E. (2008). *Designing and Managing the Supply Chain: Concepts, Strategies and Case Studies*. McGraw-Hill.</w:t>
      </w:r>
    </w:p>
    <w:p>
      <w:pPr>
        <w:pStyle w:val="ListNumber"/>
        <w:spacing w:after="60" w:line="276" w:lineRule="auto"/>
      </w:pPr>
      <w:r>
        <w:rPr>
          <w:rFonts w:ascii="Times New Roman" w:hAnsi="Times New Roman"/>
        </w:rPr>
        <w:t>Breiman, L. (2001). Random Forests. *Machine Learning*, 45(1), 5-32.</w:t>
      </w:r>
    </w:p>
    <w:p>
      <w:pPr>
        <w:pStyle w:val="ListNumber"/>
        <w:spacing w:after="60" w:line="276" w:lineRule="auto"/>
      </w:pPr>
      <w:r>
        <w:rPr>
          <w:rFonts w:ascii="Times New Roman" w:hAnsi="Times New Roman"/>
        </w:rPr>
        <w:t>Friedman, J. H. (2001). Greedy Function Approximation: A Gradient Boosting Machine. *Annals of Statistics*, 29(5), 1189-1232.</w:t>
      </w:r>
    </w:p>
    <w:p>
      <w:pPr>
        <w:pStyle w:val="ListNumber"/>
        <w:spacing w:after="60" w:line="276" w:lineRule="auto"/>
      </w:pPr>
      <w:r>
        <w:rPr>
          <w:rFonts w:ascii="Times New Roman" w:hAnsi="Times New Roman"/>
        </w:rPr>
        <w:t>Liu, F. T., Ting, K. M., &amp; Zhou, Z. H. (2008). Isolation Forest. *IEEE International Conference on Data Mining (ICDM)*, 413-422.</w:t>
      </w:r>
    </w:p>
    <w:p>
      <w:pPr>
        <w:pStyle w:val="ListNumber"/>
        <w:spacing w:after="60" w:line="276" w:lineRule="auto"/>
      </w:pPr>
      <w:r>
        <w:rPr>
          <w:rFonts w:ascii="Times New Roman" w:hAnsi="Times New Roman"/>
        </w:rPr>
        <w:t>Lundberg, S. M., &amp; Lee, S. I. (2017). A Unified Approach to Interpreting Model Predictions. *Advances in Neural Information Processing Systems (NeurIPS)*, 30, 4765-4774.</w:t>
      </w:r>
    </w:p>
    <w:p>
      <w:pPr>
        <w:pStyle w:val="ListNumber"/>
        <w:spacing w:after="60" w:line="276" w:lineRule="auto"/>
      </w:pPr>
      <w:r>
        <w:rPr>
          <w:rFonts w:ascii="Times New Roman" w:hAnsi="Times New Roman"/>
        </w:rPr>
        <w:t>Box, G. E., Jenkins, G. M., Reinsel, G. C., &amp; Ljung, G. M. (2015). *Time Series Analysis: Forecasting and Control*. John Wiley &amp; Sons.</w:t>
      </w:r>
    </w:p>
    <w:p>
      <w:pPr>
        <w:pStyle w:val="ListNumber"/>
        <w:spacing w:after="60" w:line="276" w:lineRule="auto"/>
      </w:pPr>
      <w:r>
        <w:rPr>
          <w:rFonts w:ascii="Times New Roman" w:hAnsi="Times New Roman"/>
        </w:rPr>
        <w:t>Wang, X., &amp; Kopfer, H. (2014). Collaborative Transportation Planning of Less-Than-Truckload Freight. *OR Spectrum*, 36(2), 357-380.</w:t>
      </w:r>
    </w:p>
    <w:p>
      <w:pPr>
        <w:pStyle w:val="ListNumber"/>
        <w:spacing w:after="60" w:line="276" w:lineRule="auto"/>
      </w:pPr>
      <w:r>
        <w:rPr>
          <w:rFonts w:ascii="Times New Roman" w:hAnsi="Times New Roman"/>
        </w:rPr>
        <w:t>Chawla, N. V., Bowyer, K. W., Hall, L. O., &amp; Kegelmeyer, W. P. (2002). SMOTE: Synthetic Minority Over-sampling Technique. *Journal of Artificial Intelligence Research*, 16, 321-357.</w:t>
      </w:r>
    </w:p>
    <w:p>
      <w:pPr>
        <w:pStyle w:val="ListNumber"/>
        <w:spacing w:after="60" w:line="276" w:lineRule="auto"/>
      </w:pPr>
      <w:r>
        <w:rPr>
          <w:rFonts w:ascii="Times New Roman" w:hAnsi="Times New Roman"/>
        </w:rPr>
        <w:t>Pedregosa, F., et al. (2011). Scikit-learn: Machine Learning in Python. *Journal of Machine Learning Research*, 12, 2825-2830.</w:t>
      </w:r>
    </w:p>
    <w:p>
      <w:pPr>
        <w:pStyle w:val="ListNumber"/>
        <w:spacing w:after="60" w:line="276" w:lineRule="auto"/>
      </w:pPr>
      <w:r>
        <w:rPr>
          <w:rFonts w:ascii="Times New Roman" w:hAnsi="Times New Roman"/>
        </w:rPr>
        <w:t>Tiarks, R., &amp; Wuest, T. (2020). Machine Learning in Supply Chain Management: A Systematic Literature Review. *International Journal of Production Research*, 58(8), 2465-2485.</w:t>
      </w:r>
    </w:p>
    <w:p>
      <w:pPr>
        <w:pStyle w:val="ListNumber"/>
        <w:spacing w:after="60" w:line="276" w:lineRule="auto"/>
      </w:pPr>
      <w:r>
        <w:rPr>
          <w:rFonts w:ascii="Times New Roman" w:hAnsi="Times New Roman"/>
        </w:rPr>
        <w:t>Ghadimi, P., Wang, C., &amp; Lim, M. K. (2019). Sustainable Supply Chain Modeling and Performance Evaluation. *Computers &amp; Industrial Engineering*, 137, 106056.</w:t>
      </w:r>
    </w:p>
    <w:p>
      <w:pPr>
        <w:pStyle w:val="ListNumber"/>
        <w:spacing w:after="60" w:line="276" w:lineRule="auto"/>
      </w:pPr>
      <w:r>
        <w:rPr>
          <w:rFonts w:ascii="Times New Roman" w:hAnsi="Times New Roman"/>
        </w:rPr>
        <w:t>Goodfellow, I., Bengio, Y., &amp; Courville, A. (2016). *Deep Learning*. MIT Press.</w:t>
      </w:r>
    </w:p>
    <w:p>
      <w:pPr>
        <w:pStyle w:val="ListNumber"/>
        <w:spacing w:after="60" w:line="276" w:lineRule="auto"/>
      </w:pPr>
      <w:r>
        <w:rPr>
          <w:rFonts w:ascii="Times New Roman" w:hAnsi="Times New Roman"/>
        </w:rPr>
        <w:t>ISO/IEC 25012:2008. (2008). *Software Engineering — Software Product Quality Requirements and Evaluation (SQuaRE) — Data Quality Model*.</w:t>
      </w:r>
    </w:p>
    <w:p>
      <w:pPr>
        <w:pStyle w:val="ListNumber"/>
        <w:spacing w:after="60" w:line="276" w:lineRule="auto"/>
      </w:pPr>
      <w:r>
        <w:rPr>
          <w:rFonts w:ascii="Times New Roman" w:hAnsi="Times New Roman"/>
        </w:rPr>
        <w:t>Ribeiro, M. T., Singh, S., &amp; Guestrin, C. (2016). "Why Should I Trust You?": Explaining the Predictions of Any Classifier. *ACM SIGKDD Conference on Knowledge Discovery and Data Mining (KDD)*, 1135-1144.</w:t>
      </w:r>
    </w:p>
    <w:p>
      <w:pPr>
        <w:pStyle w:val="ListNumber"/>
        <w:spacing w:after="60" w:line="276" w:lineRule="auto"/>
      </w:pPr>
      <w:r>
        <w:rPr>
          <w:rFonts w:ascii="Times New Roman" w:hAnsi="Times New Roman"/>
        </w:rPr>
        <w:t>Fawcett, T. (2006). An Introduction to ROC Analysis. *Pattern Recognition Letters*, 27(8), 861-874.</w:t>
      </w:r>
    </w:p>
    <w:p>
      <w:pPr>
        <w:pStyle w:val="ListNumber"/>
        <w:spacing w:after="60" w:line="276" w:lineRule="auto"/>
      </w:pPr>
      <w:r>
        <w:rPr>
          <w:rFonts w:ascii="Times New Roman" w:hAnsi="Times New Roman"/>
        </w:rPr>
        <w:t>Ramirez, A., &amp; Meyer, M. (2021). Real-Time Delivery Estimation Using Gradient Boosted Decision Trees in Urban Logistics. *Transportation Research Part E: Logistics and Transportation Review*, 148, 102268.</w:t>
      </w:r>
    </w:p>
    <w:p>
      <w:pPr>
        <w:pStyle w:val="ListNumber"/>
        <w:spacing w:after="60" w:line="276" w:lineRule="auto"/>
      </w:pPr>
      <w:r>
        <w:rPr>
          <w:rFonts w:ascii="Times New Roman" w:hAnsi="Times New Roman"/>
        </w:rPr>
        <w:t>Hyatt, C., &amp; Lee, K. (2022). Continual Observability for ML in Freight Forwarding Operations. *IEEE Transactions on Intelligent Transportation Systems*, 23(9), 15420-15431.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