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Helvetica Neue" w:hAnsi="Helvetica Neue"/>
          <w:b/>
          <w:sz w:val="38"/>
        </w:rPr>
        <w:t>Valuing off-ball runs with StatsBomb 360</w:t>
      </w:r>
    </w:p>
    <w:p>
      <w:pPr>
        <w:spacing w:after="40"/>
      </w:pPr>
      <w:r>
        <w:rPr>
          <w:rFonts w:ascii="Helvetica Neue" w:hAnsi="Helvetica Neue"/>
          <w:b w:val="0"/>
          <w:i w:val="0"/>
          <w:color w:val="5F6672"/>
          <w:sz w:val="20"/>
        </w:rPr>
        <w:t>A possession-value model for the movement that happens away from the ball, and a player metric built on top of it.</w:t>
      </w:r>
    </w:p>
    <w:p>
      <w:pPr>
        <w:spacing w:after="160"/>
      </w:pPr>
      <w:r>
        <w:rPr>
          <w:rFonts w:ascii="Helvetica Neue" w:hAnsi="Helvetica Neue"/>
          <w:b w:val="0"/>
          <w:i w:val="0"/>
          <w:color w:val="5F6672"/>
          <w:sz w:val="16"/>
        </w:rPr>
        <w:t>Pranav Mohan  ·  Data Scientist assessment, Parts 1 &amp; 2  ·  July 2026  ·  Code: github.com/pranavm28/statsbomb-off-ball</w:t>
      </w:r>
    </w:p>
    <w:tbl>
      <w:tblPr>
        <w:tblW w:type="auto" w:w="0"/>
        <w:jc w:val="center"/>
        <w:tblLook w:firstColumn="1" w:firstRow="1" w:lastColumn="0" w:lastRow="0" w:noHBand="0" w:noVBand="1" w:val="04A0"/>
      </w:tblPr>
      <w:tblGrid>
        <w:gridCol w:w="10206"/>
      </w:tblGrid>
      <w:tr>
        <w:tc>
          <w:tcPr>
            <w:tcW w:type="dxa" w:w="10206"/>
            <w:shd w:val="clear" w:fill="F6F6FB"/>
          </w:tcPr>
          <w:p>
            <w:pPr>
              <w:spacing w:after="0"/>
            </w:pPr>
            <w:r>
              <w:rPr>
                <w:rFonts w:ascii="Helvetica Neue" w:hAnsi="Helvetica Neue"/>
                <w:b/>
                <w:i w:val="0"/>
                <w:sz w:val="18"/>
              </w:rPr>
              <w:t>Headline.</w:t>
            </w:r>
            <w:r>
              <w:rPr>
                <w:rFonts w:ascii="Helvetica Neue" w:hAnsi="Helvetica Neue"/>
                <w:b w:val="0"/>
                <w:i w:val="0"/>
                <w:sz w:val="18"/>
              </w:rPr>
              <w:t xml:space="preserve"> Event data records the pass; it never records the run that made the pass possible. Using 360 freeze-frames I reconstruct 61,823 off-ball runs and value them by how much they raise the chance of a shot within five seconds. Seeing the players — not just the ball — is worth +0.0212 AUC over event-only features on identical rows and folds. The applied finding is a profile, not just a ranking: </w:t>
            </w:r>
            <w:r>
              <w:rPr>
                <w:rFonts w:ascii="Helvetica Neue" w:hAnsi="Helvetica Neue"/>
                <w:b/>
                <w:i w:val="0"/>
                <w:sz w:val="18"/>
              </w:rPr>
              <w:t>Victor Boniface</w:t>
            </w:r>
            <w:r>
              <w:rPr>
                <w:rFonts w:ascii="Helvetica Neue" w:hAnsi="Helvetica Neue"/>
                <w:b w:val="0"/>
                <w:i w:val="0"/>
                <w:sz w:val="18"/>
              </w:rPr>
              <w:t xml:space="preserve"> ranks second per 90 on a fifth of Mbappé's minutes, while receiving in the most crowded space of anyone near the top.</w:t>
            </w:r>
          </w:p>
        </w:tc>
      </w:tr>
    </w:tbl>
    <w:p>
      <w:pPr>
        <w:spacing w:after="40"/>
      </w:pPr>
    </w:p>
    <w:p>
      <w:pPr>
        <w:spacing w:before="160" w:after="60"/>
      </w:pPr>
      <w:r>
        <w:rPr>
          <w:rFonts w:ascii="Helvetica Neue" w:hAnsi="Helvetica Neue"/>
          <w:b/>
          <w:color w:val="5B4FD6"/>
          <w:sz w:val="22"/>
        </w:rPr>
        <w:t>1  What "possession value" means here</w:t>
      </w:r>
    </w:p>
    <w:p>
      <w:pPr>
        <w:spacing w:after="80"/>
      </w:pPr>
      <w:r>
        <w:rPr>
          <w:rFonts w:ascii="Helvetica Neue" w:hAnsi="Helvetica Neue"/>
          <w:b/>
          <w:i w:val="0"/>
          <w:sz w:val="18"/>
        </w:rPr>
        <w:t>Unit:</w:t>
      </w:r>
      <w:r>
        <w:rPr>
          <w:rFonts w:ascii="Helvetica Neue" w:hAnsi="Helvetica Neue"/>
          <w:b w:val="0"/>
          <w:i w:val="0"/>
          <w:sz w:val="18"/>
        </w:rPr>
        <w:t xml:space="preserve"> the game state at one instant, attached to one player. </w:t>
      </w:r>
      <w:r>
        <w:rPr>
          <w:rFonts w:ascii="Helvetica Neue" w:hAnsi="Helvetica Neue"/>
          <w:b/>
          <w:i w:val="0"/>
          <w:sz w:val="18"/>
        </w:rPr>
        <w:t>Target:</w:t>
      </w:r>
      <w:r>
        <w:rPr>
          <w:rFonts w:ascii="Helvetica Neue" w:hAnsi="Helvetica Neue"/>
          <w:b w:val="0"/>
          <w:i w:val="0"/>
          <w:sz w:val="18"/>
        </w:rPr>
        <w:t xml:space="preserve"> a binary label — did the possession produce a shot within the next 5 seconds. </w:t>
      </w:r>
      <w:r>
        <w:rPr>
          <w:rFonts w:ascii="Helvetica Neue" w:hAnsi="Helvetica Neue"/>
          <w:b/>
          <w:i w:val="0"/>
          <w:sz w:val="18"/>
        </w:rPr>
        <w:t>Model:</w:t>
      </w:r>
      <w:r>
        <w:rPr>
          <w:rFonts w:ascii="Helvetica Neue" w:hAnsi="Helvetica Neue"/>
          <w:b w:val="0"/>
          <w:i w:val="0"/>
          <w:sz w:val="18"/>
        </w:rPr>
        <w:t xml:space="preserve"> V(state) = P(shot ≤ 5s | ball location, that player's location, the defensive structure around him), fitted as a supervised classifier on 185,967 states with a base rate of 3.3%.</w:t>
      </w:r>
    </w:p>
    <w:p>
      <w:pPr>
        <w:spacing w:after="80"/>
      </w:pPr>
      <w:r>
        <w:rPr>
          <w:rFonts w:ascii="Helvetica Neue" w:hAnsi="Helvetica Neue"/>
          <w:b w:val="0"/>
          <w:i w:val="0"/>
          <w:sz w:val="18"/>
        </w:rPr>
        <w:t xml:space="preserve">This is a state-value function in the same family as xT and VAEP: it scores a </w:t>
      </w:r>
      <w:r>
        <w:rPr>
          <w:rFonts w:ascii="Helvetica Neue" w:hAnsi="Helvetica Neue"/>
          <w:b w:val="0"/>
          <w:i/>
          <w:sz w:val="18"/>
        </w:rPr>
        <w:t>state</w:t>
      </w:r>
      <w:r>
        <w:rPr>
          <w:rFonts w:ascii="Helvetica Neue" w:hAnsi="Helvetica Neue"/>
          <w:b w:val="0"/>
          <w:i w:val="0"/>
          <w:sz w:val="18"/>
        </w:rPr>
        <w:t xml:space="preserve"> of the possession, and the value of a move is the change in that score between two states. The difference is what defines the state. xT keys value to </w:t>
      </w:r>
      <w:r>
        <w:rPr>
          <w:rFonts w:ascii="Helvetica Neue" w:hAnsi="Helvetica Neue"/>
          <w:b w:val="0"/>
          <w:i/>
          <w:sz w:val="18"/>
        </w:rPr>
        <w:t>where the ball is</w:t>
      </w:r>
      <w:r>
        <w:rPr>
          <w:rFonts w:ascii="Helvetica Neue" w:hAnsi="Helvetica Neue"/>
          <w:b w:val="0"/>
          <w:i w:val="0"/>
          <w:sz w:val="18"/>
        </w:rPr>
        <w:t xml:space="preserve">; this keys it to </w:t>
      </w:r>
      <w:r>
        <w:rPr>
          <w:rFonts w:ascii="Helvetica Neue" w:hAnsi="Helvetica Neue"/>
          <w:b w:val="0"/>
          <w:i/>
          <w:sz w:val="18"/>
        </w:rPr>
        <w:t>where the players are</w:t>
      </w:r>
      <w:r>
        <w:rPr>
          <w:rFonts w:ascii="Helvetica Neue" w:hAnsi="Helvetica Neue"/>
          <w:b w:val="0"/>
          <w:i w:val="0"/>
          <w:sz w:val="18"/>
        </w:rPr>
        <w:t>. Two identical ball positions with different defensive shapes are one cell in xT and two states here. An xT surface is still used as a context feature, so the model knows the geographic prior it adds to.</w:t>
      </w:r>
    </w:p>
    <w:p>
      <w:pPr>
        <w:spacing w:before="160" w:after="60"/>
      </w:pPr>
      <w:r>
        <w:rPr>
          <w:rFonts w:ascii="Helvetica Neue" w:hAnsi="Helvetica Neue"/>
          <w:b/>
          <w:color w:val="5B4FD6"/>
          <w:sz w:val="22"/>
        </w:rPr>
        <w:t>2  How it works</w:t>
      </w:r>
    </w:p>
    <w:p>
      <w:r>
        <w:drawing>
          <wp:inline xmlns:a="http://schemas.openxmlformats.org/drawingml/2006/main" xmlns:pic="http://schemas.openxmlformats.org/drawingml/2006/picture">
            <wp:extent cx="6492240" cy="646444"/>
            <wp:docPr id="1" name="Picture 1"/>
            <wp:cNvGraphicFramePr>
              <a:graphicFrameLocks noChangeAspect="1"/>
            </wp:cNvGraphicFramePr>
            <a:graphic>
              <a:graphicData uri="http://schemas.openxmlformats.org/drawingml/2006/picture">
                <pic:pic>
                  <pic:nvPicPr>
                    <pic:cNvPr id="0" name="fig_flow.png"/>
                    <pic:cNvPicPr/>
                  </pic:nvPicPr>
                  <pic:blipFill>
                    <a:blip r:embed="rId9"/>
                    <a:stretch>
                      <a:fillRect/>
                    </a:stretch>
                  </pic:blipFill>
                  <pic:spPr>
                    <a:xfrm>
                      <a:off x="0" y="0"/>
                      <a:ext cx="6492240" cy="646444"/>
                    </a:xfrm>
                    <a:prstGeom prst="rect"/>
                  </pic:spPr>
                </pic:pic>
              </a:graphicData>
            </a:graphic>
          </wp:inline>
        </w:drawing>
      </w:r>
    </w:p>
    <w:p>
      <w:pPr>
        <w:spacing w:after="80"/>
      </w:pPr>
      <w:r>
        <w:rPr>
          <w:rFonts w:ascii="Helvetica Neue" w:hAnsi="Helvetica Neue"/>
          <w:b w:val="0"/>
          <w:i w:val="0"/>
          <w:sz w:val="18"/>
        </w:rPr>
        <w:t xml:space="preserve">The reconstruction does the real work. A </w:t>
      </w:r>
      <w:r>
        <w:rPr>
          <w:rFonts w:ascii="Menlo" w:hAnsi="Menlo"/>
          <w:b w:val="0"/>
          <w:i w:val="0"/>
          <w:sz w:val="16"/>
        </w:rPr>
        <w:t>Ball Receipt</w:t>
      </w:r>
      <w:r>
        <w:rPr>
          <w:rFonts w:ascii="Helvetica Neue" w:hAnsi="Helvetica Neue"/>
          <w:b w:val="0"/>
          <w:i w:val="0"/>
          <w:sz w:val="18"/>
        </w:rPr>
        <w:t xml:space="preserve"> event carries its own freeze-frame with the receiver tagged </w:t>
      </w:r>
      <w:r>
        <w:rPr>
          <w:rFonts w:ascii="Menlo" w:hAnsi="Menlo"/>
          <w:b w:val="0"/>
          <w:i w:val="0"/>
          <w:sz w:val="16"/>
        </w:rPr>
        <w:t>actor</w:t>
      </w:r>
      <w:r>
        <w:rPr>
          <w:rFonts w:ascii="Helvetica Neue" w:hAnsi="Helvetica Neue"/>
          <w:b w:val="0"/>
          <w:i w:val="0"/>
          <w:sz w:val="18"/>
        </w:rPr>
        <w:t xml:space="preserve">, which fixes where the run </w:t>
      </w:r>
      <w:r>
        <w:rPr>
          <w:rFonts w:ascii="Helvetica Neue" w:hAnsi="Helvetica Neue"/>
          <w:b w:val="0"/>
          <w:i/>
          <w:sz w:val="18"/>
        </w:rPr>
        <w:t>ended</w:t>
      </w:r>
      <w:r>
        <w:rPr>
          <w:rFonts w:ascii="Helvetica Neue" w:hAnsi="Helvetica Neue"/>
          <w:b w:val="0"/>
          <w:i w:val="0"/>
          <w:sz w:val="18"/>
        </w:rPr>
        <w:t xml:space="preserve"> and who made it. The preceding pass's frame fixes where everyone stood when the ball was struck — but frames are anonymous, so the run's </w:t>
      </w:r>
      <w:r>
        <w:rPr>
          <w:rFonts w:ascii="Helvetica Neue" w:hAnsi="Helvetica Neue"/>
          <w:b w:val="0"/>
          <w:i/>
          <w:sz w:val="18"/>
        </w:rPr>
        <w:t>origin</w:t>
      </w:r>
      <w:r>
        <w:rPr>
          <w:rFonts w:ascii="Helvetica Neue" w:hAnsi="Helvetica Neue"/>
          <w:b w:val="0"/>
          <w:i w:val="0"/>
          <w:sz w:val="18"/>
        </w:rPr>
        <w:t xml:space="preserve"> must be inferred: the nearest teammate in the release frame, accepted only if the implied sprint is physically possible (≤ 9.5 m/s over the pass duration). That gate is why 66% of 93,202 receipts survive, and it is the biggest assumption in the project.</w:t>
      </w:r>
    </w:p>
    <w:p>
      <w:pPr>
        <w:spacing w:before="160" w:after="60"/>
      </w:pPr>
      <w:r>
        <w:rPr>
          <w:rFonts w:ascii="Helvetica Neue" w:hAnsi="Helvetica Neue"/>
          <w:b/>
          <w:color w:val="5B4FD6"/>
          <w:sz w:val="22"/>
        </w:rPr>
        <w:t>3  Scope, and why</w:t>
      </w:r>
    </w:p>
    <w:p>
      <w:pPr>
        <w:spacing w:after="80"/>
      </w:pPr>
      <w:r>
        <w:rPr>
          <w:rFonts w:ascii="Helvetica Neue" w:hAnsi="Helvetica Neue"/>
          <w:b w:val="0"/>
          <w:i w:val="0"/>
          <w:sz w:val="18"/>
        </w:rPr>
        <w:t>Four full competition-seasons with 360 coverage — La Liga 2020/21, Ligue 1 2021/22 and 2022/23, Bundesliga 2023/24: 123 matches, 264,814 player-minutes. I pooled seasons rather than use the World Cup because off-ball running needs volume per player and the metric is a rate: a tournament gives seven matches, a season thirty-plus. The honest cost is that open-data 360 covers one focus club per competition, so the pool is effectively three clubs and the ranking is within-sample, not cross-league.</w:t>
      </w:r>
    </w:p>
    <w:p>
      <w:pPr>
        <w:spacing w:before="160" w:after="60"/>
      </w:pPr>
      <w:r>
        <w:rPr>
          <w:rFonts w:ascii="Helvetica Neue" w:hAnsi="Helvetica Neue"/>
          <w:b/>
          <w:color w:val="5B4FD6"/>
          <w:sz w:val="22"/>
        </w:rPr>
        <w:t>4  The metric, and the ranking</w:t>
      </w:r>
    </w:p>
    <w:p>
      <w:pPr>
        <w:spacing w:after="80"/>
      </w:pPr>
      <w:r>
        <w:rPr>
          <w:rFonts w:ascii="Helvetica Neue" w:hAnsi="Helvetica Neue"/>
          <w:b/>
          <w:i w:val="0"/>
          <w:sz w:val="18"/>
        </w:rPr>
        <w:t>Run Value per 90.</w:t>
      </w:r>
      <w:r>
        <w:rPr>
          <w:rFonts w:ascii="Helvetica Neue" w:hAnsi="Helvetica Neue"/>
          <w:b w:val="0"/>
          <w:i w:val="0"/>
          <w:sz w:val="18"/>
        </w:rPr>
        <w:t xml:space="preserve"> One number per player, built in four steps: (i) for each run, take the out-of-fold gain in predicted shot probability when the model can see </w:t>
      </w:r>
      <w:r>
        <w:rPr>
          <w:rFonts w:ascii="Helvetica Neue" w:hAnsi="Helvetica Neue"/>
          <w:b w:val="0"/>
          <w:i/>
          <w:sz w:val="18"/>
        </w:rPr>
        <w:t>how</w:t>
      </w:r>
      <w:r>
        <w:rPr>
          <w:rFonts w:ascii="Helvetica Neue" w:hAnsi="Helvetica Neue"/>
          <w:b w:val="0"/>
          <w:i w:val="0"/>
          <w:sz w:val="18"/>
        </w:rPr>
        <w:t xml:space="preserve"> the player moved, on top of a context model that already knows where the ball and the receipt were; (ii) keep only runs received in the final third, because outside it "predictive" and "valuable" come apart — a centre-back dropping into space is reliably informative and is not creating anything; (iii) sum per player; (iv) divide by 90s played, with a 600-minute floor. That leaves 59 qualifying players.</w:t>
      </w:r>
    </w:p>
    <w:p>
      <w:pPr>
        <w:spacing w:after="80"/>
      </w:pPr>
      <w:r>
        <w:rPr>
          <w:rFonts w:ascii="Helvetica Neue" w:hAnsi="Helvetica Neue"/>
          <w:b/>
          <w:i w:val="0"/>
          <w:sz w:val="18"/>
        </w:rPr>
        <w:t>It is an information gain, not a probability.</w:t>
      </w:r>
      <w:r>
        <w:rPr>
          <w:rFonts w:ascii="Helvetica Neue" w:hAnsi="Helvetica Neue"/>
          <w:b w:val="0"/>
          <w:i w:val="0"/>
          <w:sz w:val="18"/>
        </w:rPr>
        <w:t xml:space="preserve"> It answers "how much of the outcome is explained by the manner of the movement rather than its geography", so it does not sum to goals. Two scouts watch the same possession, one seeing only the ball, one seeing the runner: Run Value is what the second knew that the first did not.</w:t>
      </w:r>
    </w:p>
    <w:tbl>
      <w:tblPr>
        <w:tblStyle w:val="TableGrid"/>
        <w:tblW w:type="auto" w:w="0"/>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021"/>
            <w:shd w:val="clear" w:fill="EFEFF6"/>
          </w:tcPr>
          <w:p>
            <w:pPr>
              <w:spacing w:after="0"/>
            </w:pPr>
            <w:r>
              <w:rPr>
                <w:rFonts w:ascii="Helvetica Neue" w:hAnsi="Helvetica Neue"/>
                <w:b/>
                <w:sz w:val="14"/>
              </w:rPr>
              <w:t>#</w:t>
            </w:r>
          </w:p>
        </w:tc>
        <w:tc>
          <w:tcPr>
            <w:tcW w:type="dxa" w:w="1021"/>
            <w:shd w:val="clear" w:fill="EFEFF6"/>
          </w:tcPr>
          <w:p>
            <w:pPr>
              <w:spacing w:after="0"/>
            </w:pPr>
            <w:r>
              <w:rPr>
                <w:rFonts w:ascii="Helvetica Neue" w:hAnsi="Helvetica Neue"/>
                <w:b/>
                <w:sz w:val="14"/>
              </w:rPr>
              <w:t>Player</w:t>
            </w:r>
          </w:p>
        </w:tc>
        <w:tc>
          <w:tcPr>
            <w:tcW w:type="dxa" w:w="1021"/>
            <w:shd w:val="clear" w:fill="EFEFF6"/>
          </w:tcPr>
          <w:p>
            <w:pPr>
              <w:spacing w:after="0"/>
            </w:pPr>
            <w:r>
              <w:rPr>
                <w:rFonts w:ascii="Helvetica Neue" w:hAnsi="Helvetica Neue"/>
                <w:b/>
                <w:sz w:val="14"/>
              </w:rPr>
              <w:t>Team</w:t>
            </w:r>
          </w:p>
        </w:tc>
        <w:tc>
          <w:tcPr>
            <w:tcW w:type="dxa" w:w="1021"/>
            <w:shd w:val="clear" w:fill="EFEFF6"/>
          </w:tcPr>
          <w:p>
            <w:pPr>
              <w:spacing w:after="0"/>
            </w:pPr>
            <w:r>
              <w:rPr>
                <w:rFonts w:ascii="Helvetica Neue" w:hAnsi="Helvetica Neue"/>
                <w:b/>
                <w:sz w:val="14"/>
              </w:rPr>
              <w:t>Position</w:t>
            </w:r>
          </w:p>
        </w:tc>
        <w:tc>
          <w:tcPr>
            <w:tcW w:type="dxa" w:w="1021"/>
            <w:shd w:val="clear" w:fill="EFEFF6"/>
          </w:tcPr>
          <w:p>
            <w:pPr>
              <w:spacing w:after="0"/>
              <w:jc w:val="right"/>
            </w:pPr>
            <w:r>
              <w:rPr>
                <w:rFonts w:ascii="Helvetica Neue" w:hAnsi="Helvetica Neue"/>
                <w:b/>
                <w:sz w:val="14"/>
              </w:rPr>
              <w:t>90s</w:t>
            </w:r>
          </w:p>
        </w:tc>
        <w:tc>
          <w:tcPr>
            <w:tcW w:type="dxa" w:w="1021"/>
            <w:shd w:val="clear" w:fill="EFEFF6"/>
          </w:tcPr>
          <w:p>
            <w:pPr>
              <w:spacing w:after="0"/>
              <w:jc w:val="right"/>
            </w:pPr>
            <w:r>
              <w:rPr>
                <w:rFonts w:ascii="Helvetica Neue" w:hAnsi="Helvetica Neue"/>
                <w:b/>
                <w:sz w:val="14"/>
              </w:rPr>
              <w:t>Runs /90</w:t>
            </w:r>
          </w:p>
        </w:tc>
        <w:tc>
          <w:tcPr>
            <w:tcW w:type="dxa" w:w="1021"/>
            <w:shd w:val="clear" w:fill="EFEFF6"/>
          </w:tcPr>
          <w:p>
            <w:pPr>
              <w:spacing w:after="0"/>
              <w:jc w:val="right"/>
            </w:pPr>
            <w:r>
              <w:rPr>
                <w:rFonts w:ascii="Helvetica Neue" w:hAnsi="Helvetica Neue"/>
                <w:b/>
                <w:sz w:val="14"/>
              </w:rPr>
              <w:t>F3 runs /90</w:t>
            </w:r>
          </w:p>
        </w:tc>
        <w:tc>
          <w:tcPr>
            <w:tcW w:type="dxa" w:w="1021"/>
            <w:shd w:val="clear" w:fill="EFEFF6"/>
          </w:tcPr>
          <w:p>
            <w:pPr>
              <w:spacing w:after="0"/>
              <w:jc w:val="right"/>
            </w:pPr>
            <w:r>
              <w:rPr>
                <w:rFonts w:ascii="Helvetica Neue" w:hAnsi="Helvetica Neue"/>
                <w:b/>
                <w:sz w:val="14"/>
              </w:rPr>
              <w:t>In behind /90</w:t>
            </w:r>
          </w:p>
        </w:tc>
        <w:tc>
          <w:tcPr>
            <w:tcW w:type="dxa" w:w="1021"/>
            <w:shd w:val="clear" w:fill="EFEFF6"/>
          </w:tcPr>
          <w:p>
            <w:pPr>
              <w:spacing w:after="0"/>
              <w:jc w:val="right"/>
            </w:pPr>
            <w:r>
              <w:rPr>
                <w:rFonts w:ascii="Helvetica Neue" w:hAnsi="Helvetica Neue"/>
                <w:b/>
                <w:sz w:val="14"/>
              </w:rPr>
              <w:t>Enclosed share</w:t>
            </w:r>
          </w:p>
        </w:tc>
        <w:tc>
          <w:tcPr>
            <w:tcW w:type="dxa" w:w="1021"/>
            <w:shd w:val="clear" w:fill="EFEFF6"/>
          </w:tcPr>
          <w:p>
            <w:pPr>
              <w:spacing w:after="0"/>
              <w:jc w:val="right"/>
            </w:pPr>
            <w:r>
              <w:rPr>
                <w:rFonts w:ascii="Helvetica Neue" w:hAnsi="Helvetica Neue"/>
                <w:b/>
                <w:sz w:val="14"/>
              </w:rPr>
              <w:t>Run Value /90</w:t>
            </w:r>
          </w:p>
        </w:tc>
      </w:tr>
      <w:tr>
        <w:tc>
          <w:tcPr>
            <w:tcW w:type="dxa" w:w="1021"/>
          </w:tcPr>
          <w:p>
            <w:pPr>
              <w:spacing w:after="0"/>
            </w:pPr>
            <w:r>
              <w:rPr>
                <w:rFonts w:ascii="Helvetica Neue" w:hAnsi="Helvetica Neue"/>
                <w:b w:val="0"/>
                <w:i w:val="0"/>
                <w:sz w:val="15"/>
              </w:rPr>
              <w:t>1</w:t>
            </w:r>
          </w:p>
        </w:tc>
        <w:tc>
          <w:tcPr>
            <w:tcW w:type="dxa" w:w="1021"/>
          </w:tcPr>
          <w:p>
            <w:pPr>
              <w:spacing w:after="0"/>
            </w:pPr>
            <w:r>
              <w:rPr>
                <w:rFonts w:ascii="Helvetica Neue" w:hAnsi="Helvetica Neue"/>
                <w:b w:val="0"/>
                <w:i w:val="0"/>
                <w:sz w:val="15"/>
              </w:rPr>
              <w:t>K. Mbappé</w:t>
            </w:r>
          </w:p>
        </w:tc>
        <w:tc>
          <w:tcPr>
            <w:tcW w:type="dxa" w:w="1021"/>
          </w:tcPr>
          <w:p>
            <w:pPr>
              <w:spacing w:after="0"/>
            </w:pPr>
            <w:r>
              <w:rPr>
                <w:rFonts w:ascii="Helvetica Neue" w:hAnsi="Helvetica Neue"/>
                <w:b w:val="0"/>
                <w:i w:val="0"/>
                <w:sz w:val="15"/>
              </w:rPr>
              <w:t>Paris Saint-Germain</w:t>
            </w:r>
          </w:p>
        </w:tc>
        <w:tc>
          <w:tcPr>
            <w:tcW w:type="dxa" w:w="1021"/>
          </w:tcPr>
          <w:p>
            <w:pPr>
              <w:spacing w:after="0"/>
            </w:pPr>
            <w:r>
              <w:rPr>
                <w:rFonts w:ascii="Helvetica Neue" w:hAnsi="Helvetica Neue"/>
                <w:b w:val="0"/>
                <w:i w:val="0"/>
                <w:sz w:val="15"/>
              </w:rPr>
              <w:t>Forward</w:t>
            </w:r>
          </w:p>
        </w:tc>
        <w:tc>
          <w:tcPr>
            <w:tcW w:type="dxa" w:w="1021"/>
          </w:tcPr>
          <w:p>
            <w:pPr>
              <w:spacing w:after="0"/>
              <w:jc w:val="right"/>
            </w:pPr>
            <w:r>
              <w:rPr>
                <w:rFonts w:ascii="Helvetica Neue" w:hAnsi="Helvetica Neue"/>
                <w:b w:val="0"/>
                <w:i w:val="0"/>
                <w:sz w:val="15"/>
              </w:rPr>
              <w:t>50.6</w:t>
            </w:r>
          </w:p>
        </w:tc>
        <w:tc>
          <w:tcPr>
            <w:tcW w:type="dxa" w:w="1021"/>
          </w:tcPr>
          <w:p>
            <w:pPr>
              <w:spacing w:after="0"/>
              <w:jc w:val="right"/>
            </w:pPr>
            <w:r>
              <w:rPr>
                <w:rFonts w:ascii="Helvetica Neue" w:hAnsi="Helvetica Neue"/>
                <w:b w:val="0"/>
                <w:i w:val="0"/>
                <w:sz w:val="15"/>
              </w:rPr>
              <w:t>23.3</w:t>
            </w:r>
          </w:p>
        </w:tc>
        <w:tc>
          <w:tcPr>
            <w:tcW w:type="dxa" w:w="1021"/>
          </w:tcPr>
          <w:p>
            <w:pPr>
              <w:spacing w:after="0"/>
              <w:jc w:val="right"/>
            </w:pPr>
            <w:r>
              <w:rPr>
                <w:rFonts w:ascii="Helvetica Neue" w:hAnsi="Helvetica Neue"/>
                <w:b w:val="0"/>
                <w:i w:val="0"/>
                <w:sz w:val="15"/>
              </w:rPr>
              <w:t>13.7</w:t>
            </w:r>
          </w:p>
        </w:tc>
        <w:tc>
          <w:tcPr>
            <w:tcW w:type="dxa" w:w="1021"/>
          </w:tcPr>
          <w:p>
            <w:pPr>
              <w:spacing w:after="0"/>
              <w:jc w:val="right"/>
            </w:pPr>
            <w:r>
              <w:rPr>
                <w:rFonts w:ascii="Helvetica Neue" w:hAnsi="Helvetica Neue"/>
                <w:b w:val="0"/>
                <w:i w:val="0"/>
                <w:sz w:val="15"/>
              </w:rPr>
              <w:t>2.03</w:t>
            </w:r>
          </w:p>
        </w:tc>
        <w:tc>
          <w:tcPr>
            <w:tcW w:type="dxa" w:w="1021"/>
          </w:tcPr>
          <w:p>
            <w:pPr>
              <w:spacing w:after="0"/>
              <w:jc w:val="right"/>
            </w:pPr>
            <w:r>
              <w:rPr>
                <w:rFonts w:ascii="Helvetica Neue" w:hAnsi="Helvetica Neue"/>
                <w:b w:val="0"/>
                <w:i w:val="0"/>
                <w:sz w:val="15"/>
              </w:rPr>
              <w:t>0.40</w:t>
            </w:r>
          </w:p>
        </w:tc>
        <w:tc>
          <w:tcPr>
            <w:tcW w:type="dxa" w:w="1021"/>
          </w:tcPr>
          <w:p>
            <w:pPr>
              <w:spacing w:after="0"/>
              <w:jc w:val="right"/>
            </w:pPr>
            <w:r>
              <w:rPr>
                <w:rFonts w:ascii="Helvetica Neue" w:hAnsi="Helvetica Neue"/>
                <w:b w:val="0"/>
                <w:i w:val="0"/>
                <w:sz w:val="15"/>
              </w:rPr>
              <w:t>0.616</w:t>
            </w:r>
          </w:p>
        </w:tc>
      </w:tr>
      <w:tr>
        <w:tc>
          <w:tcPr>
            <w:tcW w:type="dxa" w:w="1021"/>
          </w:tcPr>
          <w:p>
            <w:pPr>
              <w:spacing w:after="0"/>
            </w:pPr>
            <w:r>
              <w:rPr>
                <w:rFonts w:ascii="Helvetica Neue" w:hAnsi="Helvetica Neue"/>
                <w:b w:val="0"/>
                <w:i w:val="0"/>
                <w:sz w:val="15"/>
              </w:rPr>
              <w:t>2</w:t>
            </w:r>
          </w:p>
        </w:tc>
        <w:tc>
          <w:tcPr>
            <w:tcW w:type="dxa" w:w="1021"/>
          </w:tcPr>
          <w:p>
            <w:pPr>
              <w:spacing w:after="0"/>
            </w:pPr>
            <w:r>
              <w:rPr>
                <w:rFonts w:ascii="Helvetica Neue" w:hAnsi="Helvetica Neue"/>
                <w:b w:val="0"/>
                <w:i w:val="0"/>
                <w:sz w:val="15"/>
              </w:rPr>
              <w:t>V. Boniface</w:t>
            </w:r>
          </w:p>
        </w:tc>
        <w:tc>
          <w:tcPr>
            <w:tcW w:type="dxa" w:w="1021"/>
          </w:tcPr>
          <w:p>
            <w:pPr>
              <w:spacing w:after="0"/>
            </w:pPr>
            <w:r>
              <w:rPr>
                <w:rFonts w:ascii="Helvetica Neue" w:hAnsi="Helvetica Neue"/>
                <w:b w:val="0"/>
                <w:i w:val="0"/>
                <w:sz w:val="15"/>
              </w:rPr>
              <w:t>Bayer Leverkusen</w:t>
            </w:r>
          </w:p>
        </w:tc>
        <w:tc>
          <w:tcPr>
            <w:tcW w:type="dxa" w:w="1021"/>
          </w:tcPr>
          <w:p>
            <w:pPr>
              <w:spacing w:after="0"/>
            </w:pPr>
            <w:r>
              <w:rPr>
                <w:rFonts w:ascii="Helvetica Neue" w:hAnsi="Helvetica Neue"/>
                <w:b w:val="0"/>
                <w:i w:val="0"/>
                <w:sz w:val="15"/>
              </w:rPr>
              <w:t>Forward</w:t>
            </w:r>
          </w:p>
        </w:tc>
        <w:tc>
          <w:tcPr>
            <w:tcW w:type="dxa" w:w="1021"/>
          </w:tcPr>
          <w:p>
            <w:pPr>
              <w:spacing w:after="0"/>
              <w:jc w:val="right"/>
            </w:pPr>
            <w:r>
              <w:rPr>
                <w:rFonts w:ascii="Helvetica Neue" w:hAnsi="Helvetica Neue"/>
                <w:b w:val="0"/>
                <w:i w:val="0"/>
                <w:sz w:val="15"/>
              </w:rPr>
              <w:t>17.8</w:t>
            </w:r>
          </w:p>
        </w:tc>
        <w:tc>
          <w:tcPr>
            <w:tcW w:type="dxa" w:w="1021"/>
          </w:tcPr>
          <w:p>
            <w:pPr>
              <w:spacing w:after="0"/>
              <w:jc w:val="right"/>
            </w:pPr>
            <w:r>
              <w:rPr>
                <w:rFonts w:ascii="Helvetica Neue" w:hAnsi="Helvetica Neue"/>
                <w:b w:val="0"/>
                <w:i w:val="0"/>
                <w:sz w:val="15"/>
              </w:rPr>
              <w:t>13.2</w:t>
            </w:r>
          </w:p>
        </w:tc>
        <w:tc>
          <w:tcPr>
            <w:tcW w:type="dxa" w:w="1021"/>
          </w:tcPr>
          <w:p>
            <w:pPr>
              <w:spacing w:after="0"/>
              <w:jc w:val="right"/>
            </w:pPr>
            <w:r>
              <w:rPr>
                <w:rFonts w:ascii="Helvetica Neue" w:hAnsi="Helvetica Neue"/>
                <w:b w:val="0"/>
                <w:i w:val="0"/>
                <w:sz w:val="15"/>
              </w:rPr>
              <w:t>7.5</w:t>
            </w:r>
          </w:p>
        </w:tc>
        <w:tc>
          <w:tcPr>
            <w:tcW w:type="dxa" w:w="1021"/>
          </w:tcPr>
          <w:p>
            <w:pPr>
              <w:spacing w:after="0"/>
              <w:jc w:val="right"/>
            </w:pPr>
            <w:r>
              <w:rPr>
                <w:rFonts w:ascii="Helvetica Neue" w:hAnsi="Helvetica Neue"/>
                <w:b w:val="0"/>
                <w:i w:val="0"/>
                <w:sz w:val="15"/>
              </w:rPr>
              <w:t>1.23</w:t>
            </w:r>
          </w:p>
        </w:tc>
        <w:tc>
          <w:tcPr>
            <w:tcW w:type="dxa" w:w="1021"/>
          </w:tcPr>
          <w:p>
            <w:pPr>
              <w:spacing w:after="0"/>
              <w:jc w:val="right"/>
            </w:pPr>
            <w:r>
              <w:rPr>
                <w:rFonts w:ascii="Helvetica Neue" w:hAnsi="Helvetica Neue"/>
                <w:b w:val="0"/>
                <w:i w:val="0"/>
                <w:sz w:val="15"/>
              </w:rPr>
              <w:t>0.52</w:t>
            </w:r>
          </w:p>
        </w:tc>
        <w:tc>
          <w:tcPr>
            <w:tcW w:type="dxa" w:w="1021"/>
          </w:tcPr>
          <w:p>
            <w:pPr>
              <w:spacing w:after="0"/>
              <w:jc w:val="right"/>
            </w:pPr>
            <w:r>
              <w:rPr>
                <w:rFonts w:ascii="Helvetica Neue" w:hAnsi="Helvetica Neue"/>
                <w:b w:val="0"/>
                <w:i w:val="0"/>
                <w:sz w:val="15"/>
              </w:rPr>
              <w:t>0.590</w:t>
            </w:r>
          </w:p>
        </w:tc>
      </w:tr>
      <w:tr>
        <w:tc>
          <w:tcPr>
            <w:tcW w:type="dxa" w:w="1021"/>
          </w:tcPr>
          <w:p>
            <w:pPr>
              <w:spacing w:after="0"/>
            </w:pPr>
            <w:r>
              <w:rPr>
                <w:rFonts w:ascii="Helvetica Neue" w:hAnsi="Helvetica Neue"/>
                <w:b w:val="0"/>
                <w:i w:val="0"/>
                <w:sz w:val="15"/>
              </w:rPr>
              <w:t>3</w:t>
            </w:r>
          </w:p>
        </w:tc>
        <w:tc>
          <w:tcPr>
            <w:tcW w:type="dxa" w:w="1021"/>
          </w:tcPr>
          <w:p>
            <w:pPr>
              <w:spacing w:after="0"/>
            </w:pPr>
            <w:r>
              <w:rPr>
                <w:rFonts w:ascii="Helvetica Neue" w:hAnsi="Helvetica Neue"/>
                <w:b w:val="0"/>
                <w:i w:val="0"/>
                <w:sz w:val="15"/>
              </w:rPr>
              <w:t>F. Wirtz</w:t>
            </w:r>
          </w:p>
        </w:tc>
        <w:tc>
          <w:tcPr>
            <w:tcW w:type="dxa" w:w="1021"/>
          </w:tcPr>
          <w:p>
            <w:pPr>
              <w:spacing w:after="0"/>
            </w:pPr>
            <w:r>
              <w:rPr>
                <w:rFonts w:ascii="Helvetica Neue" w:hAnsi="Helvetica Neue"/>
                <w:b w:val="0"/>
                <w:i w:val="0"/>
                <w:sz w:val="15"/>
              </w:rPr>
              <w:t>Bayer Leverkusen</w:t>
            </w:r>
          </w:p>
        </w:tc>
        <w:tc>
          <w:tcPr>
            <w:tcW w:type="dxa" w:w="1021"/>
          </w:tcPr>
          <w:p>
            <w:pPr>
              <w:spacing w:after="0"/>
            </w:pPr>
            <w:r>
              <w:rPr>
                <w:rFonts w:ascii="Helvetica Neue" w:hAnsi="Helvetica Neue"/>
                <w:b w:val="0"/>
                <w:i w:val="0"/>
                <w:sz w:val="15"/>
              </w:rPr>
              <w:t>Left Att Mid</w:t>
            </w:r>
          </w:p>
        </w:tc>
        <w:tc>
          <w:tcPr>
            <w:tcW w:type="dxa" w:w="1021"/>
          </w:tcPr>
          <w:p>
            <w:pPr>
              <w:spacing w:after="0"/>
              <w:jc w:val="right"/>
            </w:pPr>
            <w:r>
              <w:rPr>
                <w:rFonts w:ascii="Helvetica Neue" w:hAnsi="Helvetica Neue"/>
                <w:b w:val="0"/>
                <w:i w:val="0"/>
                <w:sz w:val="15"/>
              </w:rPr>
              <w:t>27.3</w:t>
            </w:r>
          </w:p>
        </w:tc>
        <w:tc>
          <w:tcPr>
            <w:tcW w:type="dxa" w:w="1021"/>
          </w:tcPr>
          <w:p>
            <w:pPr>
              <w:spacing w:after="0"/>
              <w:jc w:val="right"/>
            </w:pPr>
            <w:r>
              <w:rPr>
                <w:rFonts w:ascii="Helvetica Neue" w:hAnsi="Helvetica Neue"/>
                <w:b w:val="0"/>
                <w:i w:val="0"/>
                <w:sz w:val="15"/>
              </w:rPr>
              <w:t>29.7</w:t>
            </w:r>
          </w:p>
        </w:tc>
        <w:tc>
          <w:tcPr>
            <w:tcW w:type="dxa" w:w="1021"/>
          </w:tcPr>
          <w:p>
            <w:pPr>
              <w:spacing w:after="0"/>
              <w:jc w:val="right"/>
            </w:pPr>
            <w:r>
              <w:rPr>
                <w:rFonts w:ascii="Helvetica Neue" w:hAnsi="Helvetica Neue"/>
                <w:b w:val="0"/>
                <w:i w:val="0"/>
                <w:sz w:val="15"/>
              </w:rPr>
              <w:t>13.0</w:t>
            </w:r>
          </w:p>
        </w:tc>
        <w:tc>
          <w:tcPr>
            <w:tcW w:type="dxa" w:w="1021"/>
          </w:tcPr>
          <w:p>
            <w:pPr>
              <w:spacing w:after="0"/>
              <w:jc w:val="right"/>
            </w:pPr>
            <w:r>
              <w:rPr>
                <w:rFonts w:ascii="Helvetica Neue" w:hAnsi="Helvetica Neue"/>
                <w:b w:val="0"/>
                <w:i w:val="0"/>
                <w:sz w:val="15"/>
              </w:rPr>
              <w:t>1.39</w:t>
            </w:r>
          </w:p>
        </w:tc>
        <w:tc>
          <w:tcPr>
            <w:tcW w:type="dxa" w:w="1021"/>
          </w:tcPr>
          <w:p>
            <w:pPr>
              <w:spacing w:after="0"/>
              <w:jc w:val="right"/>
            </w:pPr>
            <w:r>
              <w:rPr>
                <w:rFonts w:ascii="Helvetica Neue" w:hAnsi="Helvetica Neue"/>
                <w:b w:val="0"/>
                <w:i w:val="0"/>
                <w:sz w:val="15"/>
              </w:rPr>
              <w:t>0.44</w:t>
            </w:r>
          </w:p>
        </w:tc>
        <w:tc>
          <w:tcPr>
            <w:tcW w:type="dxa" w:w="1021"/>
          </w:tcPr>
          <w:p>
            <w:pPr>
              <w:spacing w:after="0"/>
              <w:jc w:val="right"/>
            </w:pPr>
            <w:r>
              <w:rPr>
                <w:rFonts w:ascii="Helvetica Neue" w:hAnsi="Helvetica Neue"/>
                <w:b w:val="0"/>
                <w:i w:val="0"/>
                <w:sz w:val="15"/>
              </w:rPr>
              <w:t>0.563</w:t>
            </w:r>
          </w:p>
        </w:tc>
      </w:tr>
      <w:tr>
        <w:tc>
          <w:tcPr>
            <w:tcW w:type="dxa" w:w="1021"/>
          </w:tcPr>
          <w:p>
            <w:pPr>
              <w:spacing w:after="0"/>
            </w:pPr>
            <w:r>
              <w:rPr>
                <w:rFonts w:ascii="Helvetica Neue" w:hAnsi="Helvetica Neue"/>
                <w:b w:val="0"/>
                <w:i w:val="0"/>
                <w:sz w:val="15"/>
              </w:rPr>
              <w:t>4</w:t>
            </w:r>
          </w:p>
        </w:tc>
        <w:tc>
          <w:tcPr>
            <w:tcW w:type="dxa" w:w="1021"/>
          </w:tcPr>
          <w:p>
            <w:pPr>
              <w:spacing w:after="0"/>
            </w:pPr>
            <w:r>
              <w:rPr>
                <w:rFonts w:ascii="Helvetica Neue" w:hAnsi="Helvetica Neue"/>
                <w:b w:val="0"/>
                <w:i w:val="0"/>
                <w:sz w:val="15"/>
              </w:rPr>
              <w:t>F. Trincão</w:t>
            </w:r>
          </w:p>
        </w:tc>
        <w:tc>
          <w:tcPr>
            <w:tcW w:type="dxa" w:w="1021"/>
          </w:tcPr>
          <w:p>
            <w:pPr>
              <w:spacing w:after="0"/>
            </w:pPr>
            <w:r>
              <w:rPr>
                <w:rFonts w:ascii="Helvetica Neue" w:hAnsi="Helvetica Neue"/>
                <w:b w:val="0"/>
                <w:i w:val="0"/>
                <w:sz w:val="15"/>
              </w:rPr>
              <w:t>Barcelona</w:t>
            </w:r>
          </w:p>
        </w:tc>
        <w:tc>
          <w:tcPr>
            <w:tcW w:type="dxa" w:w="1021"/>
          </w:tcPr>
          <w:p>
            <w:pPr>
              <w:spacing w:after="0"/>
            </w:pPr>
            <w:r>
              <w:rPr>
                <w:rFonts w:ascii="Helvetica Neue" w:hAnsi="Helvetica Neue"/>
                <w:b w:val="0"/>
                <w:i w:val="0"/>
                <w:sz w:val="15"/>
              </w:rPr>
              <w:t>Right Wing</w:t>
            </w:r>
          </w:p>
        </w:tc>
        <w:tc>
          <w:tcPr>
            <w:tcW w:type="dxa" w:w="1021"/>
          </w:tcPr>
          <w:p>
            <w:pPr>
              <w:spacing w:after="0"/>
              <w:jc w:val="right"/>
            </w:pPr>
            <w:r>
              <w:rPr>
                <w:rFonts w:ascii="Helvetica Neue" w:hAnsi="Helvetica Neue"/>
                <w:b w:val="0"/>
                <w:i w:val="0"/>
                <w:sz w:val="15"/>
              </w:rPr>
              <w:t>8.2</w:t>
            </w:r>
          </w:p>
        </w:tc>
        <w:tc>
          <w:tcPr>
            <w:tcW w:type="dxa" w:w="1021"/>
          </w:tcPr>
          <w:p>
            <w:pPr>
              <w:spacing w:after="0"/>
              <w:jc w:val="right"/>
            </w:pPr>
            <w:r>
              <w:rPr>
                <w:rFonts w:ascii="Helvetica Neue" w:hAnsi="Helvetica Neue"/>
                <w:b w:val="0"/>
                <w:i w:val="0"/>
                <w:sz w:val="15"/>
              </w:rPr>
              <w:t>26.8</w:t>
            </w:r>
          </w:p>
        </w:tc>
        <w:tc>
          <w:tcPr>
            <w:tcW w:type="dxa" w:w="1021"/>
          </w:tcPr>
          <w:p>
            <w:pPr>
              <w:spacing w:after="0"/>
              <w:jc w:val="right"/>
            </w:pPr>
            <w:r>
              <w:rPr>
                <w:rFonts w:ascii="Helvetica Neue" w:hAnsi="Helvetica Neue"/>
                <w:b w:val="0"/>
                <w:i w:val="0"/>
                <w:sz w:val="15"/>
              </w:rPr>
              <w:t>15.7</w:t>
            </w:r>
          </w:p>
        </w:tc>
        <w:tc>
          <w:tcPr>
            <w:tcW w:type="dxa" w:w="1021"/>
          </w:tcPr>
          <w:p>
            <w:pPr>
              <w:spacing w:after="0"/>
              <w:jc w:val="right"/>
            </w:pPr>
            <w:r>
              <w:rPr>
                <w:rFonts w:ascii="Helvetica Neue" w:hAnsi="Helvetica Neue"/>
                <w:b w:val="0"/>
                <w:i w:val="0"/>
                <w:sz w:val="15"/>
              </w:rPr>
              <w:t>1.71</w:t>
            </w:r>
          </w:p>
        </w:tc>
        <w:tc>
          <w:tcPr>
            <w:tcW w:type="dxa" w:w="1021"/>
          </w:tcPr>
          <w:p>
            <w:pPr>
              <w:spacing w:after="0"/>
              <w:jc w:val="right"/>
            </w:pPr>
            <w:r>
              <w:rPr>
                <w:rFonts w:ascii="Helvetica Neue" w:hAnsi="Helvetica Neue"/>
                <w:b w:val="0"/>
                <w:i w:val="0"/>
                <w:sz w:val="15"/>
              </w:rPr>
              <w:t>0.30</w:t>
            </w:r>
          </w:p>
        </w:tc>
        <w:tc>
          <w:tcPr>
            <w:tcW w:type="dxa" w:w="1021"/>
          </w:tcPr>
          <w:p>
            <w:pPr>
              <w:spacing w:after="0"/>
              <w:jc w:val="right"/>
            </w:pPr>
            <w:r>
              <w:rPr>
                <w:rFonts w:ascii="Helvetica Neue" w:hAnsi="Helvetica Neue"/>
                <w:b w:val="0"/>
                <w:i w:val="0"/>
                <w:sz w:val="15"/>
              </w:rPr>
              <w:t>0.552</w:t>
            </w:r>
          </w:p>
        </w:tc>
      </w:tr>
      <w:tr>
        <w:tc>
          <w:tcPr>
            <w:tcW w:type="dxa" w:w="1021"/>
          </w:tcPr>
          <w:p>
            <w:pPr>
              <w:spacing w:after="0"/>
            </w:pPr>
            <w:r>
              <w:rPr>
                <w:rFonts w:ascii="Helvetica Neue" w:hAnsi="Helvetica Neue"/>
                <w:b w:val="0"/>
                <w:i w:val="0"/>
                <w:sz w:val="15"/>
              </w:rPr>
              <w:t>5</w:t>
            </w:r>
          </w:p>
        </w:tc>
        <w:tc>
          <w:tcPr>
            <w:tcW w:type="dxa" w:w="1021"/>
          </w:tcPr>
          <w:p>
            <w:pPr>
              <w:spacing w:after="0"/>
            </w:pPr>
            <w:r>
              <w:rPr>
                <w:rFonts w:ascii="Helvetica Neue" w:hAnsi="Helvetica Neue"/>
                <w:b w:val="0"/>
                <w:i w:val="0"/>
                <w:sz w:val="15"/>
              </w:rPr>
              <w:t>M. Braithwaite</w:t>
            </w:r>
          </w:p>
        </w:tc>
        <w:tc>
          <w:tcPr>
            <w:tcW w:type="dxa" w:w="1021"/>
          </w:tcPr>
          <w:p>
            <w:pPr>
              <w:spacing w:after="0"/>
            </w:pPr>
            <w:r>
              <w:rPr>
                <w:rFonts w:ascii="Helvetica Neue" w:hAnsi="Helvetica Neue"/>
                <w:b w:val="0"/>
                <w:i w:val="0"/>
                <w:sz w:val="15"/>
              </w:rPr>
              <w:t>Barcelona</w:t>
            </w:r>
          </w:p>
        </w:tc>
        <w:tc>
          <w:tcPr>
            <w:tcW w:type="dxa" w:w="1021"/>
          </w:tcPr>
          <w:p>
            <w:pPr>
              <w:spacing w:after="0"/>
            </w:pPr>
            <w:r>
              <w:rPr>
                <w:rFonts w:ascii="Helvetica Neue" w:hAnsi="Helvetica Neue"/>
                <w:b w:val="0"/>
                <w:i w:val="0"/>
                <w:sz w:val="15"/>
              </w:rPr>
              <w:t>Forward</w:t>
            </w:r>
          </w:p>
        </w:tc>
        <w:tc>
          <w:tcPr>
            <w:tcW w:type="dxa" w:w="1021"/>
          </w:tcPr>
          <w:p>
            <w:pPr>
              <w:spacing w:after="0"/>
              <w:jc w:val="right"/>
            </w:pPr>
            <w:r>
              <w:rPr>
                <w:rFonts w:ascii="Helvetica Neue" w:hAnsi="Helvetica Neue"/>
                <w:b w:val="0"/>
                <w:i w:val="0"/>
                <w:sz w:val="15"/>
              </w:rPr>
              <w:t>11.8</w:t>
            </w:r>
          </w:p>
        </w:tc>
        <w:tc>
          <w:tcPr>
            <w:tcW w:type="dxa" w:w="1021"/>
          </w:tcPr>
          <w:p>
            <w:pPr>
              <w:spacing w:after="0"/>
              <w:jc w:val="right"/>
            </w:pPr>
            <w:r>
              <w:rPr>
                <w:rFonts w:ascii="Helvetica Neue" w:hAnsi="Helvetica Neue"/>
                <w:b w:val="0"/>
                <w:i w:val="0"/>
                <w:sz w:val="15"/>
              </w:rPr>
              <w:t>12.2</w:t>
            </w:r>
          </w:p>
        </w:tc>
        <w:tc>
          <w:tcPr>
            <w:tcW w:type="dxa" w:w="1021"/>
          </w:tcPr>
          <w:p>
            <w:pPr>
              <w:spacing w:after="0"/>
              <w:jc w:val="right"/>
            </w:pPr>
            <w:r>
              <w:rPr>
                <w:rFonts w:ascii="Helvetica Neue" w:hAnsi="Helvetica Neue"/>
                <w:b w:val="0"/>
                <w:i w:val="0"/>
                <w:sz w:val="15"/>
              </w:rPr>
              <w:t>8.0</w:t>
            </w:r>
          </w:p>
        </w:tc>
        <w:tc>
          <w:tcPr>
            <w:tcW w:type="dxa" w:w="1021"/>
          </w:tcPr>
          <w:p>
            <w:pPr>
              <w:spacing w:after="0"/>
              <w:jc w:val="right"/>
            </w:pPr>
            <w:r>
              <w:rPr>
                <w:rFonts w:ascii="Helvetica Neue" w:hAnsi="Helvetica Neue"/>
                <w:b w:val="0"/>
                <w:i w:val="0"/>
                <w:sz w:val="15"/>
              </w:rPr>
              <w:t>1.11</w:t>
            </w:r>
          </w:p>
        </w:tc>
        <w:tc>
          <w:tcPr>
            <w:tcW w:type="dxa" w:w="1021"/>
          </w:tcPr>
          <w:p>
            <w:pPr>
              <w:spacing w:after="0"/>
              <w:jc w:val="right"/>
            </w:pPr>
            <w:r>
              <w:rPr>
                <w:rFonts w:ascii="Helvetica Neue" w:hAnsi="Helvetica Neue"/>
                <w:b w:val="0"/>
                <w:i w:val="0"/>
                <w:sz w:val="15"/>
              </w:rPr>
              <w:t>0.46</w:t>
            </w:r>
          </w:p>
        </w:tc>
        <w:tc>
          <w:tcPr>
            <w:tcW w:type="dxa" w:w="1021"/>
          </w:tcPr>
          <w:p>
            <w:pPr>
              <w:spacing w:after="0"/>
              <w:jc w:val="right"/>
            </w:pPr>
            <w:r>
              <w:rPr>
                <w:rFonts w:ascii="Helvetica Neue" w:hAnsi="Helvetica Neue"/>
                <w:b w:val="0"/>
                <w:i w:val="0"/>
                <w:sz w:val="15"/>
              </w:rPr>
              <w:t>0.519</w:t>
            </w:r>
          </w:p>
        </w:tc>
      </w:tr>
      <w:tr>
        <w:tc>
          <w:tcPr>
            <w:tcW w:type="dxa" w:w="1021"/>
          </w:tcPr>
          <w:p>
            <w:pPr>
              <w:spacing w:after="0"/>
            </w:pPr>
            <w:r>
              <w:rPr>
                <w:rFonts w:ascii="Helvetica Neue" w:hAnsi="Helvetica Neue"/>
                <w:b w:val="0"/>
                <w:i w:val="0"/>
                <w:sz w:val="15"/>
              </w:rPr>
              <w:t>6</w:t>
            </w:r>
          </w:p>
        </w:tc>
        <w:tc>
          <w:tcPr>
            <w:tcW w:type="dxa" w:w="1021"/>
          </w:tcPr>
          <w:p>
            <w:pPr>
              <w:spacing w:after="0"/>
            </w:pPr>
            <w:r>
              <w:rPr>
                <w:rFonts w:ascii="Helvetica Neue" w:hAnsi="Helvetica Neue"/>
                <w:b w:val="0"/>
                <w:i w:val="0"/>
                <w:sz w:val="15"/>
              </w:rPr>
              <w:t>J. Hofmann</w:t>
            </w:r>
          </w:p>
        </w:tc>
        <w:tc>
          <w:tcPr>
            <w:tcW w:type="dxa" w:w="1021"/>
          </w:tcPr>
          <w:p>
            <w:pPr>
              <w:spacing w:after="0"/>
            </w:pPr>
            <w:r>
              <w:rPr>
                <w:rFonts w:ascii="Helvetica Neue" w:hAnsi="Helvetica Neue"/>
                <w:b w:val="0"/>
                <w:i w:val="0"/>
                <w:sz w:val="15"/>
              </w:rPr>
              <w:t>Bayer Leverkusen</w:t>
            </w:r>
          </w:p>
        </w:tc>
        <w:tc>
          <w:tcPr>
            <w:tcW w:type="dxa" w:w="1021"/>
          </w:tcPr>
          <w:p>
            <w:pPr>
              <w:spacing w:after="0"/>
            </w:pPr>
            <w:r>
              <w:rPr>
                <w:rFonts w:ascii="Helvetica Neue" w:hAnsi="Helvetica Neue"/>
                <w:b w:val="0"/>
                <w:i w:val="0"/>
                <w:sz w:val="15"/>
              </w:rPr>
              <w:t>Right Att Mid</w:t>
            </w:r>
          </w:p>
        </w:tc>
        <w:tc>
          <w:tcPr>
            <w:tcW w:type="dxa" w:w="1021"/>
          </w:tcPr>
          <w:p>
            <w:pPr>
              <w:spacing w:after="0"/>
              <w:jc w:val="right"/>
            </w:pPr>
            <w:r>
              <w:rPr>
                <w:rFonts w:ascii="Helvetica Neue" w:hAnsi="Helvetica Neue"/>
                <w:b w:val="0"/>
                <w:i w:val="0"/>
                <w:sz w:val="15"/>
              </w:rPr>
              <w:t>25.2</w:t>
            </w:r>
          </w:p>
        </w:tc>
        <w:tc>
          <w:tcPr>
            <w:tcW w:type="dxa" w:w="1021"/>
          </w:tcPr>
          <w:p>
            <w:pPr>
              <w:spacing w:after="0"/>
              <w:jc w:val="right"/>
            </w:pPr>
            <w:r>
              <w:rPr>
                <w:rFonts w:ascii="Helvetica Neue" w:hAnsi="Helvetica Neue"/>
                <w:b w:val="0"/>
                <w:i w:val="0"/>
                <w:sz w:val="15"/>
              </w:rPr>
              <w:t>25.3</w:t>
            </w:r>
          </w:p>
        </w:tc>
        <w:tc>
          <w:tcPr>
            <w:tcW w:type="dxa" w:w="1021"/>
          </w:tcPr>
          <w:p>
            <w:pPr>
              <w:spacing w:after="0"/>
              <w:jc w:val="right"/>
            </w:pPr>
            <w:r>
              <w:rPr>
                <w:rFonts w:ascii="Helvetica Neue" w:hAnsi="Helvetica Neue"/>
                <w:b w:val="0"/>
                <w:i w:val="0"/>
                <w:sz w:val="15"/>
              </w:rPr>
              <w:t>10.8</w:t>
            </w:r>
          </w:p>
        </w:tc>
        <w:tc>
          <w:tcPr>
            <w:tcW w:type="dxa" w:w="1021"/>
          </w:tcPr>
          <w:p>
            <w:pPr>
              <w:spacing w:after="0"/>
              <w:jc w:val="right"/>
            </w:pPr>
            <w:r>
              <w:rPr>
                <w:rFonts w:ascii="Helvetica Neue" w:hAnsi="Helvetica Neue"/>
                <w:b w:val="0"/>
                <w:i w:val="0"/>
                <w:sz w:val="15"/>
              </w:rPr>
              <w:t>0.75</w:t>
            </w:r>
          </w:p>
        </w:tc>
        <w:tc>
          <w:tcPr>
            <w:tcW w:type="dxa" w:w="1021"/>
          </w:tcPr>
          <w:p>
            <w:pPr>
              <w:spacing w:after="0"/>
              <w:jc w:val="right"/>
            </w:pPr>
            <w:r>
              <w:rPr>
                <w:rFonts w:ascii="Helvetica Neue" w:hAnsi="Helvetica Neue"/>
                <w:b w:val="0"/>
                <w:i w:val="0"/>
                <w:sz w:val="15"/>
              </w:rPr>
              <w:t>0.40</w:t>
            </w:r>
          </w:p>
        </w:tc>
        <w:tc>
          <w:tcPr>
            <w:tcW w:type="dxa" w:w="1021"/>
          </w:tcPr>
          <w:p>
            <w:pPr>
              <w:spacing w:after="0"/>
              <w:jc w:val="right"/>
            </w:pPr>
            <w:r>
              <w:rPr>
                <w:rFonts w:ascii="Helvetica Neue" w:hAnsi="Helvetica Neue"/>
                <w:b w:val="0"/>
                <w:i w:val="0"/>
                <w:sz w:val="15"/>
              </w:rPr>
              <w:t>0.499</w:t>
            </w:r>
          </w:p>
        </w:tc>
      </w:tr>
      <w:tr>
        <w:tc>
          <w:tcPr>
            <w:tcW w:type="dxa" w:w="1021"/>
          </w:tcPr>
          <w:p>
            <w:pPr>
              <w:spacing w:after="0"/>
            </w:pPr>
            <w:r>
              <w:rPr>
                <w:rFonts w:ascii="Helvetica Neue" w:hAnsi="Helvetica Neue"/>
                <w:b w:val="0"/>
                <w:i w:val="0"/>
                <w:sz w:val="15"/>
              </w:rPr>
              <w:t>7</w:t>
            </w:r>
          </w:p>
        </w:tc>
        <w:tc>
          <w:tcPr>
            <w:tcW w:type="dxa" w:w="1021"/>
          </w:tcPr>
          <w:p>
            <w:pPr>
              <w:spacing w:after="0"/>
            </w:pPr>
            <w:r>
              <w:rPr>
                <w:rFonts w:ascii="Helvetica Neue" w:hAnsi="Helvetica Neue"/>
                <w:b w:val="0"/>
                <w:i w:val="0"/>
                <w:sz w:val="15"/>
              </w:rPr>
              <w:t>Neymar</w:t>
            </w:r>
          </w:p>
        </w:tc>
        <w:tc>
          <w:tcPr>
            <w:tcW w:type="dxa" w:w="1021"/>
          </w:tcPr>
          <w:p>
            <w:pPr>
              <w:spacing w:after="0"/>
            </w:pPr>
            <w:r>
              <w:rPr>
                <w:rFonts w:ascii="Helvetica Neue" w:hAnsi="Helvetica Neue"/>
                <w:b w:val="0"/>
                <w:i w:val="0"/>
                <w:sz w:val="15"/>
              </w:rPr>
              <w:t>Paris Saint-Germain</w:t>
            </w:r>
          </w:p>
        </w:tc>
        <w:tc>
          <w:tcPr>
            <w:tcW w:type="dxa" w:w="1021"/>
          </w:tcPr>
          <w:p>
            <w:pPr>
              <w:spacing w:after="0"/>
            </w:pPr>
            <w:r>
              <w:rPr>
                <w:rFonts w:ascii="Helvetica Neue" w:hAnsi="Helvetica Neue"/>
                <w:b w:val="0"/>
                <w:i w:val="0"/>
                <w:sz w:val="15"/>
              </w:rPr>
              <w:t>Left Wing</w:t>
            </w:r>
          </w:p>
        </w:tc>
        <w:tc>
          <w:tcPr>
            <w:tcW w:type="dxa" w:w="1021"/>
          </w:tcPr>
          <w:p>
            <w:pPr>
              <w:spacing w:after="0"/>
              <w:jc w:val="right"/>
            </w:pPr>
            <w:r>
              <w:rPr>
                <w:rFonts w:ascii="Helvetica Neue" w:hAnsi="Helvetica Neue"/>
                <w:b w:val="0"/>
                <w:i w:val="0"/>
                <w:sz w:val="15"/>
              </w:rPr>
              <w:t>31.7</w:t>
            </w:r>
          </w:p>
        </w:tc>
        <w:tc>
          <w:tcPr>
            <w:tcW w:type="dxa" w:w="1021"/>
          </w:tcPr>
          <w:p>
            <w:pPr>
              <w:spacing w:after="0"/>
              <w:jc w:val="right"/>
            </w:pPr>
            <w:r>
              <w:rPr>
                <w:rFonts w:ascii="Helvetica Neue" w:hAnsi="Helvetica Neue"/>
                <w:b w:val="0"/>
                <w:i w:val="0"/>
                <w:sz w:val="15"/>
              </w:rPr>
              <w:t>33.2</w:t>
            </w:r>
          </w:p>
        </w:tc>
        <w:tc>
          <w:tcPr>
            <w:tcW w:type="dxa" w:w="1021"/>
          </w:tcPr>
          <w:p>
            <w:pPr>
              <w:spacing w:after="0"/>
              <w:jc w:val="right"/>
            </w:pPr>
            <w:r>
              <w:rPr>
                <w:rFonts w:ascii="Helvetica Neue" w:hAnsi="Helvetica Neue"/>
                <w:b w:val="0"/>
                <w:i w:val="0"/>
                <w:sz w:val="15"/>
              </w:rPr>
              <w:t>13.5</w:t>
            </w:r>
          </w:p>
        </w:tc>
        <w:tc>
          <w:tcPr>
            <w:tcW w:type="dxa" w:w="1021"/>
          </w:tcPr>
          <w:p>
            <w:pPr>
              <w:spacing w:after="0"/>
              <w:jc w:val="right"/>
            </w:pPr>
            <w:r>
              <w:rPr>
                <w:rFonts w:ascii="Helvetica Neue" w:hAnsi="Helvetica Neue"/>
                <w:b w:val="0"/>
                <w:i w:val="0"/>
                <w:sz w:val="15"/>
              </w:rPr>
              <w:t>1.55</w:t>
            </w:r>
          </w:p>
        </w:tc>
        <w:tc>
          <w:tcPr>
            <w:tcW w:type="dxa" w:w="1021"/>
          </w:tcPr>
          <w:p>
            <w:pPr>
              <w:spacing w:after="0"/>
              <w:jc w:val="right"/>
            </w:pPr>
            <w:r>
              <w:rPr>
                <w:rFonts w:ascii="Helvetica Neue" w:hAnsi="Helvetica Neue"/>
                <w:b w:val="0"/>
                <w:i w:val="0"/>
                <w:sz w:val="15"/>
              </w:rPr>
              <w:t>0.40</w:t>
            </w:r>
          </w:p>
        </w:tc>
        <w:tc>
          <w:tcPr>
            <w:tcW w:type="dxa" w:w="1021"/>
          </w:tcPr>
          <w:p>
            <w:pPr>
              <w:spacing w:after="0"/>
              <w:jc w:val="right"/>
            </w:pPr>
            <w:r>
              <w:rPr>
                <w:rFonts w:ascii="Helvetica Neue" w:hAnsi="Helvetica Neue"/>
                <w:b w:val="0"/>
                <w:i w:val="0"/>
                <w:sz w:val="15"/>
              </w:rPr>
              <w:t>0.469</w:t>
            </w:r>
          </w:p>
        </w:tc>
      </w:tr>
      <w:tr>
        <w:tc>
          <w:tcPr>
            <w:tcW w:type="dxa" w:w="1021"/>
          </w:tcPr>
          <w:p>
            <w:pPr>
              <w:spacing w:after="0"/>
            </w:pPr>
            <w:r>
              <w:rPr>
                <w:rFonts w:ascii="Helvetica Neue" w:hAnsi="Helvetica Neue"/>
                <w:b w:val="0"/>
                <w:i w:val="0"/>
                <w:sz w:val="15"/>
              </w:rPr>
              <w:t>8</w:t>
            </w:r>
          </w:p>
        </w:tc>
        <w:tc>
          <w:tcPr>
            <w:tcW w:type="dxa" w:w="1021"/>
          </w:tcPr>
          <w:p>
            <w:pPr>
              <w:spacing w:after="0"/>
            </w:pPr>
            <w:r>
              <w:rPr>
                <w:rFonts w:ascii="Helvetica Neue" w:hAnsi="Helvetica Neue"/>
                <w:b w:val="0"/>
                <w:i w:val="0"/>
                <w:sz w:val="15"/>
              </w:rPr>
              <w:t>P. Schick</w:t>
            </w:r>
          </w:p>
        </w:tc>
        <w:tc>
          <w:tcPr>
            <w:tcW w:type="dxa" w:w="1021"/>
          </w:tcPr>
          <w:p>
            <w:pPr>
              <w:spacing w:after="0"/>
            </w:pPr>
            <w:r>
              <w:rPr>
                <w:rFonts w:ascii="Helvetica Neue" w:hAnsi="Helvetica Neue"/>
                <w:b w:val="0"/>
                <w:i w:val="0"/>
                <w:sz w:val="15"/>
              </w:rPr>
              <w:t>Bayer Leverkusen</w:t>
            </w:r>
          </w:p>
        </w:tc>
        <w:tc>
          <w:tcPr>
            <w:tcW w:type="dxa" w:w="1021"/>
          </w:tcPr>
          <w:p>
            <w:pPr>
              <w:spacing w:after="0"/>
            </w:pPr>
            <w:r>
              <w:rPr>
                <w:rFonts w:ascii="Helvetica Neue" w:hAnsi="Helvetica Neue"/>
                <w:b w:val="0"/>
                <w:i w:val="0"/>
                <w:sz w:val="15"/>
              </w:rPr>
              <w:t>Forward</w:t>
            </w:r>
          </w:p>
        </w:tc>
        <w:tc>
          <w:tcPr>
            <w:tcW w:type="dxa" w:w="1021"/>
          </w:tcPr>
          <w:p>
            <w:pPr>
              <w:spacing w:after="0"/>
              <w:jc w:val="right"/>
            </w:pPr>
            <w:r>
              <w:rPr>
                <w:rFonts w:ascii="Helvetica Neue" w:hAnsi="Helvetica Neue"/>
                <w:b w:val="0"/>
                <w:i w:val="0"/>
                <w:sz w:val="15"/>
              </w:rPr>
              <w:t>12.5</w:t>
            </w:r>
          </w:p>
        </w:tc>
        <w:tc>
          <w:tcPr>
            <w:tcW w:type="dxa" w:w="1021"/>
          </w:tcPr>
          <w:p>
            <w:pPr>
              <w:spacing w:after="0"/>
              <w:jc w:val="right"/>
            </w:pPr>
            <w:r>
              <w:rPr>
                <w:rFonts w:ascii="Helvetica Neue" w:hAnsi="Helvetica Neue"/>
                <w:b w:val="0"/>
                <w:i w:val="0"/>
                <w:sz w:val="15"/>
              </w:rPr>
              <w:t>9.8</w:t>
            </w:r>
          </w:p>
        </w:tc>
        <w:tc>
          <w:tcPr>
            <w:tcW w:type="dxa" w:w="1021"/>
          </w:tcPr>
          <w:p>
            <w:pPr>
              <w:spacing w:after="0"/>
              <w:jc w:val="right"/>
            </w:pPr>
            <w:r>
              <w:rPr>
                <w:rFonts w:ascii="Helvetica Neue" w:hAnsi="Helvetica Neue"/>
                <w:b w:val="0"/>
                <w:i w:val="0"/>
                <w:sz w:val="15"/>
              </w:rPr>
              <w:t>6.2</w:t>
            </w:r>
          </w:p>
        </w:tc>
        <w:tc>
          <w:tcPr>
            <w:tcW w:type="dxa" w:w="1021"/>
          </w:tcPr>
          <w:p>
            <w:pPr>
              <w:spacing w:after="0"/>
              <w:jc w:val="right"/>
            </w:pPr>
            <w:r>
              <w:rPr>
                <w:rFonts w:ascii="Helvetica Neue" w:hAnsi="Helvetica Neue"/>
                <w:b w:val="0"/>
                <w:i w:val="0"/>
                <w:sz w:val="15"/>
              </w:rPr>
              <w:t>0.80</w:t>
            </w:r>
          </w:p>
        </w:tc>
        <w:tc>
          <w:tcPr>
            <w:tcW w:type="dxa" w:w="1021"/>
          </w:tcPr>
          <w:p>
            <w:pPr>
              <w:spacing w:after="0"/>
              <w:jc w:val="right"/>
            </w:pPr>
            <w:r>
              <w:rPr>
                <w:rFonts w:ascii="Helvetica Neue" w:hAnsi="Helvetica Neue"/>
                <w:b w:val="0"/>
                <w:i w:val="0"/>
                <w:sz w:val="15"/>
              </w:rPr>
              <w:t>0.59</w:t>
            </w:r>
          </w:p>
        </w:tc>
        <w:tc>
          <w:tcPr>
            <w:tcW w:type="dxa" w:w="1021"/>
          </w:tcPr>
          <w:p>
            <w:pPr>
              <w:spacing w:after="0"/>
              <w:jc w:val="right"/>
            </w:pPr>
            <w:r>
              <w:rPr>
                <w:rFonts w:ascii="Helvetica Neue" w:hAnsi="Helvetica Neue"/>
                <w:b w:val="0"/>
                <w:i w:val="0"/>
                <w:sz w:val="15"/>
              </w:rPr>
              <w:t>0.459</w:t>
            </w:r>
          </w:p>
        </w:tc>
      </w:tr>
      <w:tr>
        <w:tc>
          <w:tcPr>
            <w:tcW w:type="dxa" w:w="1021"/>
          </w:tcPr>
          <w:p>
            <w:pPr>
              <w:spacing w:after="0"/>
            </w:pPr>
            <w:r>
              <w:rPr>
                <w:rFonts w:ascii="Helvetica Neue" w:hAnsi="Helvetica Neue"/>
                <w:b w:val="0"/>
                <w:i w:val="0"/>
                <w:sz w:val="15"/>
              </w:rPr>
              <w:t>9</w:t>
            </w:r>
          </w:p>
        </w:tc>
        <w:tc>
          <w:tcPr>
            <w:tcW w:type="dxa" w:w="1021"/>
          </w:tcPr>
          <w:p>
            <w:pPr>
              <w:spacing w:after="0"/>
            </w:pPr>
            <w:r>
              <w:rPr>
                <w:rFonts w:ascii="Helvetica Neue" w:hAnsi="Helvetica Neue"/>
                <w:b w:val="0"/>
                <w:i w:val="0"/>
                <w:sz w:val="15"/>
              </w:rPr>
              <w:t>H. Ekitike</w:t>
            </w:r>
          </w:p>
        </w:tc>
        <w:tc>
          <w:tcPr>
            <w:tcW w:type="dxa" w:w="1021"/>
          </w:tcPr>
          <w:p>
            <w:pPr>
              <w:spacing w:after="0"/>
            </w:pPr>
            <w:r>
              <w:rPr>
                <w:rFonts w:ascii="Helvetica Neue" w:hAnsi="Helvetica Neue"/>
                <w:b w:val="0"/>
                <w:i w:val="0"/>
                <w:sz w:val="15"/>
              </w:rPr>
              <w:t>Paris Saint-Germain</w:t>
            </w:r>
          </w:p>
        </w:tc>
        <w:tc>
          <w:tcPr>
            <w:tcW w:type="dxa" w:w="1021"/>
          </w:tcPr>
          <w:p>
            <w:pPr>
              <w:spacing w:after="0"/>
            </w:pPr>
            <w:r>
              <w:rPr>
                <w:rFonts w:ascii="Helvetica Neue" w:hAnsi="Helvetica Neue"/>
                <w:b w:val="0"/>
                <w:i w:val="0"/>
                <w:sz w:val="15"/>
              </w:rPr>
              <w:t>Forward</w:t>
            </w:r>
          </w:p>
        </w:tc>
        <w:tc>
          <w:tcPr>
            <w:tcW w:type="dxa" w:w="1021"/>
          </w:tcPr>
          <w:p>
            <w:pPr>
              <w:spacing w:after="0"/>
              <w:jc w:val="right"/>
            </w:pPr>
            <w:r>
              <w:rPr>
                <w:rFonts w:ascii="Helvetica Neue" w:hAnsi="Helvetica Neue"/>
                <w:b w:val="0"/>
                <w:i w:val="0"/>
                <w:sz w:val="15"/>
              </w:rPr>
              <w:t>11.4</w:t>
            </w:r>
          </w:p>
        </w:tc>
        <w:tc>
          <w:tcPr>
            <w:tcW w:type="dxa" w:w="1021"/>
          </w:tcPr>
          <w:p>
            <w:pPr>
              <w:spacing w:after="0"/>
              <w:jc w:val="right"/>
            </w:pPr>
            <w:r>
              <w:rPr>
                <w:rFonts w:ascii="Helvetica Neue" w:hAnsi="Helvetica Neue"/>
                <w:b w:val="0"/>
                <w:i w:val="0"/>
                <w:sz w:val="15"/>
              </w:rPr>
              <w:t>12.5</w:t>
            </w:r>
          </w:p>
        </w:tc>
        <w:tc>
          <w:tcPr>
            <w:tcW w:type="dxa" w:w="1021"/>
          </w:tcPr>
          <w:p>
            <w:pPr>
              <w:spacing w:after="0"/>
              <w:jc w:val="right"/>
            </w:pPr>
            <w:r>
              <w:rPr>
                <w:rFonts w:ascii="Helvetica Neue" w:hAnsi="Helvetica Neue"/>
                <w:b w:val="0"/>
                <w:i w:val="0"/>
                <w:sz w:val="15"/>
              </w:rPr>
              <w:t>6.9</w:t>
            </w:r>
          </w:p>
        </w:tc>
        <w:tc>
          <w:tcPr>
            <w:tcW w:type="dxa" w:w="1021"/>
          </w:tcPr>
          <w:p>
            <w:pPr>
              <w:spacing w:after="0"/>
              <w:jc w:val="right"/>
            </w:pPr>
            <w:r>
              <w:rPr>
                <w:rFonts w:ascii="Helvetica Neue" w:hAnsi="Helvetica Neue"/>
                <w:b w:val="0"/>
                <w:i w:val="0"/>
                <w:sz w:val="15"/>
              </w:rPr>
              <w:t>0.79</w:t>
            </w:r>
          </w:p>
        </w:tc>
        <w:tc>
          <w:tcPr>
            <w:tcW w:type="dxa" w:w="1021"/>
          </w:tcPr>
          <w:p>
            <w:pPr>
              <w:spacing w:after="0"/>
              <w:jc w:val="right"/>
            </w:pPr>
            <w:r>
              <w:rPr>
                <w:rFonts w:ascii="Helvetica Neue" w:hAnsi="Helvetica Neue"/>
                <w:b w:val="0"/>
                <w:i w:val="0"/>
                <w:sz w:val="15"/>
              </w:rPr>
              <w:t>0.52</w:t>
            </w:r>
          </w:p>
        </w:tc>
        <w:tc>
          <w:tcPr>
            <w:tcW w:type="dxa" w:w="1021"/>
          </w:tcPr>
          <w:p>
            <w:pPr>
              <w:spacing w:after="0"/>
              <w:jc w:val="right"/>
            </w:pPr>
            <w:r>
              <w:rPr>
                <w:rFonts w:ascii="Helvetica Neue" w:hAnsi="Helvetica Neue"/>
                <w:b w:val="0"/>
                <w:i w:val="0"/>
                <w:sz w:val="15"/>
              </w:rPr>
              <w:t>0.454</w:t>
            </w:r>
          </w:p>
        </w:tc>
      </w:tr>
      <w:tr>
        <w:tc>
          <w:tcPr>
            <w:tcW w:type="dxa" w:w="1021"/>
          </w:tcPr>
          <w:p>
            <w:pPr>
              <w:spacing w:after="0"/>
            </w:pPr>
            <w:r>
              <w:rPr>
                <w:rFonts w:ascii="Helvetica Neue" w:hAnsi="Helvetica Neue"/>
                <w:b w:val="0"/>
                <w:i w:val="0"/>
                <w:sz w:val="15"/>
              </w:rPr>
              <w:t>10</w:t>
            </w:r>
          </w:p>
        </w:tc>
        <w:tc>
          <w:tcPr>
            <w:tcW w:type="dxa" w:w="1021"/>
          </w:tcPr>
          <w:p>
            <w:pPr>
              <w:spacing w:after="0"/>
            </w:pPr>
            <w:r>
              <w:rPr>
                <w:rFonts w:ascii="Helvetica Neue" w:hAnsi="Helvetica Neue"/>
                <w:b w:val="0"/>
                <w:i w:val="0"/>
                <w:sz w:val="15"/>
              </w:rPr>
              <w:t>N. Tella</w:t>
            </w:r>
          </w:p>
        </w:tc>
        <w:tc>
          <w:tcPr>
            <w:tcW w:type="dxa" w:w="1021"/>
          </w:tcPr>
          <w:p>
            <w:pPr>
              <w:spacing w:after="0"/>
            </w:pPr>
            <w:r>
              <w:rPr>
                <w:rFonts w:ascii="Helvetica Neue" w:hAnsi="Helvetica Neue"/>
                <w:b w:val="0"/>
                <w:i w:val="0"/>
                <w:sz w:val="15"/>
              </w:rPr>
              <w:t>Bayer Leverkusen</w:t>
            </w:r>
          </w:p>
        </w:tc>
        <w:tc>
          <w:tcPr>
            <w:tcW w:type="dxa" w:w="1021"/>
          </w:tcPr>
          <w:p>
            <w:pPr>
              <w:spacing w:after="0"/>
            </w:pPr>
            <w:r>
              <w:rPr>
                <w:rFonts w:ascii="Helvetica Neue" w:hAnsi="Helvetica Neue"/>
                <w:b w:val="0"/>
                <w:i w:val="0"/>
                <w:sz w:val="15"/>
              </w:rPr>
              <w:t>RWB</w:t>
            </w:r>
          </w:p>
        </w:tc>
        <w:tc>
          <w:tcPr>
            <w:tcW w:type="dxa" w:w="1021"/>
          </w:tcPr>
          <w:p>
            <w:pPr>
              <w:spacing w:after="0"/>
              <w:jc w:val="right"/>
            </w:pPr>
            <w:r>
              <w:rPr>
                <w:rFonts w:ascii="Helvetica Neue" w:hAnsi="Helvetica Neue"/>
                <w:b w:val="0"/>
                <w:i w:val="0"/>
                <w:sz w:val="15"/>
              </w:rPr>
              <w:t>10.1</w:t>
            </w:r>
          </w:p>
        </w:tc>
        <w:tc>
          <w:tcPr>
            <w:tcW w:type="dxa" w:w="1021"/>
          </w:tcPr>
          <w:p>
            <w:pPr>
              <w:spacing w:after="0"/>
              <w:jc w:val="right"/>
            </w:pPr>
            <w:r>
              <w:rPr>
                <w:rFonts w:ascii="Helvetica Neue" w:hAnsi="Helvetica Neue"/>
                <w:b w:val="0"/>
                <w:i w:val="0"/>
                <w:sz w:val="15"/>
              </w:rPr>
              <w:t>11.2</w:t>
            </w:r>
          </w:p>
        </w:tc>
        <w:tc>
          <w:tcPr>
            <w:tcW w:type="dxa" w:w="1021"/>
          </w:tcPr>
          <w:p>
            <w:pPr>
              <w:spacing w:after="0"/>
              <w:jc w:val="right"/>
            </w:pPr>
            <w:r>
              <w:rPr>
                <w:rFonts w:ascii="Helvetica Neue" w:hAnsi="Helvetica Neue"/>
                <w:b w:val="0"/>
                <w:i w:val="0"/>
                <w:sz w:val="15"/>
              </w:rPr>
              <w:t>6.4</w:t>
            </w:r>
          </w:p>
        </w:tc>
        <w:tc>
          <w:tcPr>
            <w:tcW w:type="dxa" w:w="1021"/>
          </w:tcPr>
          <w:p>
            <w:pPr>
              <w:spacing w:after="0"/>
              <w:jc w:val="right"/>
            </w:pPr>
            <w:r>
              <w:rPr>
                <w:rFonts w:ascii="Helvetica Neue" w:hAnsi="Helvetica Neue"/>
                <w:b w:val="0"/>
                <w:i w:val="0"/>
                <w:sz w:val="15"/>
              </w:rPr>
              <w:t>1.09</w:t>
            </w:r>
          </w:p>
        </w:tc>
        <w:tc>
          <w:tcPr>
            <w:tcW w:type="dxa" w:w="1021"/>
          </w:tcPr>
          <w:p>
            <w:pPr>
              <w:spacing w:after="0"/>
              <w:jc w:val="right"/>
            </w:pPr>
            <w:r>
              <w:rPr>
                <w:rFonts w:ascii="Helvetica Neue" w:hAnsi="Helvetica Neue"/>
                <w:b w:val="0"/>
                <w:i w:val="0"/>
                <w:sz w:val="15"/>
              </w:rPr>
              <w:t>0.19</w:t>
            </w:r>
          </w:p>
        </w:tc>
        <w:tc>
          <w:tcPr>
            <w:tcW w:type="dxa" w:w="1021"/>
          </w:tcPr>
          <w:p>
            <w:pPr>
              <w:spacing w:after="0"/>
              <w:jc w:val="right"/>
            </w:pPr>
            <w:r>
              <w:rPr>
                <w:rFonts w:ascii="Helvetica Neue" w:hAnsi="Helvetica Neue"/>
                <w:b w:val="0"/>
                <w:i w:val="0"/>
                <w:sz w:val="15"/>
              </w:rPr>
              <w:t>0.343</w:t>
            </w:r>
          </w:p>
        </w:tc>
      </w:tr>
    </w:tbl>
    <w:p>
      <w:pPr>
        <w:spacing w:after="40"/>
      </w:pPr>
    </w:p>
    <w:p>
      <w:pPr>
        <w:spacing w:after="80"/>
      </w:pPr>
      <w:r>
        <w:rPr>
          <w:rFonts w:ascii="Helvetica Neue" w:hAnsi="Helvetica Neue"/>
          <w:b w:val="0"/>
          <w:i w:val="0"/>
          <w:color w:val="5F6672"/>
          <w:sz w:val="15"/>
        </w:rPr>
        <w:t>Enclosed share = mean angular encirclement on receipt (1 = defenders on all sides, 0 = a completely clear side). F3 = final third.</w:t>
      </w:r>
    </w:p>
    <w:p>
      <w:pPr>
        <w:spacing w:before="160" w:after="60"/>
      </w:pPr>
      <w:r>
        <w:rPr>
          <w:rFonts w:ascii="Helvetica Neue" w:hAnsi="Helvetica Neue"/>
          <w:b/>
          <w:color w:val="5B4FD6"/>
          <w:sz w:val="22"/>
        </w:rPr>
        <w:t>5  One run, in detail</w:t>
      </w:r>
    </w:p>
    <w:tbl>
      <w:tblPr>
        <w:tblW w:type="auto" w:w="0"/>
        <w:tblLook w:firstColumn="1" w:firstRow="1" w:lastColumn="0" w:lastRow="0" w:noHBand="0" w:noVBand="1" w:val="04A0"/>
      </w:tblPr>
      <w:tblGrid>
        <w:gridCol w:w="5040"/>
        <w:gridCol w:w="5184"/>
      </w:tblGrid>
      <w:tr>
        <w:tc>
          <w:tcPr>
            <w:tcW w:type="dxa" w:w="5103"/>
          </w:tcPr>
          <w:p>
            <w:r>
              <w:drawing>
                <wp:inline xmlns:a="http://schemas.openxmlformats.org/drawingml/2006/main" xmlns:pic="http://schemas.openxmlformats.org/drawingml/2006/picture">
                  <wp:extent cx="3108960" cy="2797654"/>
                  <wp:docPr id="2" name="Picture 2"/>
                  <wp:cNvGraphicFramePr>
                    <a:graphicFrameLocks noChangeAspect="1"/>
                  </wp:cNvGraphicFramePr>
                  <a:graphic>
                    <a:graphicData uri="http://schemas.openxmlformats.org/drawingml/2006/picture">
                      <pic:pic>
                        <pic:nvPicPr>
                          <pic:cNvPr id="0" name="fig_mbappe_run.png"/>
                          <pic:cNvPicPr/>
                        </pic:nvPicPr>
                        <pic:blipFill>
                          <a:blip r:embed="rId10"/>
                          <a:stretch>
                            <a:fillRect/>
                          </a:stretch>
                        </pic:blipFill>
                        <pic:spPr>
                          <a:xfrm>
                            <a:off x="0" y="0"/>
                            <a:ext cx="3108960" cy="2797654"/>
                          </a:xfrm>
                          <a:prstGeom prst="rect"/>
                        </pic:spPr>
                      </pic:pic>
                    </a:graphicData>
                  </a:graphic>
                </wp:inline>
              </w:drawing>
            </w:r>
          </w:p>
        </w:tc>
        <w:tc>
          <w:tcPr>
            <w:tcW w:type="dxa" w:w="5103"/>
          </w:tcPr>
          <w:p>
            <w:pPr>
              <w:spacing w:after="80"/>
            </w:pPr>
            <w:r>
              <w:rPr>
                <w:rFonts w:ascii="Helvetica Neue" w:hAnsi="Helvetica Neue"/>
                <w:b w:val="0"/>
                <w:i w:val="0"/>
                <w:sz w:val="18"/>
              </w:rPr>
              <w:t>Ghosted dots are where everyone stood when the pass was struck; solid dots where they stood when it arrived. Gold is the ball, green dotted is the run.</w:t>
            </w:r>
          </w:p>
          <w:p>
            <w:pPr>
              <w:spacing w:after="80"/>
            </w:pPr>
            <w:r>
              <w:rPr>
                <w:rFonts w:ascii="Helvetica Neue" w:hAnsi="Helvetica Neue"/>
                <w:b w:val="0"/>
                <w:i w:val="0"/>
                <w:sz w:val="18"/>
              </w:rPr>
              <w:t xml:space="preserve">Mbappé starts </w:t>
            </w:r>
            <w:r>
              <w:rPr>
                <w:rFonts w:ascii="Helvetica Neue" w:hAnsi="Helvetica Neue"/>
                <w:b/>
                <w:i w:val="0"/>
                <w:sz w:val="18"/>
              </w:rPr>
              <w:t>outside the box</w:t>
            </w:r>
            <w:r>
              <w:rPr>
                <w:rFonts w:ascii="Helvetica Neue" w:hAnsi="Helvetica Neue"/>
                <w:b w:val="0"/>
                <w:i w:val="0"/>
                <w:sz w:val="18"/>
              </w:rPr>
              <w:t xml:space="preserve"> at the moment of release and arrives on the penalty spot 16.2 m later, with </w:t>
            </w:r>
            <w:r>
              <w:rPr>
                <w:rFonts w:ascii="Helvetica Neue" w:hAnsi="Helvetica Neue"/>
                <w:b/>
                <w:i w:val="0"/>
                <w:sz w:val="18"/>
              </w:rPr>
              <w:t>four defenders</w:t>
            </w:r>
            <w:r>
              <w:rPr>
                <w:rFonts w:ascii="Helvetica Neue" w:hAnsi="Helvetica Neue"/>
                <w:b w:val="0"/>
                <w:i w:val="0"/>
                <w:sz w:val="18"/>
              </w:rPr>
              <w:t xml:space="preserve"> around him — encirclement 0.63, i.e. almost no clear side. The possession produces </w:t>
            </w:r>
            <w:r>
              <w:rPr>
                <w:rFonts w:ascii="Helvetica Neue" w:hAnsi="Helvetica Neue"/>
                <w:b/>
                <w:i w:val="0"/>
                <w:sz w:val="18"/>
              </w:rPr>
              <w:t>0.70 xG within five seconds</w:t>
            </w:r>
            <w:r>
              <w:rPr>
                <w:rFonts w:ascii="Helvetica Neue" w:hAnsi="Helvetica Neue"/>
                <w:b w:val="0"/>
                <w:i w:val="0"/>
                <w:sz w:val="18"/>
              </w:rPr>
              <w:t>.</w:t>
            </w:r>
          </w:p>
          <w:p>
            <w:pPr>
              <w:spacing w:after="80"/>
            </w:pPr>
            <w:r>
              <w:rPr>
                <w:rFonts w:ascii="Helvetica Neue" w:hAnsi="Helvetica Neue"/>
                <w:b w:val="0"/>
                <w:i w:val="0"/>
                <w:sz w:val="18"/>
              </w:rPr>
              <w:t>This is what event data cannot see. A model given only the ball's start and end sees a 16 m pass into a crowd; a model given the freeze-frames sees a striker manufacturing the one gap that made it a chance.</w:t>
            </w:r>
          </w:p>
        </w:tc>
      </w:tr>
    </w:tbl>
    <w:p>
      <w:pPr>
        <w:spacing w:before="160" w:after="60"/>
      </w:pPr>
      <w:r>
        <w:rPr>
          <w:rFonts w:ascii="Helvetica Neue" w:hAnsi="Helvetica Neue"/>
          <w:b/>
          <w:color w:val="5B4FD6"/>
          <w:sz w:val="22"/>
        </w:rPr>
        <w:t>6  Validation</w:t>
      </w:r>
    </w:p>
    <w:p>
      <w:pPr>
        <w:spacing w:after="80"/>
      </w:pPr>
      <w:r>
        <w:rPr>
          <w:rFonts w:ascii="Helvetica Neue" w:hAnsi="Helvetica Neue"/>
          <w:b/>
          <w:i w:val="0"/>
          <w:sz w:val="18"/>
        </w:rPr>
        <w:t>Nested structure.</w:t>
      </w:r>
      <w:r>
        <w:rPr>
          <w:rFonts w:ascii="Helvetica Neue" w:hAnsi="Helvetica Neue"/>
          <w:b w:val="0"/>
          <w:i w:val="0"/>
          <w:sz w:val="18"/>
        </w:rPr>
        <w:t xml:space="preserve"> Events sit inside possessions inside matches, so a random split leaks — two events from one possession are near-duplicates. All folds are </w:t>
      </w:r>
      <w:r>
        <w:rPr>
          <w:rFonts w:ascii="Menlo" w:hAnsi="Menlo"/>
          <w:b w:val="0"/>
          <w:i w:val="0"/>
          <w:sz w:val="16"/>
        </w:rPr>
        <w:t>GroupKFold</w:t>
      </w:r>
      <w:r>
        <w:rPr>
          <w:rFonts w:ascii="Helvetica Neue" w:hAnsi="Helvetica Neue"/>
          <w:b w:val="0"/>
          <w:i w:val="0"/>
          <w:sz w:val="18"/>
        </w:rPr>
        <w:t xml:space="preserve"> on </w:t>
      </w:r>
      <w:r>
        <w:rPr>
          <w:rFonts w:ascii="Menlo" w:hAnsi="Menlo"/>
          <w:b w:val="0"/>
          <w:i w:val="0"/>
          <w:sz w:val="16"/>
        </w:rPr>
        <w:t>match_id</w:t>
      </w:r>
      <w:r>
        <w:rPr>
          <w:rFonts w:ascii="Helvetica Neue" w:hAnsi="Helvetica Neue"/>
          <w:b w:val="0"/>
          <w:i w:val="0"/>
          <w:sz w:val="18"/>
        </w:rPr>
        <w:t>; every number quoted is out-of-fold.</w:t>
      </w:r>
    </w:p>
    <w:p>
      <w:pPr>
        <w:spacing w:after="80"/>
      </w:pPr>
      <w:r>
        <w:rPr>
          <w:rFonts w:ascii="Helvetica Neue" w:hAnsi="Helvetica Neue"/>
          <w:b/>
          <w:i w:val="0"/>
          <w:sz w:val="18"/>
        </w:rPr>
        <w:t>Does 360 earn its keep?</w:t>
      </w:r>
      <w:r>
        <w:rPr>
          <w:rFonts w:ascii="Helvetica Neue" w:hAnsi="Helvetica Neue"/>
          <w:b w:val="0"/>
          <w:i w:val="0"/>
          <w:sz w:val="18"/>
        </w:rPr>
        <w:t xml:space="preserve"> The honest test is not "with vs without 360" — the runner's own position </w:t>
      </w:r>
      <w:r>
        <w:rPr>
          <w:rFonts w:ascii="Helvetica Neue" w:hAnsi="Helvetica Neue"/>
          <w:b w:val="0"/>
          <w:i/>
          <w:sz w:val="18"/>
        </w:rPr>
        <w:t>is</w:t>
      </w:r>
      <w:r>
        <w:rPr>
          <w:rFonts w:ascii="Helvetica Neue" w:hAnsi="Helvetica Neue"/>
          <w:b w:val="0"/>
          <w:i w:val="0"/>
          <w:sz w:val="18"/>
        </w:rPr>
        <w:t xml:space="preserve"> a 360 feature, so a naive baseline smuggles it in. Instead, four nested tiers on identical rows and folds:</w:t>
      </w:r>
    </w:p>
    <w:tbl>
      <w:tblPr>
        <w:tblStyle w:val="TableGrid"/>
        <w:tblW w:type="auto" w:w="0"/>
        <w:tblLook w:firstColumn="1" w:firstRow="1" w:lastColumn="0" w:lastRow="0" w:noHBand="0" w:noVBand="1" w:val="04A0"/>
      </w:tblPr>
      <w:tblGrid>
        <w:gridCol w:w="1701"/>
        <w:gridCol w:w="1701"/>
        <w:gridCol w:w="1701"/>
        <w:gridCol w:w="1701"/>
        <w:gridCol w:w="1701"/>
        <w:gridCol w:w="1701"/>
      </w:tblGrid>
      <w:tr>
        <w:tc>
          <w:tcPr>
            <w:tcW w:type="dxa" w:w="1701"/>
            <w:shd w:val="clear" w:fill="EFEFF6"/>
          </w:tcPr>
          <w:p>
            <w:pPr>
              <w:spacing w:after="0"/>
            </w:pPr>
            <w:r>
              <w:rPr>
                <w:rFonts w:ascii="Helvetica Neue" w:hAnsi="Helvetica Neue"/>
                <w:b/>
                <w:sz w:val="14"/>
              </w:rPr>
              <w:t>Feature tier</w:t>
            </w:r>
          </w:p>
        </w:tc>
        <w:tc>
          <w:tcPr>
            <w:tcW w:type="dxa" w:w="1701"/>
            <w:shd w:val="clear" w:fill="EFEFF6"/>
          </w:tcPr>
          <w:p>
            <w:pPr>
              <w:spacing w:after="0"/>
              <w:jc w:val="right"/>
            </w:pPr>
            <w:r>
              <w:rPr>
                <w:rFonts w:ascii="Helvetica Neue" w:hAnsi="Helvetica Neue"/>
                <w:b/>
                <w:sz w:val="14"/>
              </w:rPr>
              <w:t>n</w:t>
            </w:r>
          </w:p>
        </w:tc>
        <w:tc>
          <w:tcPr>
            <w:tcW w:type="dxa" w:w="1701"/>
            <w:shd w:val="clear" w:fill="EFEFF6"/>
          </w:tcPr>
          <w:p>
            <w:pPr>
              <w:spacing w:after="0"/>
              <w:jc w:val="right"/>
            </w:pPr>
            <w:r>
              <w:rPr>
                <w:rFonts w:ascii="Helvetica Neue" w:hAnsi="Helvetica Neue"/>
                <w:b/>
                <w:sz w:val="14"/>
              </w:rPr>
              <w:t>AUC</w:t>
            </w:r>
          </w:p>
        </w:tc>
        <w:tc>
          <w:tcPr>
            <w:tcW w:type="dxa" w:w="1701"/>
            <w:shd w:val="clear" w:fill="EFEFF6"/>
          </w:tcPr>
          <w:p>
            <w:pPr>
              <w:spacing w:after="0"/>
              <w:jc w:val="right"/>
            </w:pPr>
            <w:r>
              <w:rPr>
                <w:rFonts w:ascii="Helvetica Neue" w:hAnsi="Helvetica Neue"/>
                <w:b/>
                <w:sz w:val="14"/>
              </w:rPr>
              <w:t>Brier</w:t>
            </w:r>
          </w:p>
        </w:tc>
        <w:tc>
          <w:tcPr>
            <w:tcW w:type="dxa" w:w="1701"/>
            <w:shd w:val="clear" w:fill="EFEFF6"/>
          </w:tcPr>
          <w:p>
            <w:pPr>
              <w:spacing w:after="0"/>
              <w:jc w:val="right"/>
            </w:pPr>
            <w:r>
              <w:rPr>
                <w:rFonts w:ascii="Helvetica Neue" w:hAnsi="Helvetica Neue"/>
                <w:b/>
                <w:sz w:val="14"/>
              </w:rPr>
              <w:t>Gain</w:t>
            </w:r>
          </w:p>
        </w:tc>
        <w:tc>
          <w:tcPr>
            <w:tcW w:type="dxa" w:w="1701"/>
            <w:shd w:val="clear" w:fill="EFEFF6"/>
          </w:tcPr>
          <w:p>
            <w:pPr>
              <w:spacing w:after="0"/>
            </w:pPr>
            <w:r>
              <w:rPr>
                <w:rFonts w:ascii="Helvetica Neue" w:hAnsi="Helvetica Neue"/>
                <w:b/>
                <w:sz w:val="14"/>
              </w:rPr>
              <w:t>What it adds</w:t>
            </w:r>
          </w:p>
        </w:tc>
      </w:tr>
      <w:tr>
        <w:tc>
          <w:tcPr>
            <w:tcW w:type="dxa" w:w="1701"/>
          </w:tcPr>
          <w:p>
            <w:pPr>
              <w:spacing w:after="0"/>
            </w:pPr>
            <w:r>
              <w:rPr>
                <w:rFonts w:ascii="Helvetica Neue" w:hAnsi="Helvetica Neue"/>
                <w:b w:val="0"/>
                <w:i w:val="0"/>
                <w:sz w:val="15"/>
              </w:rPr>
              <w:t>1. Event data only</w:t>
            </w:r>
          </w:p>
        </w:tc>
        <w:tc>
          <w:tcPr>
            <w:tcW w:type="dxa" w:w="1701"/>
          </w:tcPr>
          <w:p>
            <w:pPr>
              <w:spacing w:after="0"/>
              <w:jc w:val="right"/>
            </w:pPr>
            <w:r>
              <w:rPr>
                <w:rFonts w:ascii="Helvetica Neue" w:hAnsi="Helvetica Neue"/>
                <w:b w:val="0"/>
                <w:i w:val="0"/>
                <w:sz w:val="15"/>
              </w:rPr>
              <w:t>3</w:t>
            </w:r>
          </w:p>
        </w:tc>
        <w:tc>
          <w:tcPr>
            <w:tcW w:type="dxa" w:w="1701"/>
          </w:tcPr>
          <w:p>
            <w:pPr>
              <w:spacing w:after="0"/>
              <w:jc w:val="right"/>
            </w:pPr>
            <w:r>
              <w:rPr>
                <w:rFonts w:ascii="Helvetica Neue" w:hAnsi="Helvetica Neue"/>
                <w:b w:val="0"/>
                <w:i w:val="0"/>
                <w:sz w:val="15"/>
              </w:rPr>
              <w:t>0.9238</w:t>
            </w:r>
          </w:p>
        </w:tc>
        <w:tc>
          <w:tcPr>
            <w:tcW w:type="dxa" w:w="1701"/>
          </w:tcPr>
          <w:p>
            <w:pPr>
              <w:spacing w:after="0"/>
              <w:jc w:val="right"/>
            </w:pPr>
            <w:r>
              <w:rPr>
                <w:rFonts w:ascii="Helvetica Neue" w:hAnsi="Helvetica Neue"/>
                <w:b w:val="0"/>
                <w:i w:val="0"/>
                <w:sz w:val="15"/>
              </w:rPr>
              <w:t>0.0260</w:t>
            </w:r>
          </w:p>
        </w:tc>
        <w:tc>
          <w:tcPr>
            <w:tcW w:type="dxa" w:w="1701"/>
          </w:tcPr>
          <w:p>
            <w:pPr>
              <w:spacing w:after="0"/>
              <w:jc w:val="right"/>
            </w:pPr>
            <w:r>
              <w:rPr>
                <w:rFonts w:ascii="Helvetica Neue" w:hAnsi="Helvetica Neue"/>
                <w:b w:val="0"/>
                <w:i w:val="0"/>
                <w:sz w:val="15"/>
              </w:rPr>
              <w:t>—</w:t>
            </w:r>
          </w:p>
        </w:tc>
        <w:tc>
          <w:tcPr>
            <w:tcW w:type="dxa" w:w="1701"/>
          </w:tcPr>
          <w:p>
            <w:pPr>
              <w:spacing w:after="0"/>
            </w:pPr>
            <w:r>
              <w:rPr>
                <w:rFonts w:ascii="Helvetica Neue" w:hAnsi="Helvetica Neue"/>
                <w:b w:val="0"/>
                <w:i w:val="0"/>
                <w:sz w:val="15"/>
              </w:rPr>
              <w:t>what event data alone can see</w:t>
            </w:r>
          </w:p>
        </w:tc>
      </w:tr>
      <w:tr>
        <w:tc>
          <w:tcPr>
            <w:tcW w:type="dxa" w:w="1701"/>
          </w:tcPr>
          <w:p>
            <w:pPr>
              <w:spacing w:after="0"/>
            </w:pPr>
            <w:r>
              <w:rPr>
                <w:rFonts w:ascii="Helvetica Neue" w:hAnsi="Helvetica Neue"/>
                <w:b w:val="0"/>
                <w:i w:val="0"/>
                <w:sz w:val="15"/>
              </w:rPr>
              <w:t>2. + where the runner is</w:t>
            </w:r>
          </w:p>
        </w:tc>
        <w:tc>
          <w:tcPr>
            <w:tcW w:type="dxa" w:w="1701"/>
          </w:tcPr>
          <w:p>
            <w:pPr>
              <w:spacing w:after="0"/>
              <w:jc w:val="right"/>
            </w:pPr>
            <w:r>
              <w:rPr>
                <w:rFonts w:ascii="Helvetica Neue" w:hAnsi="Helvetica Neue"/>
                <w:b w:val="0"/>
                <w:i w:val="0"/>
                <w:sz w:val="15"/>
              </w:rPr>
              <w:t>7</w:t>
            </w:r>
          </w:p>
        </w:tc>
        <w:tc>
          <w:tcPr>
            <w:tcW w:type="dxa" w:w="1701"/>
          </w:tcPr>
          <w:p>
            <w:pPr>
              <w:spacing w:after="0"/>
              <w:jc w:val="right"/>
            </w:pPr>
            <w:r>
              <w:rPr>
                <w:rFonts w:ascii="Helvetica Neue" w:hAnsi="Helvetica Neue"/>
                <w:b w:val="0"/>
                <w:i w:val="0"/>
                <w:sz w:val="15"/>
              </w:rPr>
              <w:t>0.9375</w:t>
            </w:r>
          </w:p>
        </w:tc>
        <w:tc>
          <w:tcPr>
            <w:tcW w:type="dxa" w:w="1701"/>
          </w:tcPr>
          <w:p>
            <w:pPr>
              <w:spacing w:after="0"/>
              <w:jc w:val="right"/>
            </w:pPr>
            <w:r>
              <w:rPr>
                <w:rFonts w:ascii="Helvetica Neue" w:hAnsi="Helvetica Neue"/>
                <w:b w:val="0"/>
                <w:i w:val="0"/>
                <w:sz w:val="15"/>
              </w:rPr>
              <w:t>0.0244</w:t>
            </w:r>
          </w:p>
        </w:tc>
        <w:tc>
          <w:tcPr>
            <w:tcW w:type="dxa" w:w="1701"/>
          </w:tcPr>
          <w:p>
            <w:pPr>
              <w:spacing w:after="0"/>
              <w:jc w:val="right"/>
            </w:pPr>
            <w:r>
              <w:rPr>
                <w:rFonts w:ascii="Helvetica Neue" w:hAnsi="Helvetica Neue"/>
                <w:b w:val="0"/>
                <w:i w:val="0"/>
                <w:sz w:val="15"/>
              </w:rPr>
              <w:t>+0.0137</w:t>
            </w:r>
          </w:p>
        </w:tc>
        <w:tc>
          <w:tcPr>
            <w:tcW w:type="dxa" w:w="1701"/>
          </w:tcPr>
          <w:p>
            <w:pPr>
              <w:spacing w:after="0"/>
            </w:pPr>
            <w:r>
              <w:rPr>
                <w:rFonts w:ascii="Helvetica Neue" w:hAnsi="Helvetica Neue"/>
                <w:b w:val="0"/>
                <w:i w:val="0"/>
                <w:sz w:val="15"/>
              </w:rPr>
              <w:t>the runner's own position, from 360</w:t>
            </w:r>
          </w:p>
        </w:tc>
      </w:tr>
      <w:tr>
        <w:tc>
          <w:tcPr>
            <w:tcW w:type="dxa" w:w="1701"/>
          </w:tcPr>
          <w:p>
            <w:pPr>
              <w:spacing w:after="0"/>
            </w:pPr>
            <w:r>
              <w:rPr>
                <w:rFonts w:ascii="Helvetica Neue" w:hAnsi="Helvetica Neue"/>
                <w:b w:val="0"/>
                <w:i w:val="0"/>
                <w:sz w:val="15"/>
              </w:rPr>
              <w:t>3. + defensive structure</w:t>
            </w:r>
          </w:p>
        </w:tc>
        <w:tc>
          <w:tcPr>
            <w:tcW w:type="dxa" w:w="1701"/>
          </w:tcPr>
          <w:p>
            <w:pPr>
              <w:spacing w:after="0"/>
              <w:jc w:val="right"/>
            </w:pPr>
            <w:r>
              <w:rPr>
                <w:rFonts w:ascii="Helvetica Neue" w:hAnsi="Helvetica Neue"/>
                <w:b w:val="0"/>
                <w:i w:val="0"/>
                <w:sz w:val="15"/>
              </w:rPr>
              <w:t>12</w:t>
            </w:r>
          </w:p>
        </w:tc>
        <w:tc>
          <w:tcPr>
            <w:tcW w:type="dxa" w:w="1701"/>
          </w:tcPr>
          <w:p>
            <w:pPr>
              <w:spacing w:after="0"/>
              <w:jc w:val="right"/>
            </w:pPr>
            <w:r>
              <w:rPr>
                <w:rFonts w:ascii="Helvetica Neue" w:hAnsi="Helvetica Neue"/>
                <w:b w:val="0"/>
                <w:i w:val="0"/>
                <w:sz w:val="15"/>
              </w:rPr>
              <w:t>0.9444</w:t>
            </w:r>
          </w:p>
        </w:tc>
        <w:tc>
          <w:tcPr>
            <w:tcW w:type="dxa" w:w="1701"/>
          </w:tcPr>
          <w:p>
            <w:pPr>
              <w:spacing w:after="0"/>
              <w:jc w:val="right"/>
            </w:pPr>
            <w:r>
              <w:rPr>
                <w:rFonts w:ascii="Helvetica Neue" w:hAnsi="Helvetica Neue"/>
                <w:b w:val="0"/>
                <w:i w:val="0"/>
                <w:sz w:val="15"/>
              </w:rPr>
              <w:t>0.0238</w:t>
            </w:r>
          </w:p>
        </w:tc>
        <w:tc>
          <w:tcPr>
            <w:tcW w:type="dxa" w:w="1701"/>
          </w:tcPr>
          <w:p>
            <w:pPr>
              <w:spacing w:after="0"/>
              <w:jc w:val="right"/>
            </w:pPr>
            <w:r>
              <w:rPr>
                <w:rFonts w:ascii="Helvetica Neue" w:hAnsi="Helvetica Neue"/>
                <w:b w:val="0"/>
                <w:i w:val="0"/>
                <w:sz w:val="15"/>
              </w:rPr>
              <w:t>+0.0069</w:t>
            </w:r>
          </w:p>
        </w:tc>
        <w:tc>
          <w:tcPr>
            <w:tcW w:type="dxa" w:w="1701"/>
          </w:tcPr>
          <w:p>
            <w:pPr>
              <w:spacing w:after="0"/>
            </w:pPr>
            <w:r>
              <w:rPr>
                <w:rFonts w:ascii="Helvetica Neue" w:hAnsi="Helvetica Neue"/>
                <w:b w:val="0"/>
                <w:i w:val="0"/>
                <w:sz w:val="15"/>
              </w:rPr>
              <w:t>where the defenders are</w:t>
            </w:r>
          </w:p>
        </w:tc>
      </w:tr>
      <w:tr>
        <w:tc>
          <w:tcPr>
            <w:tcW w:type="dxa" w:w="1701"/>
          </w:tcPr>
          <w:p>
            <w:pPr>
              <w:spacing w:after="0"/>
            </w:pPr>
            <w:r>
              <w:rPr>
                <w:rFonts w:ascii="Helvetica Neue" w:hAnsi="Helvetica Neue"/>
                <w:b w:val="0"/>
                <w:i w:val="0"/>
                <w:sz w:val="15"/>
              </w:rPr>
              <w:t>4. + compactness / encirclement</w:t>
            </w:r>
          </w:p>
        </w:tc>
        <w:tc>
          <w:tcPr>
            <w:tcW w:type="dxa" w:w="1701"/>
          </w:tcPr>
          <w:p>
            <w:pPr>
              <w:spacing w:after="0"/>
              <w:jc w:val="right"/>
            </w:pPr>
            <w:r>
              <w:rPr>
                <w:rFonts w:ascii="Helvetica Neue" w:hAnsi="Helvetica Neue"/>
                <w:b w:val="0"/>
                <w:i w:val="0"/>
                <w:sz w:val="15"/>
              </w:rPr>
              <w:t>16</w:t>
            </w:r>
          </w:p>
        </w:tc>
        <w:tc>
          <w:tcPr>
            <w:tcW w:type="dxa" w:w="1701"/>
          </w:tcPr>
          <w:p>
            <w:pPr>
              <w:spacing w:after="0"/>
              <w:jc w:val="right"/>
            </w:pPr>
            <w:r>
              <w:rPr>
                <w:rFonts w:ascii="Helvetica Neue" w:hAnsi="Helvetica Neue"/>
                <w:b w:val="0"/>
                <w:i w:val="0"/>
                <w:sz w:val="15"/>
              </w:rPr>
              <w:t>0.9450</w:t>
            </w:r>
          </w:p>
        </w:tc>
        <w:tc>
          <w:tcPr>
            <w:tcW w:type="dxa" w:w="1701"/>
          </w:tcPr>
          <w:p>
            <w:pPr>
              <w:spacing w:after="0"/>
              <w:jc w:val="right"/>
            </w:pPr>
            <w:r>
              <w:rPr>
                <w:rFonts w:ascii="Helvetica Neue" w:hAnsi="Helvetica Neue"/>
                <w:b w:val="0"/>
                <w:i w:val="0"/>
                <w:sz w:val="15"/>
              </w:rPr>
              <w:t>0.0238</w:t>
            </w:r>
          </w:p>
        </w:tc>
        <w:tc>
          <w:tcPr>
            <w:tcW w:type="dxa" w:w="1701"/>
          </w:tcPr>
          <w:p>
            <w:pPr>
              <w:spacing w:after="0"/>
              <w:jc w:val="right"/>
            </w:pPr>
            <w:r>
              <w:rPr>
                <w:rFonts w:ascii="Helvetica Neue" w:hAnsi="Helvetica Neue"/>
                <w:b w:val="0"/>
                <w:i w:val="0"/>
                <w:sz w:val="15"/>
              </w:rPr>
              <w:t>+0.0006</w:t>
            </w:r>
          </w:p>
        </w:tc>
        <w:tc>
          <w:tcPr>
            <w:tcW w:type="dxa" w:w="1701"/>
          </w:tcPr>
          <w:p>
            <w:pPr>
              <w:spacing w:after="0"/>
            </w:pPr>
            <w:r>
              <w:rPr>
                <w:rFonts w:ascii="Helvetica Neue" w:hAnsi="Helvetica Neue"/>
                <w:b w:val="0"/>
                <w:i w:val="0"/>
                <w:sz w:val="15"/>
              </w:rPr>
              <w:t>shape of the block (negligible)</w:t>
            </w:r>
          </w:p>
        </w:tc>
      </w:tr>
    </w:tbl>
    <w:p>
      <w:pPr>
        <w:spacing w:after="40"/>
      </w:pPr>
    </w:p>
    <w:p>
      <w:pPr>
        <w:spacing w:after="80"/>
      </w:pPr>
      <w:r>
        <w:rPr>
          <w:rFonts w:ascii="Helvetica Neue" w:hAnsi="Helvetica Neue"/>
          <w:b w:val="0"/>
          <w:i w:val="0"/>
          <w:sz w:val="18"/>
        </w:rPr>
        <w:t xml:space="preserve">Tier 1→3 is the real 360 contribution: </w:t>
      </w:r>
      <w:r>
        <w:rPr>
          <w:rFonts w:ascii="Helvetica Neue" w:hAnsi="Helvetica Neue"/>
          <w:b/>
          <w:i w:val="0"/>
          <w:sz w:val="18"/>
        </w:rPr>
        <w:t>+0.0212 AUC</w:t>
      </w:r>
      <w:r>
        <w:rPr>
          <w:rFonts w:ascii="Helvetica Neue" w:hAnsi="Helvetica Neue"/>
          <w:b w:val="0"/>
          <w:i w:val="0"/>
          <w:sz w:val="18"/>
        </w:rPr>
        <w:t xml:space="preserve">. Tier 4 is </w:t>
      </w:r>
      <w:r>
        <w:rPr>
          <w:rFonts w:ascii="Helvetica Neue" w:hAnsi="Helvetica Neue"/>
          <w:b/>
          <w:i w:val="0"/>
          <w:sz w:val="18"/>
        </w:rPr>
        <w:t>+0.0006</w:t>
      </w:r>
      <w:r>
        <w:rPr>
          <w:rFonts w:ascii="Helvetica Neue" w:hAnsi="Helvetica Neue"/>
          <w:b w:val="0"/>
          <w:i w:val="0"/>
          <w:sz w:val="18"/>
        </w:rPr>
        <w:t xml:space="preserve"> — a null result, reported rather than dropped. Separately, the run features add </w:t>
      </w:r>
      <w:r>
        <w:rPr>
          <w:rFonts w:ascii="Helvetica Neue" w:hAnsi="Helvetica Neue"/>
          <w:b/>
          <w:i w:val="0"/>
          <w:sz w:val="18"/>
        </w:rPr>
        <w:t>+0.0197 AUC</w:t>
      </w:r>
      <w:r>
        <w:rPr>
          <w:rFonts w:ascii="Helvetica Neue" w:hAnsi="Helvetica Neue"/>
          <w:b w:val="0"/>
          <w:i w:val="0"/>
          <w:sz w:val="18"/>
        </w:rPr>
        <w:t xml:space="preserve"> over context alone (0.7806 → 0.8002) on the progression target. </w:t>
      </w:r>
      <w:r>
        <w:rPr>
          <w:rFonts w:ascii="Helvetica Neue" w:hAnsi="Helvetica Neue"/>
          <w:b/>
          <w:i w:val="0"/>
          <w:sz w:val="18"/>
        </w:rPr>
        <w:t>Calibration:</w:t>
      </w:r>
      <w:r>
        <w:rPr>
          <w:rFonts w:ascii="Helvetica Neue" w:hAnsi="Helvetica Neue"/>
          <w:b w:val="0"/>
          <w:i w:val="0"/>
          <w:sz w:val="18"/>
        </w:rPr>
        <w:t xml:space="preserve"> out-of-fold Brier 0.0238 against a 3.3% base rate, and predicted vs observed track closely across all ten deciles (figures in the repo).</w:t>
      </w:r>
    </w:p>
    <w:p>
      <w:pPr>
        <w:spacing w:before="160" w:after="60"/>
      </w:pPr>
      <w:r>
        <w:rPr>
          <w:rFonts w:ascii="Helvetica Neue" w:hAnsi="Helvetica Neue"/>
          <w:b/>
          <w:color w:val="5B4FD6"/>
          <w:sz w:val="22"/>
        </w:rPr>
        <w:t>7  Say it two ways</w:t>
      </w:r>
    </w:p>
    <w:tbl>
      <w:tblPr>
        <w:tblStyle w:val="TableGrid"/>
        <w:tblW w:type="auto" w:w="0"/>
        <w:tblLook w:firstColumn="1" w:firstRow="1" w:lastColumn="0" w:lastRow="0" w:noHBand="0" w:noVBand="1" w:val="04A0"/>
      </w:tblPr>
      <w:tblGrid>
        <w:gridCol w:w="5103"/>
        <w:gridCol w:w="5103"/>
      </w:tblGrid>
      <w:tr>
        <w:tc>
          <w:tcPr>
            <w:tcW w:type="dxa" w:w="5103"/>
          </w:tcPr>
          <w:p>
            <w:pPr>
              <w:spacing w:after="60"/>
            </w:pPr>
            <w:r>
              <w:rPr>
                <w:rFonts w:ascii="Helvetica Neue" w:hAnsi="Helvetica Neue"/>
                <w:b/>
                <w:color w:val="5B4FD6"/>
                <w:sz w:val="19"/>
              </w:rPr>
              <w:t>To a sporting director (~200 words)</w:t>
            </w:r>
          </w:p>
          <w:p>
            <w:pPr>
              <w:spacing w:after="80"/>
            </w:pPr>
            <w:r>
              <w:rPr>
                <w:rFonts w:ascii="Helvetica Neue" w:hAnsi="Helvetica Neue"/>
                <w:b w:val="0"/>
                <w:i w:val="0"/>
                <w:sz w:val="17"/>
              </w:rPr>
              <w:t xml:space="preserve">We can now put a number on something we could previously only describe: what a player's running </w:t>
            </w:r>
            <w:r>
              <w:rPr>
                <w:rFonts w:ascii="Helvetica Neue" w:hAnsi="Helvetica Neue"/>
                <w:b w:val="0"/>
                <w:i/>
                <w:sz w:val="17"/>
              </w:rPr>
              <w:t>without</w:t>
            </w:r>
            <w:r>
              <w:rPr>
                <w:rFonts w:ascii="Helvetica Neue" w:hAnsi="Helvetica Neue"/>
                <w:b w:val="0"/>
                <w:i w:val="0"/>
                <w:sz w:val="17"/>
              </w:rPr>
              <w:t xml:space="preserve"> the ball is worth.</w:t>
            </w:r>
          </w:p>
          <w:p>
            <w:pPr>
              <w:spacing w:after="80"/>
            </w:pPr>
            <w:r>
              <w:rPr>
                <w:rFonts w:ascii="Helvetica Neue" w:hAnsi="Helvetica Neue"/>
                <w:b w:val="0"/>
                <w:i w:val="0"/>
                <w:sz w:val="17"/>
              </w:rPr>
              <w:t xml:space="preserve">For every pass in our sample we can see where all twenty-two players stood when the ball was struck, and again when it arrived. That lets us rebuild the run the receiver made to get there and ask one question: how much more likely did a shot become because of the </w:t>
            </w:r>
            <w:r>
              <w:rPr>
                <w:rFonts w:ascii="Helvetica Neue" w:hAnsi="Helvetica Neue"/>
                <w:b w:val="0"/>
                <w:i/>
                <w:sz w:val="17"/>
              </w:rPr>
              <w:t>way</w:t>
            </w:r>
            <w:r>
              <w:rPr>
                <w:rFonts w:ascii="Helvetica Neue" w:hAnsi="Helvetica Neue"/>
                <w:b w:val="0"/>
                <w:i w:val="0"/>
                <w:sz w:val="17"/>
              </w:rPr>
              <w:t xml:space="preserve"> he moved, rather than simply because of where the ball ended up?</w:t>
            </w:r>
          </w:p>
          <w:p>
            <w:pPr>
              <w:spacing w:after="80"/>
            </w:pPr>
            <w:r>
              <w:rPr>
                <w:rFonts w:ascii="Helvetica Neue" w:hAnsi="Helvetica Neue"/>
                <w:b w:val="0"/>
                <w:i w:val="0"/>
                <w:sz w:val="17"/>
              </w:rPr>
              <w:t xml:space="preserve">Mbappé finishes top, which tells you the method isn't broken but doesn't tell you anything you'd pay for. The name worth your time is </w:t>
            </w:r>
            <w:r>
              <w:rPr>
                <w:rFonts w:ascii="Helvetica Neue" w:hAnsi="Helvetica Neue"/>
                <w:b/>
                <w:i w:val="0"/>
                <w:sz w:val="17"/>
              </w:rPr>
              <w:t>Victor Boniface</w:t>
            </w:r>
            <w:r>
              <w:rPr>
                <w:rFonts w:ascii="Helvetica Neue" w:hAnsi="Helvetica Neue"/>
                <w:b w:val="0"/>
                <w:i w:val="0"/>
                <w:sz w:val="17"/>
              </w:rPr>
              <w:t>. He is second on this list on roughly a fifth of Mbappé's minutes, and he does it while receiving in the most crowded areas of anyone near the top — more than half his receptions come with defenders closing him from most sides. That is a specific and buyable habit: a forward who will still move into a packed box, and whose movement makes the pass playable.</w:t>
            </w:r>
          </w:p>
          <w:p>
            <w:pPr>
              <w:spacing w:after="80"/>
            </w:pPr>
            <w:r>
              <w:rPr>
                <w:rFonts w:ascii="Helvetica Neue" w:hAnsi="Helvetica Neue"/>
                <w:b w:val="0"/>
                <w:i w:val="0"/>
                <w:sz w:val="17"/>
              </w:rPr>
              <w:t>How much would I bet? Enough to put him on a shortlist and watch him properly. Not enough to price a bid on this alone — the sample is three clubs, and below the leading names the order shifts depending on which outcome we ask about.</w:t>
            </w:r>
          </w:p>
        </w:tc>
        <w:tc>
          <w:tcPr>
            <w:tcW w:type="dxa" w:w="5103"/>
          </w:tcPr>
          <w:p>
            <w:pPr>
              <w:spacing w:after="60"/>
            </w:pPr>
            <w:r>
              <w:rPr>
                <w:rFonts w:ascii="Helvetica Neue" w:hAnsi="Helvetica Neue"/>
                <w:b/>
                <w:color w:val="5B4FD6"/>
                <w:sz w:val="19"/>
              </w:rPr>
              <w:t>To the data team (2–3 sentences)</w:t>
            </w:r>
          </w:p>
          <w:p>
            <w:pPr>
              <w:spacing w:after="80"/>
            </w:pPr>
            <w:r>
              <w:rPr>
                <w:rFonts w:ascii="Helvetica Neue" w:hAnsi="Helvetica Neue"/>
                <w:b w:val="0"/>
                <w:i w:val="0"/>
                <w:sz w:val="17"/>
              </w:rPr>
              <w:t xml:space="preserve">Run Value is an ablation quantity: the out-of-fold gain in P(shot ≤ 5s) once the model can see </w:t>
            </w:r>
            <w:r>
              <w:rPr>
                <w:rFonts w:ascii="Helvetica Neue" w:hAnsi="Helvetica Neue"/>
                <w:b w:val="0"/>
                <w:i/>
                <w:sz w:val="17"/>
              </w:rPr>
              <w:t>how</w:t>
            </w:r>
            <w:r>
              <w:rPr>
                <w:rFonts w:ascii="Helvetica Neue" w:hAnsi="Helvetica Neue"/>
                <w:b w:val="0"/>
                <w:i w:val="0"/>
                <w:sz w:val="17"/>
              </w:rPr>
              <w:t xml:space="preserve"> the player moved, on top of a context model that already has ball location, receipt location and defensive structure — so it is information gain about the manner of movement, not a probability, and it will not sum to goals.</w:t>
            </w:r>
          </w:p>
          <w:p>
            <w:pPr>
              <w:spacing w:after="80"/>
            </w:pPr>
            <w:r>
              <w:rPr>
                <w:rFonts w:ascii="Helvetica Neue" w:hAnsi="Helvetica Neue"/>
                <w:b w:val="0"/>
                <w:i w:val="0"/>
                <w:sz w:val="17"/>
              </w:rPr>
              <w:t xml:space="preserve">Folds are </w:t>
            </w:r>
            <w:r>
              <w:rPr>
                <w:rFonts w:ascii="Menlo" w:hAnsi="Menlo"/>
                <w:b w:val="0"/>
                <w:i w:val="0"/>
                <w:sz w:val="16"/>
              </w:rPr>
              <w:t>GroupKFold</w:t>
            </w:r>
            <w:r>
              <w:rPr>
                <w:rFonts w:ascii="Helvetica Neue" w:hAnsi="Helvetica Neue"/>
                <w:b w:val="0"/>
                <w:i w:val="0"/>
                <w:sz w:val="17"/>
              </w:rPr>
              <w:t xml:space="preserve"> on </w:t>
            </w:r>
            <w:r>
              <w:rPr>
                <w:rFonts w:ascii="Menlo" w:hAnsi="Menlo"/>
                <w:b w:val="0"/>
                <w:i w:val="0"/>
                <w:sz w:val="16"/>
              </w:rPr>
              <w:t>match_id</w:t>
            </w:r>
            <w:r>
              <w:rPr>
                <w:rFonts w:ascii="Helvetica Neue" w:hAnsi="Helvetica Neue"/>
                <w:b w:val="0"/>
                <w:i w:val="0"/>
                <w:sz w:val="17"/>
              </w:rPr>
              <w:t>; the 360 tiers are worth +0.0212 AUC over event-only features on identical rows and folds, and out-of-fold predictions are calibrated (Brier 0.0238 on a 3.3% base rate).</w:t>
            </w:r>
          </w:p>
          <w:p>
            <w:pPr>
              <w:spacing w:after="80"/>
            </w:pPr>
            <w:r>
              <w:rPr>
                <w:rFonts w:ascii="Helvetica Neue" w:hAnsi="Helvetica Neue"/>
                <w:b w:val="0"/>
                <w:i w:val="0"/>
                <w:sz w:val="17"/>
              </w:rPr>
              <w:t>What would make me trust it more: a counterfactual attribution that holds the ball and the defenders fixed and moves only the runner, because the current quantity is target-sensitive — three of four target definitions I tested reorder the leaderboard, which is a property of information-gain metrics rather than a bug, but it needs pinning down before anyone scouts off it.</w:t>
            </w:r>
          </w:p>
        </w:tc>
      </w:tr>
    </w:tbl>
    <w:p>
      <w:pPr>
        <w:spacing w:after="40"/>
      </w:pPr>
    </w:p>
    <w:p>
      <w:pPr>
        <w:spacing w:before="160" w:after="60"/>
      </w:pPr>
      <w:r>
        <w:rPr>
          <w:rFonts w:ascii="Helvetica Neue" w:hAnsi="Helvetica Neue"/>
          <w:b/>
          <w:color w:val="5B4FD6"/>
          <w:sz w:val="22"/>
        </w:rPr>
        <w:t>8  What I used, and what I rejected</w:t>
      </w:r>
    </w:p>
    <w:tbl>
      <w:tblPr>
        <w:tblW w:type="auto" w:w="0"/>
        <w:tblLook w:firstColumn="1" w:firstRow="1" w:lastColumn="0" w:lastRow="0" w:noHBand="0" w:noVBand="1" w:val="04A0"/>
      </w:tblPr>
      <w:tblGrid>
        <w:gridCol w:w="5103"/>
        <w:gridCol w:w="5103"/>
      </w:tblGrid>
      <w:tr>
        <w:tc>
          <w:tcPr>
            <w:tcW w:type="dxa" w:w="5103"/>
          </w:tcPr>
          <w:p>
            <w:pPr>
              <w:spacing w:after="60"/>
            </w:pPr>
            <w:r>
              <w:rPr>
                <w:rFonts w:ascii="Helvetica Neue" w:hAnsi="Helvetica Neue"/>
                <w:b/>
                <w:sz w:val="19"/>
              </w:rPr>
              <w:t>Kept</w:t>
            </w:r>
          </w:p>
          <w:p>
            <w:pPr>
              <w:pStyle w:val="ListBullet"/>
              <w:spacing w:after="80"/>
            </w:pPr>
            <w:r>
              <w:rPr>
                <w:rFonts w:ascii="Helvetica Neue" w:hAnsi="Helvetica Neue"/>
                <w:b/>
                <w:i w:val="0"/>
                <w:sz w:val="17"/>
              </w:rPr>
              <w:t>Ball Receipt freeze-frames.</w:t>
            </w:r>
            <w:r>
              <w:rPr>
                <w:rFonts w:ascii="Helvetica Neue" w:hAnsi="Helvetica Neue"/>
                <w:b w:val="0"/>
                <w:i w:val="0"/>
                <w:sz w:val="17"/>
              </w:rPr>
              <w:t xml:space="preserve"> The receiver is tagged </w:t>
            </w:r>
            <w:r>
              <w:rPr>
                <w:rFonts w:ascii="Menlo" w:hAnsi="Menlo"/>
                <w:b w:val="0"/>
                <w:i w:val="0"/>
                <w:sz w:val="16"/>
              </w:rPr>
              <w:t>actor</w:t>
            </w:r>
            <w:r>
              <w:rPr>
                <w:rFonts w:ascii="Helvetica Neue" w:hAnsi="Helvetica Neue"/>
                <w:b w:val="0"/>
                <w:i w:val="0"/>
                <w:sz w:val="17"/>
              </w:rPr>
              <w:t xml:space="preserve"> — the only route to the runner's identity.</w:t>
            </w:r>
          </w:p>
          <w:p>
            <w:pPr>
              <w:pStyle w:val="ListBullet"/>
              <w:spacing w:after="80"/>
            </w:pPr>
            <w:r>
              <w:rPr>
                <w:rFonts w:ascii="Helvetica Neue" w:hAnsi="Helvetica Neue"/>
                <w:b/>
                <w:i w:val="0"/>
                <w:sz w:val="17"/>
              </w:rPr>
              <w:t>Nearest-teammate origin with a speed gate.</w:t>
            </w:r>
            <w:r>
              <w:rPr>
                <w:rFonts w:ascii="Helvetica Neue" w:hAnsi="Helvetica Neue"/>
                <w:b w:val="0"/>
                <w:i w:val="0"/>
                <w:sz w:val="17"/>
              </w:rPr>
              <w:t xml:space="preserve"> Frames are anonymous; the gate keeps physically impossible matches out.</w:t>
            </w:r>
          </w:p>
          <w:p>
            <w:pPr>
              <w:pStyle w:val="ListBullet"/>
              <w:spacing w:after="80"/>
            </w:pPr>
            <w:r>
              <w:rPr>
                <w:rFonts w:ascii="Helvetica Neue" w:hAnsi="Helvetica Neue"/>
                <w:b/>
                <w:i w:val="0"/>
                <w:sz w:val="17"/>
              </w:rPr>
              <w:t>LightGBM.</w:t>
            </w:r>
            <w:r>
              <w:rPr>
                <w:rFonts w:ascii="Helvetica Neue" w:hAnsi="Helvetica Neue"/>
                <w:b w:val="0"/>
                <w:i w:val="0"/>
                <w:sz w:val="17"/>
              </w:rPr>
              <w:t xml:space="preserve"> Tabular, non-linear, handles the mixed feature scales; the relationships here (distance, angle, congestion) are not linear.</w:t>
            </w:r>
          </w:p>
          <w:p>
            <w:pPr>
              <w:pStyle w:val="ListBullet"/>
              <w:spacing w:after="80"/>
            </w:pPr>
            <w:r>
              <w:rPr>
                <w:rFonts w:ascii="Helvetica Neue" w:hAnsi="Helvetica Neue"/>
                <w:b/>
                <w:i w:val="0"/>
                <w:sz w:val="17"/>
              </w:rPr>
              <w:t>Angular encirclement</w:t>
            </w:r>
            <w:r>
              <w:rPr>
                <w:rFonts w:ascii="Helvetica Neue" w:hAnsi="Helvetica Neue"/>
                <w:b w:val="0"/>
                <w:i w:val="0"/>
                <w:sz w:val="17"/>
              </w:rPr>
              <w:t xml:space="preserve"> over defender counts — </w:t>
            </w:r>
            <w:r>
              <w:rPr>
                <w:rFonts w:ascii="Helvetica Neue" w:hAnsi="Helvetica Neue"/>
                <w:b w:val="0"/>
                <w:i/>
                <w:sz w:val="17"/>
              </w:rPr>
              <w:t>where</w:t>
            </w:r>
            <w:r>
              <w:rPr>
                <w:rFonts w:ascii="Helvetica Neue" w:hAnsi="Helvetica Neue"/>
                <w:b w:val="0"/>
                <w:i w:val="0"/>
                <w:sz w:val="17"/>
              </w:rPr>
              <w:t xml:space="preserve"> the defenders are beats </w:t>
            </w:r>
            <w:r>
              <w:rPr>
                <w:rFonts w:ascii="Helvetica Neue" w:hAnsi="Helvetica Neue"/>
                <w:b w:val="0"/>
                <w:i/>
                <w:sz w:val="17"/>
              </w:rPr>
              <w:t>how many</w:t>
            </w:r>
            <w:r>
              <w:rPr>
                <w:rFonts w:ascii="Helvetica Neue" w:hAnsi="Helvetica Neue"/>
                <w:b w:val="0"/>
                <w:i w:val="0"/>
                <w:sz w:val="17"/>
              </w:rPr>
              <w:t>.</w:t>
            </w:r>
          </w:p>
          <w:p>
            <w:pPr>
              <w:pStyle w:val="ListBullet"/>
              <w:spacing w:after="80"/>
            </w:pPr>
            <w:r>
              <w:rPr>
                <w:rFonts w:ascii="Helvetica Neue" w:hAnsi="Helvetica Neue"/>
                <w:b/>
                <w:i w:val="0"/>
                <w:sz w:val="17"/>
              </w:rPr>
              <w:t>Final-third restriction</w:t>
            </w:r>
            <w:r>
              <w:rPr>
                <w:rFonts w:ascii="Helvetica Neue" w:hAnsi="Helvetica Neue"/>
                <w:b w:val="0"/>
                <w:i w:val="0"/>
                <w:sz w:val="17"/>
              </w:rPr>
              <w:t xml:space="preserve"> to stop rewarding informative-but-harmless movement.</w:t>
            </w:r>
          </w:p>
        </w:tc>
        <w:tc>
          <w:tcPr>
            <w:tcW w:type="dxa" w:w="5103"/>
          </w:tcPr>
          <w:p>
            <w:pPr>
              <w:spacing w:after="60"/>
            </w:pPr>
            <w:r>
              <w:rPr>
                <w:rFonts w:ascii="Helvetica Neue" w:hAnsi="Helvetica Neue"/>
                <w:b/>
                <w:sz w:val="19"/>
              </w:rPr>
              <w:t>Rejected, and why</w:t>
            </w:r>
          </w:p>
          <w:p>
            <w:pPr>
              <w:pStyle w:val="ListBullet"/>
              <w:spacing w:after="80"/>
            </w:pPr>
            <w:r>
              <w:rPr>
                <w:rFonts w:ascii="Helvetica Neue" w:hAnsi="Helvetica Neue"/>
                <w:b/>
                <w:i w:val="0"/>
                <w:sz w:val="17"/>
              </w:rPr>
              <w:t>socceraction / VAEP off the shelf.</w:t>
            </w:r>
            <w:r>
              <w:rPr>
                <w:rFonts w:ascii="Helvetica Neue" w:hAnsi="Helvetica Neue"/>
                <w:b w:val="0"/>
                <w:i w:val="0"/>
                <w:sz w:val="17"/>
              </w:rPr>
              <w:t xml:space="preserve"> The point was to define the target myself; using it as a black box is the failure mode named in the brief.</w:t>
            </w:r>
          </w:p>
          <w:p>
            <w:pPr>
              <w:pStyle w:val="ListBullet"/>
              <w:spacing w:after="80"/>
            </w:pPr>
            <w:r>
              <w:rPr>
                <w:rFonts w:ascii="Helvetica Neue" w:hAnsi="Helvetica Neue"/>
                <w:b/>
                <w:i w:val="0"/>
                <w:sz w:val="17"/>
              </w:rPr>
              <w:t>Defender counts within 10 m.</w:t>
            </w:r>
            <w:r>
              <w:rPr>
                <w:rFonts w:ascii="Helvetica Neue" w:hAnsi="Helvetica Neue"/>
                <w:b w:val="0"/>
                <w:i w:val="0"/>
                <w:sz w:val="17"/>
              </w:rPr>
              <w:t xml:space="preserve"> Collinear with the geometry features, no incremental lift.</w:t>
            </w:r>
          </w:p>
          <w:p>
            <w:pPr>
              <w:pStyle w:val="ListBullet"/>
              <w:spacing w:after="80"/>
            </w:pPr>
            <w:r>
              <w:rPr>
                <w:rFonts w:ascii="Helvetica Neue" w:hAnsi="Helvetica Neue"/>
                <w:b/>
                <w:i w:val="0"/>
                <w:sz w:val="17"/>
              </w:rPr>
              <w:t>Compactness tier.</w:t>
            </w:r>
            <w:r>
              <w:rPr>
                <w:rFonts w:ascii="Helvetica Neue" w:hAnsi="Helvetica Neue"/>
                <w:b w:val="0"/>
                <w:i w:val="0"/>
                <w:sz w:val="17"/>
              </w:rPr>
              <w:t xml:space="preserve"> +0.0006 AUC — kept in the report as a null, not in the metric.</w:t>
            </w:r>
          </w:p>
          <w:p>
            <w:pPr>
              <w:pStyle w:val="ListBullet"/>
              <w:spacing w:after="80"/>
            </w:pPr>
            <w:r>
              <w:rPr>
                <w:rFonts w:ascii="Helvetica Neue" w:hAnsi="Helvetica Neue"/>
                <w:b/>
                <w:i w:val="0"/>
                <w:sz w:val="17"/>
              </w:rPr>
              <w:t>Plain ΔV as the player metric.</w:t>
            </w:r>
            <w:r>
              <w:rPr>
                <w:rFonts w:ascii="Helvetica Neue" w:hAnsi="Helvetica Neue"/>
                <w:b w:val="0"/>
                <w:i w:val="0"/>
                <w:sz w:val="17"/>
              </w:rPr>
              <w:t xml:space="preserve"> It is joint with the pass; corr(ΔV, ball forward) exceeded corr(ΔV, run forward), so it partly ranked passers.</w:t>
            </w:r>
          </w:p>
          <w:p>
            <w:pPr>
              <w:pStyle w:val="ListBullet"/>
              <w:spacing w:after="80"/>
            </w:pPr>
            <w:r>
              <w:rPr>
                <w:rFonts w:ascii="Helvetica Neue" w:hAnsi="Helvetica Neue"/>
                <w:b/>
                <w:i w:val="0"/>
                <w:sz w:val="17"/>
              </w:rPr>
              <w:t>Pitch control / velocity models.</w:t>
            </w:r>
            <w:r>
              <w:rPr>
                <w:rFonts w:ascii="Helvetica Neue" w:hAnsi="Helvetica Neue"/>
                <w:b w:val="0"/>
                <w:i w:val="0"/>
                <w:sz w:val="17"/>
              </w:rPr>
              <w:t xml:space="preserve"> Freeze-frames have positions but no velocities.</w:t>
            </w:r>
          </w:p>
          <w:p>
            <w:pPr>
              <w:pStyle w:val="ListBullet"/>
              <w:spacing w:after="80"/>
            </w:pPr>
            <w:r>
              <w:rPr>
                <w:rFonts w:ascii="Helvetica Neue" w:hAnsi="Helvetica Neue"/>
                <w:b/>
                <w:i w:val="0"/>
                <w:sz w:val="17"/>
              </w:rPr>
              <w:t>World Cup 2022.</w:t>
            </w:r>
            <w:r>
              <w:rPr>
                <w:rFonts w:ascii="Helvetica Neue" w:hAnsi="Helvetica Neue"/>
                <w:b w:val="0"/>
                <w:i w:val="0"/>
                <w:sz w:val="17"/>
              </w:rPr>
              <w:t xml:space="preserve"> Too few matches per player for a rate metric.</w:t>
            </w:r>
          </w:p>
        </w:tc>
      </w:tr>
    </w:tbl>
    <w:p>
      <w:pPr>
        <w:spacing w:after="40"/>
      </w:pPr>
    </w:p>
    <w:p>
      <w:pPr>
        <w:spacing w:before="160" w:after="60"/>
      </w:pPr>
      <w:r>
        <w:rPr>
          <w:rFonts w:ascii="Helvetica Neue" w:hAnsi="Helvetica Neue"/>
          <w:b/>
          <w:color w:val="5B4FD6"/>
          <w:sz w:val="22"/>
        </w:rPr>
        <w:t>9  What breaks it</w:t>
      </w:r>
    </w:p>
    <w:p>
      <w:pPr>
        <w:spacing w:after="80"/>
      </w:pPr>
      <w:r>
        <w:rPr>
          <w:rFonts w:ascii="Helvetica Neue" w:hAnsi="Helvetica Neue"/>
          <w:b/>
          <w:i w:val="0"/>
          <w:sz w:val="18"/>
        </w:rPr>
        <w:t>The one that matters.</w:t>
      </w:r>
      <w:r>
        <w:rPr>
          <w:rFonts w:ascii="Helvetica Neue" w:hAnsi="Helvetica Neue"/>
          <w:b w:val="0"/>
          <w:i w:val="0"/>
          <w:sz w:val="18"/>
        </w:rPr>
        <w:t xml:space="preserve"> The metric is </w:t>
      </w:r>
      <w:r>
        <w:rPr>
          <w:rFonts w:ascii="Helvetica Neue" w:hAnsi="Helvetica Neue"/>
          <w:b/>
          <w:i w:val="0"/>
          <w:sz w:val="18"/>
        </w:rPr>
        <w:t>target-sensitive</w:t>
      </w:r>
      <w:r>
        <w:rPr>
          <w:rFonts w:ascii="Helvetica Neue" w:hAnsi="Helvetica Neue"/>
          <w:b w:val="0"/>
          <w:i w:val="0"/>
          <w:sz w:val="18"/>
        </w:rPr>
        <w:t xml:space="preserve">: of four target definitions tested, three reorder the leaderboard and two produce football-nonsense orderings (defenders and deep midfielders on top). That is inherent to an information-gain quantity — changing the outcome changes what counts as position-explained versus movement-explained — but the ordering below the leading names is not settled. The specified-but-unbuilt fix: a </w:t>
      </w:r>
      <w:r>
        <w:rPr>
          <w:rFonts w:ascii="Helvetica Neue" w:hAnsi="Helvetica Neue"/>
          <w:b/>
          <w:i w:val="0"/>
          <w:sz w:val="18"/>
        </w:rPr>
        <w:t>counterfactual attribution</w:t>
      </w:r>
      <w:r>
        <w:rPr>
          <w:rFonts w:ascii="Helvetica Neue" w:hAnsi="Helvetica Neue"/>
          <w:b w:val="0"/>
          <w:i w:val="0"/>
          <w:sz w:val="18"/>
        </w:rPr>
        <w:t xml:space="preserve"> holding ball and defenders fixed and moving only the player, isolating his contribution instead of inferring it from a model comparison.</w:t>
      </w:r>
    </w:p>
    <w:p>
      <w:pPr>
        <w:pStyle w:val="ListBullet"/>
        <w:spacing w:after="80"/>
      </w:pPr>
      <w:r>
        <w:rPr>
          <w:rFonts w:ascii="Helvetica Neue" w:hAnsi="Helvetica Neue"/>
          <w:b/>
          <w:i w:val="0"/>
          <w:sz w:val="18"/>
        </w:rPr>
        <w:t>Who it treats unfairly.</w:t>
      </w:r>
      <w:r>
        <w:rPr>
          <w:rFonts w:ascii="Helvetica Neue" w:hAnsi="Helvetica Neue"/>
          <w:b w:val="0"/>
          <w:i w:val="0"/>
          <w:sz w:val="18"/>
        </w:rPr>
        <w:t xml:space="preserve"> Target men and deep-lying creators. It rewards movement that raises shot probability quickly, so a striker who occupies two centre-backs to open space for someone else scores nothing for it. Fixing that needs off-ball value attributed to the </w:t>
      </w:r>
      <w:r>
        <w:rPr>
          <w:rFonts w:ascii="Helvetica Neue" w:hAnsi="Helvetica Neue"/>
          <w:b w:val="0"/>
          <w:i/>
          <w:sz w:val="18"/>
        </w:rPr>
        <w:t>space created for teammates</w:t>
      </w:r>
      <w:r>
        <w:rPr>
          <w:rFonts w:ascii="Helvetica Neue" w:hAnsi="Helvetica Neue"/>
          <w:b w:val="0"/>
          <w:i w:val="0"/>
          <w:sz w:val="18"/>
        </w:rPr>
        <w:t>, not just the receiving player.</w:t>
      </w:r>
    </w:p>
    <w:p>
      <w:pPr>
        <w:pStyle w:val="ListBullet"/>
        <w:spacing w:after="80"/>
      </w:pPr>
      <w:r>
        <w:rPr>
          <w:rFonts w:ascii="Helvetica Neue" w:hAnsi="Helvetica Neue"/>
          <w:b/>
          <w:i w:val="0"/>
          <w:sz w:val="18"/>
        </w:rPr>
        <w:t>Small samples.</w:t>
      </w:r>
      <w:r>
        <w:rPr>
          <w:rFonts w:ascii="Helvetica Neue" w:hAnsi="Helvetica Neue"/>
          <w:b w:val="0"/>
          <w:i w:val="0"/>
          <w:sz w:val="18"/>
        </w:rPr>
        <w:t xml:space="preserve"> The 600-minute floor is ~6.7 × 90, so F. Trincão ranks 4th on 8.2 × 90. Bootstrap intervals per player are the fix; they are not in this version.</w:t>
      </w:r>
    </w:p>
    <w:p>
      <w:pPr>
        <w:pStyle w:val="ListBullet"/>
        <w:spacing w:after="80"/>
      </w:pPr>
      <w:r>
        <w:rPr>
          <w:rFonts w:ascii="Helvetica Neue" w:hAnsi="Helvetica Neue"/>
          <w:b/>
          <w:i w:val="0"/>
          <w:sz w:val="18"/>
        </w:rPr>
        <w:t>Three clubs.</w:t>
      </w:r>
      <w:r>
        <w:rPr>
          <w:rFonts w:ascii="Helvetica Neue" w:hAnsi="Helvetica Neue"/>
          <w:b w:val="0"/>
          <w:i w:val="0"/>
          <w:sz w:val="18"/>
        </w:rPr>
        <w:t xml:space="preserve"> Open-data 360 is club-focused, so this is within-sample. No cross-league claim is made.</w:t>
      </w:r>
    </w:p>
    <w:p>
      <w:pPr>
        <w:pStyle w:val="ListBullet"/>
        <w:spacing w:after="80"/>
      </w:pPr>
      <w:r>
        <w:rPr>
          <w:rFonts w:ascii="Helvetica Neue" w:hAnsi="Helvetica Neue"/>
          <w:b/>
          <w:i w:val="0"/>
          <w:sz w:val="18"/>
        </w:rPr>
        <w:t>Inferred origins.</w:t>
      </w:r>
      <w:r>
        <w:rPr>
          <w:rFonts w:ascii="Helvetica Neue" w:hAnsi="Helvetica Neue"/>
          <w:b w:val="0"/>
          <w:i w:val="0"/>
          <w:sz w:val="18"/>
        </w:rPr>
        <w:t xml:space="preserve"> 34% of receipts are discarded, and the kept ones rest on a nearest-teammate assumption that will occasionally pick the wrong player in a crowded box.</w:t>
      </w:r>
    </w:p>
    <w:p>
      <w:pPr>
        <w:spacing w:before="160" w:after="60"/>
      </w:pPr>
      <w:r>
        <w:rPr>
          <w:rFonts w:ascii="Helvetica Neue" w:hAnsi="Helvetica Neue"/>
          <w:b/>
          <w:color w:val="5B4FD6"/>
          <w:sz w:val="22"/>
        </w:rPr>
        <w:t>10  AI usage, in short</w:t>
      </w:r>
    </w:p>
    <w:p>
      <w:pPr>
        <w:spacing w:after="80"/>
      </w:pPr>
      <w:r>
        <w:rPr>
          <w:rFonts w:ascii="Helvetica Neue" w:hAnsi="Helvetica Neue"/>
          <w:b w:val="0"/>
          <w:i w:val="0"/>
          <w:sz w:val="18"/>
        </w:rPr>
        <w:t xml:space="preserve">Full log with representative prompts, accepted/modified/rejected detail and the errors I caught is in </w:t>
      </w:r>
      <w:r>
        <w:rPr>
          <w:rFonts w:ascii="Menlo" w:hAnsi="Menlo"/>
          <w:b w:val="0"/>
          <w:i w:val="0"/>
          <w:sz w:val="16"/>
        </w:rPr>
        <w:t>AI_USAGE.md</w:t>
      </w:r>
      <w:r>
        <w:rPr>
          <w:rFonts w:ascii="Helvetica Neue" w:hAnsi="Helvetica Neue"/>
          <w:b w:val="0"/>
          <w:i w:val="0"/>
          <w:sz w:val="18"/>
        </w:rPr>
        <w:t xml:space="preserve"> in the repo. Summary:</w:t>
      </w:r>
    </w:p>
    <w:tbl>
      <w:tblPr>
        <w:tblStyle w:val="TableGrid"/>
        <w:tblW w:type="auto" w:w="0"/>
        <w:tblLook w:firstColumn="1" w:firstRow="1" w:lastColumn="0" w:lastRow="0" w:noHBand="0" w:noVBand="1" w:val="04A0"/>
      </w:tblPr>
      <w:tblGrid>
        <w:gridCol w:w="3402"/>
        <w:gridCol w:w="3402"/>
        <w:gridCol w:w="3402"/>
      </w:tblGrid>
      <w:tr>
        <w:tc>
          <w:tcPr>
            <w:tcW w:type="dxa" w:w="3402"/>
            <w:shd w:val="clear" w:fill="EFEFF6"/>
          </w:tcPr>
          <w:p>
            <w:pPr>
              <w:spacing w:after="0"/>
            </w:pPr>
            <w:r>
              <w:rPr>
                <w:rFonts w:ascii="Helvetica Neue" w:hAnsi="Helvetica Neue"/>
                <w:b/>
                <w:sz w:val="14"/>
              </w:rPr>
              <w:t>Area</w:t>
            </w:r>
          </w:p>
        </w:tc>
        <w:tc>
          <w:tcPr>
            <w:tcW w:type="dxa" w:w="3402"/>
            <w:shd w:val="clear" w:fill="EFEFF6"/>
          </w:tcPr>
          <w:p>
            <w:pPr>
              <w:spacing w:after="0"/>
            </w:pPr>
            <w:r>
              <w:rPr>
                <w:rFonts w:ascii="Helvetica Neue" w:hAnsi="Helvetica Neue"/>
                <w:b/>
                <w:sz w:val="14"/>
              </w:rPr>
              <w:t>What the assistant did</w:t>
            </w:r>
          </w:p>
        </w:tc>
        <w:tc>
          <w:tcPr>
            <w:tcW w:type="dxa" w:w="3402"/>
            <w:shd w:val="clear" w:fill="EFEFF6"/>
          </w:tcPr>
          <w:p>
            <w:pPr>
              <w:spacing w:after="0"/>
            </w:pPr>
            <w:r>
              <w:rPr>
                <w:rFonts w:ascii="Helvetica Neue" w:hAnsi="Helvetica Neue"/>
                <w:b/>
                <w:sz w:val="14"/>
              </w:rPr>
              <w:t>What I did</w:t>
            </w:r>
          </w:p>
        </w:tc>
      </w:tr>
      <w:tr>
        <w:tc>
          <w:tcPr>
            <w:tcW w:type="dxa" w:w="3402"/>
          </w:tcPr>
          <w:p>
            <w:pPr>
              <w:spacing w:after="0"/>
            </w:pPr>
            <w:r>
              <w:rPr>
                <w:rFonts w:ascii="Helvetica Neue" w:hAnsi="Helvetica Neue"/>
                <w:b w:val="0"/>
                <w:i w:val="0"/>
                <w:sz w:val="15"/>
              </w:rPr>
              <w:t>Framing &amp; metric</w:t>
            </w:r>
          </w:p>
        </w:tc>
        <w:tc>
          <w:tcPr>
            <w:tcW w:type="dxa" w:w="3402"/>
          </w:tcPr>
          <w:p>
            <w:pPr>
              <w:spacing w:after="0"/>
            </w:pPr>
            <w:r>
              <w:rPr>
                <w:rFonts w:ascii="Helvetica Neue" w:hAnsi="Helvetica Neue"/>
                <w:b w:val="0"/>
                <w:i w:val="0"/>
                <w:sz w:val="15"/>
              </w:rPr>
              <w:t>Sketched options once I set the direction</w:t>
            </w:r>
          </w:p>
        </w:tc>
        <w:tc>
          <w:tcPr>
            <w:tcW w:type="dxa" w:w="3402"/>
          </w:tcPr>
          <w:p>
            <w:pPr>
              <w:spacing w:after="0"/>
            </w:pPr>
            <w:r>
              <w:rPr>
                <w:rFonts w:ascii="Helvetica Neue" w:hAnsi="Helvetica Neue"/>
                <w:b w:val="0"/>
                <w:i w:val="0"/>
                <w:sz w:val="15"/>
              </w:rPr>
              <w:t>Mine: model off-ball runs as a supervised, xG-style problem rather than a grid</w:t>
            </w:r>
          </w:p>
        </w:tc>
      </w:tr>
      <w:tr>
        <w:tc>
          <w:tcPr>
            <w:tcW w:type="dxa" w:w="3402"/>
          </w:tcPr>
          <w:p>
            <w:pPr>
              <w:spacing w:after="0"/>
            </w:pPr>
            <w:r>
              <w:rPr>
                <w:rFonts w:ascii="Helvetica Neue" w:hAnsi="Helvetica Neue"/>
                <w:b w:val="0"/>
                <w:i w:val="0"/>
                <w:sz w:val="15"/>
              </w:rPr>
              <w:t>Model family</w:t>
            </w:r>
          </w:p>
        </w:tc>
        <w:tc>
          <w:tcPr>
            <w:tcW w:type="dxa" w:w="3402"/>
          </w:tcPr>
          <w:p>
            <w:pPr>
              <w:spacing w:after="0"/>
            </w:pPr>
            <w:r>
              <w:rPr>
                <w:rFonts w:ascii="Helvetica Neue" w:hAnsi="Helvetica Neue"/>
                <w:b w:val="0"/>
                <w:i w:val="0"/>
                <w:sz w:val="15"/>
              </w:rPr>
              <w:t>Recommended LightGBM + GroupKFold</w:t>
            </w:r>
          </w:p>
        </w:tc>
        <w:tc>
          <w:tcPr>
            <w:tcW w:type="dxa" w:w="3402"/>
          </w:tcPr>
          <w:p>
            <w:pPr>
              <w:spacing w:after="0"/>
            </w:pPr>
            <w:r>
              <w:rPr>
                <w:rFonts w:ascii="Helvetica Neue" w:hAnsi="Helvetica Neue"/>
                <w:b w:val="0"/>
                <w:i w:val="0"/>
                <w:sz w:val="15"/>
              </w:rPr>
              <w:t>Accepted after checking the leakage argument held for nested events</w:t>
            </w:r>
          </w:p>
        </w:tc>
      </w:tr>
      <w:tr>
        <w:tc>
          <w:tcPr>
            <w:tcW w:type="dxa" w:w="3402"/>
          </w:tcPr>
          <w:p>
            <w:pPr>
              <w:spacing w:after="0"/>
            </w:pPr>
            <w:r>
              <w:rPr>
                <w:rFonts w:ascii="Helvetica Neue" w:hAnsi="Helvetica Neue"/>
                <w:b w:val="0"/>
                <w:i w:val="0"/>
                <w:sz w:val="15"/>
              </w:rPr>
              <w:t>Features</w:t>
            </w:r>
          </w:p>
        </w:tc>
        <w:tc>
          <w:tcPr>
            <w:tcW w:type="dxa" w:w="3402"/>
          </w:tcPr>
          <w:p>
            <w:pPr>
              <w:spacing w:after="0"/>
            </w:pPr>
            <w:r>
              <w:rPr>
                <w:rFonts w:ascii="Helvetica Neue" w:hAnsi="Helvetica Neue"/>
                <w:b w:val="0"/>
                <w:i w:val="0"/>
                <w:sz w:val="15"/>
              </w:rPr>
              <w:t>Drafted the geometry (encirclement, block spread)</w:t>
            </w:r>
          </w:p>
        </w:tc>
        <w:tc>
          <w:tcPr>
            <w:tcW w:type="dxa" w:w="3402"/>
          </w:tcPr>
          <w:p>
            <w:pPr>
              <w:spacing w:after="0"/>
            </w:pPr>
            <w:r>
              <w:rPr>
                <w:rFonts w:ascii="Helvetica Neue" w:hAnsi="Helvetica Neue"/>
                <w:b w:val="0"/>
                <w:i w:val="0"/>
                <w:sz w:val="15"/>
              </w:rPr>
              <w:t>Rejected the density counters; required the ablation before believing any of it</w:t>
            </w:r>
          </w:p>
        </w:tc>
      </w:tr>
      <w:tr>
        <w:tc>
          <w:tcPr>
            <w:tcW w:type="dxa" w:w="3402"/>
          </w:tcPr>
          <w:p>
            <w:pPr>
              <w:spacing w:after="0"/>
            </w:pPr>
            <w:r>
              <w:rPr>
                <w:rFonts w:ascii="Helvetica Neue" w:hAnsi="Helvetica Neue"/>
                <w:b w:val="0"/>
                <w:i w:val="0"/>
                <w:sz w:val="15"/>
              </w:rPr>
              <w:t>Verification</w:t>
            </w:r>
          </w:p>
        </w:tc>
        <w:tc>
          <w:tcPr>
            <w:tcW w:type="dxa" w:w="3402"/>
          </w:tcPr>
          <w:p>
            <w:pPr>
              <w:spacing w:after="0"/>
            </w:pPr>
            <w:r>
              <w:rPr>
                <w:rFonts w:ascii="Helvetica Neue" w:hAnsi="Helvetica Neue"/>
                <w:b w:val="0"/>
                <w:i w:val="0"/>
                <w:sz w:val="15"/>
              </w:rPr>
              <w:t>Produced the first, flattering comparison</w:t>
            </w:r>
          </w:p>
        </w:tc>
        <w:tc>
          <w:tcPr>
            <w:tcW w:type="dxa" w:w="3402"/>
          </w:tcPr>
          <w:p>
            <w:pPr>
              <w:spacing w:after="0"/>
            </w:pPr>
            <w:r>
              <w:rPr>
                <w:rFonts w:ascii="Helvetica Neue" w:hAnsi="Helvetica Neue"/>
                <w:b w:val="0"/>
                <w:i w:val="0"/>
                <w:sz w:val="15"/>
              </w:rPr>
              <w:t>Caught the mislabelled 360 baseline (the "no-360" model contained a 360 feature) — true gain +0.0212, not +0.0069</w:t>
            </w:r>
          </w:p>
        </w:tc>
      </w:tr>
      <w:tr>
        <w:tc>
          <w:tcPr>
            <w:tcW w:type="dxa" w:w="3402"/>
          </w:tcPr>
          <w:p>
            <w:pPr>
              <w:spacing w:after="0"/>
            </w:pPr>
            <w:r>
              <w:rPr>
                <w:rFonts w:ascii="Helvetica Neue" w:hAnsi="Helvetica Neue"/>
                <w:b w:val="0"/>
                <w:i w:val="0"/>
                <w:sz w:val="15"/>
              </w:rPr>
              <w:t>Football sense</w:t>
            </w:r>
          </w:p>
        </w:tc>
        <w:tc>
          <w:tcPr>
            <w:tcW w:type="dxa" w:w="3402"/>
          </w:tcPr>
          <w:p>
            <w:pPr>
              <w:spacing w:after="0"/>
            </w:pPr>
            <w:r>
              <w:rPr>
                <w:rFonts w:ascii="Helvetica Neue" w:hAnsi="Helvetica Neue"/>
                <w:b w:val="0"/>
                <w:i w:val="0"/>
                <w:sz w:val="15"/>
              </w:rPr>
              <w:t>Proposed reading block spread as "stretched = valuable"</w:t>
            </w:r>
          </w:p>
        </w:tc>
        <w:tc>
          <w:tcPr>
            <w:tcW w:type="dxa" w:w="3402"/>
          </w:tcPr>
          <w:p>
            <w:pPr>
              <w:spacing w:after="0"/>
            </w:pPr>
            <w:r>
              <w:rPr>
                <w:rFonts w:ascii="Helvetica Neue" w:hAnsi="Helvetica Neue"/>
                <w:b w:val="0"/>
                <w:i w:val="0"/>
                <w:sz w:val="15"/>
              </w:rPr>
              <w:t>Caught the sign: the data says the opposite by 7.6×; it is a depth proxy</w:t>
            </w:r>
          </w:p>
        </w:tc>
      </w:tr>
      <w:tr>
        <w:tc>
          <w:tcPr>
            <w:tcW w:type="dxa" w:w="3402"/>
          </w:tcPr>
          <w:p>
            <w:pPr>
              <w:spacing w:after="0"/>
            </w:pPr>
            <w:r>
              <w:rPr>
                <w:rFonts w:ascii="Helvetica Neue" w:hAnsi="Helvetica Neue"/>
                <w:b w:val="0"/>
                <w:i w:val="0"/>
                <w:sz w:val="15"/>
              </w:rPr>
              <w:t>Plotting &amp; prose</w:t>
            </w:r>
          </w:p>
        </w:tc>
        <w:tc>
          <w:tcPr>
            <w:tcW w:type="dxa" w:w="3402"/>
          </w:tcPr>
          <w:p>
            <w:pPr>
              <w:spacing w:after="0"/>
            </w:pPr>
            <w:r>
              <w:rPr>
                <w:rFonts w:ascii="Helvetica Neue" w:hAnsi="Helvetica Neue"/>
                <w:b w:val="0"/>
                <w:i w:val="0"/>
                <w:sz w:val="15"/>
              </w:rPr>
              <w:t>First drafts</w:t>
            </w:r>
          </w:p>
        </w:tc>
        <w:tc>
          <w:tcPr>
            <w:tcW w:type="dxa" w:w="3402"/>
          </w:tcPr>
          <w:p>
            <w:pPr>
              <w:spacing w:after="0"/>
            </w:pPr>
            <w:r>
              <w:rPr>
                <w:rFonts w:ascii="Helvetica Neue" w:hAnsi="Helvetica Neue"/>
                <w:b w:val="0"/>
                <w:i w:val="0"/>
                <w:sz w:val="15"/>
              </w:rPr>
              <w:t>Restyled to my own conventions; fixed runs drawn off-pitch (360 frames are not clamped)</w:t>
            </w:r>
          </w:p>
        </w:tc>
      </w:tr>
    </w:tbl>
    <w:p>
      <w:pPr>
        <w:spacing w:after="40"/>
      </w:pPr>
    </w:p>
    <w:tbl>
      <w:tblPr>
        <w:tblW w:type="auto" w:w="0"/>
        <w:jc w:val="center"/>
        <w:tblLook w:firstColumn="1" w:firstRow="1" w:lastColumn="0" w:lastRow="0" w:noHBand="0" w:noVBand="1" w:val="04A0"/>
      </w:tblPr>
      <w:tblGrid>
        <w:gridCol w:w="10206"/>
      </w:tblGrid>
      <w:tr>
        <w:tc>
          <w:tcPr>
            <w:tcW w:type="dxa" w:w="10206"/>
            <w:shd w:val="clear" w:fill="FFFFFF"/>
          </w:tcPr>
          <w:p>
            <w:pPr>
              <w:spacing w:after="0"/>
            </w:pPr>
            <w:r>
              <w:rPr>
                <w:rFonts w:ascii="Helvetica Neue" w:hAnsi="Helvetica Neue"/>
                <w:b w:val="0"/>
                <w:i w:val="0"/>
                <w:color w:val="5F6672"/>
                <w:sz w:val="15"/>
              </w:rPr>
              <w:t xml:space="preserve">Data: </w:t>
            </w:r>
            <w:r>
              <w:rPr>
                <w:rFonts w:ascii="Helvetica Neue" w:hAnsi="Helvetica Neue"/>
                <w:b/>
                <w:i w:val="0"/>
                <w:color w:val="5F6672"/>
                <w:sz w:val="15"/>
              </w:rPr>
              <w:t>StatsBomb Open Data</w:t>
            </w:r>
            <w:r>
              <w:rPr>
                <w:rFonts w:ascii="Helvetica Neue" w:hAnsi="Helvetica Neue"/>
                <w:b w:val="0"/>
                <w:i w:val="0"/>
                <w:color w:val="5F6672"/>
                <w:sz w:val="15"/>
              </w:rPr>
              <w:t xml:space="preserve">, accessed via </w:t>
            </w:r>
            <w:r>
              <w:rPr>
                <w:rFonts w:ascii="Menlo" w:hAnsi="Menlo"/>
                <w:b w:val="0"/>
                <w:i w:val="0"/>
                <w:color w:val="5F6672"/>
                <w:sz w:val="13"/>
              </w:rPr>
              <w:t>statsbombpy</w:t>
            </w:r>
            <w:r>
              <w:rPr>
                <w:rFonts w:ascii="Helvetica Neue" w:hAnsi="Helvetica Neue"/>
                <w:b w:val="0"/>
                <w:i w:val="0"/>
                <w:color w:val="5F6672"/>
                <w:sz w:val="15"/>
              </w:rPr>
              <w:t xml:space="preserve">, used under the StatsBomb open-data user agreement for non-commercial research. Data provided by StatsBomb — with thanks.  ·  Reproduce: </w:t>
            </w:r>
            <w:r>
              <w:rPr>
                <w:rFonts w:ascii="Menlo" w:hAnsi="Menlo"/>
                <w:b w:val="0"/>
                <w:i w:val="0"/>
                <w:color w:val="5F6672"/>
                <w:sz w:val="13"/>
              </w:rPr>
              <w:t>pip install -r requirements.txt</w:t>
            </w:r>
            <w:r>
              <w:rPr>
                <w:rFonts w:ascii="Helvetica Neue" w:hAnsi="Helvetica Neue"/>
                <w:b w:val="0"/>
                <w:i w:val="0"/>
                <w:color w:val="5F6672"/>
                <w:sz w:val="15"/>
              </w:rPr>
              <w:t xml:space="preserve"> then </w:t>
            </w:r>
            <w:r>
              <w:rPr>
                <w:rFonts w:ascii="Menlo" w:hAnsi="Menlo"/>
                <w:b w:val="0"/>
                <w:i w:val="0"/>
                <w:color w:val="5F6672"/>
                <w:sz w:val="13"/>
              </w:rPr>
              <w:t>streamlit run app/streamlit_app.py</w:t>
            </w:r>
            <w:r>
              <w:rPr>
                <w:rFonts w:ascii="Helvetica Neue" w:hAnsi="Helvetica Neue"/>
                <w:b w:val="0"/>
                <w:i w:val="0"/>
                <w:color w:val="5F6672"/>
                <w:sz w:val="15"/>
              </w:rPr>
              <w:t xml:space="preserve">; full pipeline via </w:t>
            </w:r>
            <w:r>
              <w:rPr>
                <w:rFonts w:ascii="Menlo" w:hAnsi="Menlo"/>
                <w:b w:val="0"/>
                <w:i w:val="0"/>
                <w:color w:val="5F6672"/>
                <w:sz w:val="13"/>
              </w:rPr>
              <w:t>requirements-pipeline.txt</w:t>
            </w:r>
            <w:r>
              <w:rPr>
                <w:rFonts w:ascii="Helvetica Neue" w:hAnsi="Helvetica Neue"/>
                <w:b w:val="0"/>
                <w:i w:val="0"/>
                <w:color w:val="5F6672"/>
                <w:sz w:val="15"/>
              </w:rPr>
              <w:t xml:space="preserve"> and </w:t>
            </w:r>
            <w:r>
              <w:rPr>
                <w:rFonts w:ascii="Menlo" w:hAnsi="Menlo"/>
                <w:b w:val="0"/>
                <w:i w:val="0"/>
                <w:color w:val="5F6672"/>
                <w:sz w:val="13"/>
              </w:rPr>
              <w:t>build_runs.py</w:t>
            </w:r>
            <w:r>
              <w:rPr>
                <w:rFonts w:ascii="Helvetica Neue" w:hAnsi="Helvetica Neue"/>
                <w:b w:val="0"/>
                <w:i w:val="0"/>
                <w:color w:val="5F6672"/>
                <w:sz w:val="15"/>
              </w:rPr>
              <w:t>.</w:t>
            </w:r>
          </w:p>
        </w:tc>
      </w:tr>
    </w:tbl>
    <w:p>
      <w:pPr>
        <w:spacing w:after="40"/>
      </w:pPr>
    </w:p>
    <w:sectPr w:rsidR="00FC693F" w:rsidRPr="0006063C" w:rsidSect="00034616">
      <w:pgSz w:w="11906" w:h="16838"/>
      <w:pgMar w:top="794" w:right="850" w:bottom="68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Helvetica Neue" w:hAnsi="Helvetica Neue" w:eastAsia="Helvetica Neue"/>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