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Q3 Regional Sales Performance Report</w:t>
      </w:r>
    </w:p>
    <w:p>
      <w:r>
        <w:t>This report summarizes regional sales performance for the third quarter. Overall revenue grew by 14 percent compared to the previous quarter, driven primarily by strong demand in the North American and European markets. The Asia-Pacific region saw a modest 3 percent decline, attributed to supply chain disruptions affecting product availability in key markets.</w:t>
      </w:r>
    </w:p>
    <w:p>
      <w:pPr>
        <w:pStyle w:val="Heading2"/>
      </w:pPr>
      <w:r>
        <w:t>Key Findings</w:t>
      </w:r>
    </w:p>
    <w:p>
      <w:r>
        <w:t>Customer retention improved to 91 percent, up from 87 percent last quarter. New customer acquisition costs decreased by 8 percent due to more efficient digital marketing spend. However, average order value dropped slightly, suggesting a shift toward smaller, more frequent purchases.</w:t>
      </w:r>
    </w:p>
    <w:p>
      <w:pPr>
        <w:pStyle w:val="Heading2"/>
      </w:pPr>
      <w:r>
        <w:t>Recommendations</w:t>
      </w:r>
    </w:p>
    <w:p>
      <w:r>
        <w:t>The sales team recommends increasing inventory buffers in the Asia-Pacific region ahead of Q4 to avoid repeat stockouts, and reallocating a portion of the marketing budget toward retention campaigns given their strong ROI this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