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Rule="auto"/>
        <w:rPr>
          <w:rFonts w:ascii="Calibri" w:cs="Calibri" w:eastAsia="Calibri" w:hAnsi="Calibri"/>
        </w:rPr>
      </w:pPr>
      <w:r w:rsidDel="00000000" w:rsidR="00000000" w:rsidRPr="00000000">
        <w:rPr>
          <w:rFonts w:ascii="Calibri" w:cs="Calibri" w:eastAsia="Calibri" w:hAnsi="Calibri"/>
          <w:color w:val="1f3864"/>
          <w:sz w:val="36"/>
          <w:szCs w:val="36"/>
          <w:rtl w:val="0"/>
        </w:rPr>
        <w:t xml:space="preserve">2. State of Open Finance in Brazil</w:t>
      </w:r>
      <w:r w:rsidDel="00000000" w:rsidR="00000000" w:rsidRPr="00000000">
        <w:rPr>
          <w:rtl w:val="0"/>
        </w:rPr>
      </w:r>
    </w:p>
    <w:p w:rsidR="00000000" w:rsidDel="00000000" w:rsidP="00000000" w:rsidRDefault="00000000" w:rsidRPr="00000000" w14:paraId="00000002">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Key Metrics Snapshot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4160"/>
        <w:tblGridChange w:id="0">
          <w:tblGrid>
            <w:gridCol w:w="5200"/>
            <w:gridCol w:w="41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0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Indicator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0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sz w:val="20"/>
                <w:szCs w:val="20"/>
                <w:rtl w:val="0"/>
              </w:rPr>
              <w:t xml:space="preserve">Open Finance Consent Journeys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sz w:val="20"/>
                <w:szCs w:val="20"/>
                <w:rtl w:val="0"/>
              </w:rPr>
              <w:t xml:space="preserve">&gt;45 million active consents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sz w:val="20"/>
                <w:szCs w:val="20"/>
                <w:rtl w:val="0"/>
              </w:rPr>
              <w:t xml:space="preserve">Pix Monthly Transactions (Dec 2024)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sz w:val="20"/>
                <w:szCs w:val="20"/>
                <w:rtl w:val="0"/>
              </w:rPr>
              <w:t xml:space="preserve">&gt;6 billion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sz w:val="20"/>
                <w:szCs w:val="20"/>
                <w:rtl w:val="0"/>
              </w:rPr>
              <w:t xml:space="preserve">Pix Market Share of Retail Transactions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sz w:val="20"/>
                <w:szCs w:val="20"/>
                <w:rtl w:val="0"/>
              </w:rPr>
              <w:t xml:space="preserve">~55-60%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sz w:val="20"/>
                <w:szCs w:val="20"/>
                <w:rtl w:val="0"/>
              </w:rPr>
              <w:t xml:space="preserve">Open Finance Phases Completed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sz w:val="20"/>
                <w:szCs w:val="20"/>
                <w:rtl w:val="0"/>
              </w:rPr>
              <w:t xml:space="preserve">4 (Feb 2021 –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sz w:val="20"/>
                <w:szCs w:val="20"/>
                <w:rtl w:val="0"/>
              </w:rPr>
              <w:t xml:space="preserve">Data-Type Coverage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sz w:val="20"/>
                <w:szCs w:val="20"/>
                <w:rtl w:val="0"/>
              </w:rPr>
              <w:t xml:space="preserve">100% (6 of 6 CCAF categories)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sz w:val="20"/>
                <w:szCs w:val="20"/>
                <w:rtl w:val="0"/>
              </w:rPr>
              <w:t xml:space="preserve">Mandatory Participants (S1/S2)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sz w:val="20"/>
                <w:szCs w:val="20"/>
                <w:rtl w:val="0"/>
              </w:rPr>
              <w:t xml:space="preserve">~170 institutions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sz w:val="20"/>
                <w:szCs w:val="20"/>
                <w:rtl w:val="0"/>
              </w:rPr>
              <w:t xml:space="preserve">Lead Regulatory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sz w:val="20"/>
                <w:szCs w:val="20"/>
                <w:rtl w:val="0"/>
              </w:rPr>
              <w:t xml:space="preserve">Banco Central do Brasil (BCB)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rFonts w:ascii="Calibri" w:cs="Calibri" w:eastAsia="Calibri" w:hAnsi="Calibri"/>
              </w:rPr>
            </w:pPr>
            <w:r w:rsidDel="00000000" w:rsidR="00000000" w:rsidRPr="00000000">
              <w:rPr>
                <w:rFonts w:ascii="Calibri" w:cs="Calibri" w:eastAsia="Calibri" w:hAnsi="Calibri"/>
                <w:sz w:val="20"/>
                <w:szCs w:val="20"/>
                <w:rtl w:val="0"/>
              </w:rPr>
              <w:t xml:space="preserve">Primary Policy Objective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rFonts w:ascii="Calibri" w:cs="Calibri" w:eastAsia="Calibri" w:hAnsi="Calibri"/>
              </w:rPr>
            </w:pPr>
            <w:r w:rsidDel="00000000" w:rsidR="00000000" w:rsidRPr="00000000">
              <w:rPr>
                <w:rFonts w:ascii="Calibri" w:cs="Calibri" w:eastAsia="Calibri" w:hAnsi="Calibri"/>
                <w:sz w:val="20"/>
                <w:szCs w:val="20"/>
                <w:rtl w:val="0"/>
              </w:rPr>
              <w:t xml:space="preserve">Competition, Innovation, Financial Inclusion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15">
            <w:pPr>
              <w:rPr>
                <w:rFonts w:ascii="Calibri" w:cs="Calibri" w:eastAsia="Calibri" w:hAnsi="Calibri"/>
              </w:rPr>
            </w:pPr>
            <w:r w:rsidDel="00000000" w:rsidR="00000000" w:rsidRPr="00000000">
              <w:rPr>
                <w:rFonts w:ascii="Calibri" w:cs="Calibri" w:eastAsia="Calibri" w:hAnsi="Calibri"/>
                <w:sz w:val="20"/>
                <w:szCs w:val="20"/>
                <w:rtl w:val="0"/>
              </w:rPr>
              <w:t xml:space="preserve">Action Initiation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sz w:val="20"/>
                <w:szCs w:val="20"/>
                <w:rtl w:val="0"/>
              </w:rPr>
              <w:t xml:space="preserve">From launch (Phase 3, Dec 2021)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rFonts w:ascii="Calibri" w:cs="Calibri" w:eastAsia="Calibri" w:hAnsi="Calibri"/>
              </w:rPr>
            </w:pPr>
            <w:r w:rsidDel="00000000" w:rsidR="00000000" w:rsidRPr="00000000">
              <w:rPr>
                <w:rFonts w:ascii="Calibri" w:cs="Calibri" w:eastAsia="Calibri" w:hAnsi="Calibri"/>
                <w:sz w:val="20"/>
                <w:szCs w:val="20"/>
                <w:rtl w:val="0"/>
              </w:rPr>
              <w:t xml:space="preserve">Default Rate Effect (Open Finance coefficient)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sz w:val="20"/>
                <w:szCs w:val="20"/>
                <w:rtl w:val="0"/>
              </w:rPr>
              <w:t xml:space="preserve">-0.45*** (aggregate, YoY regression)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sz w:val="20"/>
                <w:szCs w:val="20"/>
                <w:rtl w:val="0"/>
              </w:rPr>
              <w:t xml:space="preserve">Firm Credit Growth Effect (PJ coefficient)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8fa" w:val="clear"/>
            <w:tcMar>
              <w:top w:w="80.0" w:type="dxa"/>
              <w:left w:w="120.0" w:type="dxa"/>
              <w:bottom w:w="80.0" w:type="dxa"/>
              <w:right w:w="120.0" w:type="dxa"/>
            </w:tcMa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sz w:val="20"/>
                <w:szCs w:val="20"/>
                <w:rtl w:val="0"/>
              </w:rPr>
              <w:t xml:space="preserve">+4.77** (p=0.002)</w:t>
            </w:r>
            <w:r w:rsidDel="00000000" w:rsidR="00000000" w:rsidRPr="00000000">
              <w:rPr>
                <w:rtl w:val="0"/>
              </w:rPr>
            </w:r>
          </w:p>
        </w:tc>
      </w:tr>
    </w:tbl>
    <w:p w:rsidR="00000000" w:rsidDel="00000000" w:rsidP="00000000" w:rsidRDefault="00000000" w:rsidRPr="00000000" w14:paraId="0000001B">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2.1. Policy Origins</w:t>
      </w:r>
      <w:r w:rsidDel="00000000" w:rsidR="00000000" w:rsidRPr="00000000">
        <w:rPr>
          <w:rtl w:val="0"/>
        </w:rPr>
      </w:r>
    </w:p>
    <w:p w:rsidR="00000000" w:rsidDel="00000000" w:rsidP="00000000" w:rsidRDefault="00000000" w:rsidRPr="00000000" w14:paraId="0000001D">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open finance regime emerged from a deliberate, state-led modernization strategy designed to address three structural problems in the financial system: persistent market concentration among large incumbent banks, limited access to affordable credit for individuals and SMEs, and significant informational asymmetries that entrenched these inequalities. Unlike the United Kingdom, which initiated open banking as a competition remedy following a market investigation, or Australia, which framed it as a consumer data rights agenda, Brazil's approach was driven by the Banco Central do Brasil (BCB) as part of its broader Agenda BC+, which positioned competition and efficiency as two foundational pillars of financial system reform.</w:t>
      </w:r>
      <w:r w:rsidDel="00000000" w:rsidR="00000000" w:rsidRPr="00000000">
        <w:rPr>
          <w:rtl w:val="0"/>
        </w:rPr>
      </w:r>
    </w:p>
    <w:p w:rsidR="00000000" w:rsidDel="00000000" w:rsidP="00000000" w:rsidRDefault="00000000" w:rsidRPr="00000000" w14:paraId="0000001E">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policy rationale was reinforced by Brazil's financial access profile. While formal account ownership is high, access to affordable credit, investment products, and insurance remains highly unequal. Incumbent banks held significant advantages in data and distribution, and new entrants — including fintechs and payment institutions — faced structural barriers to competing on equal terms. The BCB's diagnosis was that data portability and API-based interoperability, if properly designed and mandated, could dissolve these barriers and generate competitive pressure without requiring the kind of structural divestiture that a pure competition remedy might demand.</w:t>
      </w:r>
      <w:r w:rsidDel="00000000" w:rsidR="00000000" w:rsidRPr="00000000">
        <w:rPr>
          <w:rtl w:val="0"/>
        </w:rPr>
      </w:r>
    </w:p>
    <w:p w:rsidR="00000000" w:rsidDel="00000000" w:rsidP="00000000" w:rsidRDefault="00000000" w:rsidRPr="00000000" w14:paraId="0000001F">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policy process began in April 2019, when the BCB formally announced the Open Finance project. In August 2019, it opened a public consultation — recognizing that a reform of this scale required broad stakeholder buy-in — inviting banks, fintechs, consumers, and industry associations to contribute to the technical and regulatory design. This consultative process was critical: it helped define the scope of mandatory participation, the standards for API interoperability, and the consent architecture that would later govern how customers authorize data sharing. The formal regulatory framework was published in May 2020 with Joint Resolution No. 1, and just months later, in November 2020, the BCB launched Pix — the national instant payment system — demonstrating that rapid, multi-institution rollout of standardized financial infrastructure was achievable.</w:t>
      </w:r>
      <w:r w:rsidDel="00000000" w:rsidR="00000000" w:rsidRPr="00000000">
        <w:rPr>
          <w:rtl w:val="0"/>
        </w:rPr>
      </w:r>
    </w:p>
    <w:p w:rsidR="00000000" w:rsidDel="00000000" w:rsidP="00000000" w:rsidRDefault="00000000" w:rsidRPr="00000000" w14:paraId="00000020">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Two implications follow from Brazil's policy origin. First, the BCB's broad regulatory authority — rooted in Law No. 4,595/1964, which created the National Financial System and concentrated supervisory power in the central bank — meant that open finance could be designed and implemented primarily through regulatory instruments, without requiring new primary legislation for each phase of the rollout. Second, the combination of a competition rationale, an inclusion objective, and a pre-existing digital payment infrastructure gave the BCB's program both political legitimacy and operational readiness that comparable initiatives in less institutionally advanced markets would not have had.</w:t>
      </w:r>
      <w:r w:rsidDel="00000000" w:rsidR="00000000" w:rsidRPr="00000000">
        <w:rPr>
          <w:rtl w:val="0"/>
        </w:rPr>
      </w:r>
    </w:p>
    <w:p w:rsidR="00000000" w:rsidDel="00000000" w:rsidP="00000000" w:rsidRDefault="00000000" w:rsidRPr="00000000" w14:paraId="00000021">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2.2. Core Design Choices</w:t>
      </w:r>
      <w:r w:rsidDel="00000000" w:rsidR="00000000" w:rsidRPr="00000000">
        <w:rPr>
          <w:rtl w:val="0"/>
        </w:rPr>
      </w:r>
    </w:p>
    <w:p w:rsidR="00000000" w:rsidDel="00000000" w:rsidP="00000000" w:rsidRDefault="00000000" w:rsidRPr="00000000" w14:paraId="00000022">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 adopted a regulation-led, mandated, and standardized approach to data sharing, consistent with the models pursued in the United Kingdom, Australia, and South Korea but with a breadth and pace that distinguishes it from all three. Joint Resolution No. 1/2020 — the principal regulatory instrument — defined four governing principles: innovation, competition, financial citizenship, and system efficiency. These principles were operationalized through three core design choices that shaped the system's early performance.</w:t>
      </w:r>
      <w:r w:rsidDel="00000000" w:rsidR="00000000" w:rsidRPr="00000000">
        <w:rPr>
          <w:rtl w:val="0"/>
        </w:rPr>
      </w:r>
    </w:p>
    <w:p w:rsidR="00000000" w:rsidDel="00000000" w:rsidP="00000000" w:rsidRDefault="00000000" w:rsidRPr="00000000" w14:paraId="00000023">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First, mandatory participation for large institutions. Participation was made compulsory for institutions in segments S1 and S2 — Brazil's largest financial conglomerates, covering the dominant share of customer accounts, credit portfolios, and payment volumes — with voluntary participation open to smaller institutions subject to data reciprocity conditions. This design ensured ecosystem viability from the outset, analogous to the UK's CMA9 mandate, while avoiding the implementation burden that uniform compliance would have imposed on smaller cooperative and microfinance institutions.</w:t>
      </w:r>
      <w:r w:rsidDel="00000000" w:rsidR="00000000" w:rsidRPr="00000000">
        <w:rPr>
          <w:rtl w:val="0"/>
        </w:rPr>
      </w:r>
    </w:p>
    <w:p w:rsidR="00000000" w:rsidDel="00000000" w:rsidP="00000000" w:rsidRDefault="00000000" w:rsidRPr="00000000" w14:paraId="00000024">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Second, consent as the exclusive basis for data sharing. The resolution established that data sharing could only occur on the basis of free, informed, prior, and unambiguous customer consent — aligned with Brazil's General Data Protection Law (LGPD, Law No. 13,709/2018), which had enshrined data portability as a legal right two years earlier. This dual legal architecture — a general data protection framework reinforced by sector-specific consent rules — created both a robust trust foundation and a clear accountability structure for the system.</w:t>
      </w:r>
      <w:r w:rsidDel="00000000" w:rsidR="00000000" w:rsidRPr="00000000">
        <w:rPr>
          <w:rtl w:val="0"/>
        </w:rPr>
      </w:r>
    </w:p>
    <w:p w:rsidR="00000000" w:rsidDel="00000000" w:rsidP="00000000" w:rsidRDefault="00000000" w:rsidRPr="00000000" w14:paraId="00000025">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Third, broad data scope from the outset, expanding progressively across four phases. Unlike the United Kingdom, which launched with only payment account data (1 of 6 CCAF categories), Brazil designed its framework to cover all six CCAF data categories: payments, general insurance, savings and investments, mortgages, consumer lending, and pensions. This breadth was introduced gradually across phases but was planned comprehensively from the start — a design choice made viable by Brazil's existing regulatory infrastructure and the BCB's implementation capacity. The CCAF classifies Brazil among only six regulation-led jurisdictions globally that have fully unlocked Open Finance.</w:t>
      </w:r>
      <w:r w:rsidDel="00000000" w:rsidR="00000000" w:rsidRPr="00000000">
        <w:rPr>
          <w:rtl w:val="0"/>
        </w:rPr>
      </w:r>
    </w:p>
    <w:p w:rsidR="00000000" w:rsidDel="00000000" w:rsidP="00000000" w:rsidRDefault="00000000" w:rsidRPr="00000000" w14:paraId="00000026">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A fourth design choice, critical given Australia's cautionary example, was the inclusion of action initiation — third-party payment initiation and credit proposal forwarding — from Phase 3 onward (December 2021), rather than as a delayed addition. This decision meant the Brazilian system was capable of supporting genuinely transactional use cases within the first year of live operation.</w:t>
      </w:r>
      <w:r w:rsidDel="00000000" w:rsidR="00000000" w:rsidRPr="00000000">
        <w:rPr>
          <w:rtl w:val="0"/>
        </w:rPr>
      </w:r>
    </w:p>
    <w:p w:rsidR="00000000" w:rsidDel="00000000" w:rsidP="00000000" w:rsidRDefault="00000000" w:rsidRPr="00000000" w14:paraId="00000027">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2.3. Governance Architecture</w:t>
      </w:r>
      <w:r w:rsidDel="00000000" w:rsidR="00000000" w:rsidRPr="00000000">
        <w:rPr>
          <w:rtl w:val="0"/>
        </w:rPr>
      </w:r>
    </w:p>
    <w:p w:rsidR="00000000" w:rsidDel="00000000" w:rsidP="00000000" w:rsidRDefault="00000000" w:rsidRPr="00000000" w14:paraId="00000028">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governance model is distinctive for concentrating authority in a single lead institution — the Banco Central do Brasil — rather than distributing responsibilities across a multi-body structure as in the United Kingdom (CMA, FCA, PSR, OBL) or Australia (Treasury, ACCC, OAIC, DSB). This centralization reflects the BCB's constitutional role as the primary regulator of the National Financial System and was reinforced by Complementary Law No. 179/2021, which granted the BCB full technical, operational, administrative, and financial autonomy with staggered fixed terms for its leadership — insulating the open finance agenda from political disruption across administrations.</w:t>
      </w:r>
      <w:r w:rsidDel="00000000" w:rsidR="00000000" w:rsidRPr="00000000">
        <w:rPr>
          <w:rtl w:val="0"/>
        </w:rPr>
      </w:r>
    </w:p>
    <w:p w:rsidR="00000000" w:rsidDel="00000000" w:rsidP="00000000" w:rsidRDefault="00000000" w:rsidRPr="00000000" w14:paraId="00000029">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Within this centralized framework, governance is nonetheless multi-layered. The BCB and the National Monetary Council (CMN) jointly set the regulatory framework through joint resolutions. The Open Finance Brazil Association (AOF) — a self-regulatory body composed of representatives from financial institutions, fintechs, and their associations — manages the technical standards, API specifications, and participant directory under BCB supervision. This assisted self-regulatory model gives industry participants ownership of operational details while preserving BCB authority over the rules that govern them.</w:t>
      </w:r>
      <w:r w:rsidDel="00000000" w:rsidR="00000000" w:rsidRPr="00000000">
        <w:rPr>
          <w:rtl w:val="0"/>
        </w:rPr>
      </w:r>
    </w:p>
    <w:p w:rsidR="00000000" w:rsidDel="00000000" w:rsidP="00000000" w:rsidRDefault="00000000" w:rsidRPr="00000000" w14:paraId="0000002A">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For sectors beyond banking, governance is shared across regulatory authorities. The Superintendence of Private Insurance (SUSEP) oversees insurance and pension data sharing, and Joint Resolution No. 5/2022 — jointly developed by the BCB, CMN, SUSEP, and the National Council of Private Insurance (CNSP) — established the interoperability framework to link the Open Banking/Finance and Open Insurance ecosystems under a unified consent architecture. This cross-sector coordination preserved the BCB's lead authority while building in the institutional flexibility needed to govern a genuinely cross-sectoral system.</w:t>
      </w:r>
      <w:r w:rsidDel="00000000" w:rsidR="00000000" w:rsidRPr="00000000">
        <w:rPr>
          <w:rtl w:val="0"/>
        </w:rPr>
      </w:r>
    </w:p>
    <w:p w:rsidR="00000000" w:rsidDel="00000000" w:rsidP="00000000" w:rsidRDefault="00000000" w:rsidRPr="00000000" w14:paraId="0000002B">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key governance stakeholders are organized as follows: the BCB and CMN set the regulatory mandate and policy framework; the AOF coordinates technical standards and dispute resolution among financial entities (incumbent banks, credit unions, insurance companies, and asset managers) and fintechs (digital banks, payment institutions, initiating transaction parties, and lending and investment fintechs); technology providers — including trust framework operators, API standards managers, and aggregators — enable the underlying infrastructure; and individual retail customers, SMEs, and large corporates constitute the demand side, exercising consent-based authorization of data sharing.</w:t>
      </w:r>
      <w:r w:rsidDel="00000000" w:rsidR="00000000" w:rsidRPr="00000000">
        <w:rPr>
          <w:rtl w:val="0"/>
        </w:rPr>
      </w:r>
    </w:p>
    <w:p w:rsidR="00000000" w:rsidDel="00000000" w:rsidP="00000000" w:rsidRDefault="00000000" w:rsidRPr="00000000" w14:paraId="0000002C">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2.4. Technical and Operational Architecture</w:t>
      </w:r>
      <w:r w:rsidDel="00000000" w:rsidR="00000000" w:rsidRPr="00000000">
        <w:rPr>
          <w:rtl w:val="0"/>
        </w:rPr>
      </w:r>
    </w:p>
    <w:p w:rsidR="00000000" w:rsidDel="00000000" w:rsidP="00000000" w:rsidRDefault="00000000" w:rsidRPr="00000000" w14:paraId="0000002D">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technical architecture is decentralized at the API layer — financial institutions maintain individual APIs against common specifications set by the AOF — but unified at the standards, consent, and security layers. This contrasts with South Korea's centralized KFTC hub model, which routes all traffic through a single intermediary, and with Australia's hybrid approach. The Brazilian design preserves competitive dynamics at the interface level while ensuring interoperability through mandatory adherence to standardized API schemas, security protocols, and consent journey requirements.</w:t>
      </w:r>
      <w:r w:rsidDel="00000000" w:rsidR="00000000" w:rsidRPr="00000000">
        <w:rPr>
          <w:rtl w:val="0"/>
        </w:rPr>
      </w:r>
    </w:p>
    <w:p w:rsidR="00000000" w:rsidDel="00000000" w:rsidP="00000000" w:rsidRDefault="00000000" w:rsidRPr="00000000" w14:paraId="0000002E">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core technical capabilities evolved across four phases. Phase 1 (February 2021) mandated public sharing of product, service, and pricing data through open APIs — creating the first layer of transparency and requiring institutions to build API infrastructure. Phase 2 (August 2021) introduced authenticated consent-based sharing of customer registration data, transaction histories, and credit data, enabling data portability across institutions. Phase 3 (December 2021) activated transactional capabilities, including one-time and recurring payment initiation through Open Finance and credit proposal forwarding between institutions. Phase 4 (2022-2024) expanded the framework to foreign exchange, investments, insurance, and pension products, completing the transition from open banking to full open finance.</w:t>
      </w:r>
      <w:r w:rsidDel="00000000" w:rsidR="00000000" w:rsidRPr="00000000">
        <w:rPr>
          <w:rtl w:val="0"/>
        </w:rPr>
      </w:r>
    </w:p>
    <w:p w:rsidR="00000000" w:rsidDel="00000000" w:rsidP="00000000" w:rsidRDefault="00000000" w:rsidRPr="00000000" w14:paraId="0000002F">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Pix — Brazil's instant payment system, launched by the BCB in November 2020 — is the critical infrastructure enabling the transactional layer of open finance. By providing real-time, 24/7, zero-cost account-to-account transfers through open APIs, Pix gave third-party payment initiators a settlement rail that was both standardized and universally accessible. By December 2024, Pix processed over 6 billion transactions monthly, surpassing credit and debit cards combined, and its rapid adoption demonstrated consumer receptiveness to digital financial innovation that directly accelerated open finance uptake. The correlation between Pix transaction intensity and open finance data-sharing participation is statistically significant: analysis of post-January 2023 data shows a clear positive relationship between increased payment intensity and broader data-sharing participation, suggesting structural linkage rather than short-term coincidence.</w:t>
      </w:r>
      <w:r w:rsidDel="00000000" w:rsidR="00000000" w:rsidRPr="00000000">
        <w:rPr>
          <w:rtl w:val="0"/>
        </w:rPr>
      </w:r>
    </w:p>
    <w:p w:rsidR="00000000" w:rsidDel="00000000" w:rsidP="00000000" w:rsidRDefault="00000000" w:rsidRPr="00000000" w14:paraId="00000030">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trust framework is operated by specialist providers — including Raidiam as trust framework operator — and complemented by API aggregators such as Pluggy, which sit between financial institutions and end-user applications. This layered architecture enables smaller fintechs to access open finance data without building direct integrations with every participating institution, reducing market entry costs and broadening the ecosystem of service providers.</w:t>
      </w:r>
      <w:r w:rsidDel="00000000" w:rsidR="00000000" w:rsidRPr="00000000">
        <w:rPr>
          <w:rtl w:val="0"/>
        </w:rPr>
      </w:r>
    </w:p>
    <w:p w:rsidR="00000000" w:rsidDel="00000000" w:rsidP="00000000" w:rsidRDefault="00000000" w:rsidRPr="00000000" w14:paraId="00000031">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2.5. Participation and Market Coverage</w:t>
      </w:r>
      <w:r w:rsidDel="00000000" w:rsidR="00000000" w:rsidRPr="00000000">
        <w:rPr>
          <w:rtl w:val="0"/>
        </w:rPr>
      </w:r>
    </w:p>
    <w:p w:rsidR="00000000" w:rsidDel="00000000" w:rsidP="00000000" w:rsidRDefault="00000000" w:rsidRPr="00000000" w14:paraId="00000032">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Mandatory participation by S1 and S2 institutions ensured coverage of the dominant share of Brazil's consumer and business financial relationships from the first day of live operation. The initial mandatory participants in Phase 1 included Itau, Bradesco, Banco do Brasil, Caixa Economica Federal, Santander, and Nubank. Phase 2 expanded to include Mercado Pago, PicPay, Sicoob, and XP Investimentos. Phase 3 brought in Payment Transaction Initiators (PTIs) including Matera, Quanto, and Cloudwalk, as well as data aggregators such as Belvo. Phase 4 saw full incumbent ecosystem participation alongside investment platform players (BTG Pactual, Safra, Rico) and the onboarding of the insurance sector through SUSEP.</w:t>
      </w:r>
      <w:r w:rsidDel="00000000" w:rsidR="00000000" w:rsidRPr="00000000">
        <w:rPr>
          <w:rtl w:val="0"/>
        </w:rPr>
      </w:r>
    </w:p>
    <w:p w:rsidR="00000000" w:rsidDel="00000000" w:rsidP="00000000" w:rsidRDefault="00000000" w:rsidRPr="00000000" w14:paraId="00000033">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Data coverage is one of Brazil's strongest dimensions. The framework covers all six CCAF data categories — payments, general insurance, savings and investments, mortgages, consumer lending, and pensions — with live data sharing active across all six. This positions Brazil among the globally most comprehensive open finance regimes alongside Australia and South Korea. The expansion to foreign exchange, insurance, and pension data through Phase 4 was formalized by Joint Resolution No. 4/2022, which replaced all references to Open Banking with Open Finance and expanded the scope of mandatory data sharing beyond strictly banking products.</w:t>
      </w:r>
      <w:r w:rsidDel="00000000" w:rsidR="00000000" w:rsidRPr="00000000">
        <w:rPr>
          <w:rtl w:val="0"/>
        </w:rPr>
      </w:r>
    </w:p>
    <w:p w:rsidR="00000000" w:rsidDel="00000000" w:rsidP="00000000" w:rsidRDefault="00000000" w:rsidRPr="00000000" w14:paraId="00000034">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participant ecosystem includes the full range of financial entities. On the incumbent side: major commercial banks, credit unions (cooperativas de credito, coordinated through OCB), insurance companies, and asset managers. On the fintech and new entrant side: digital banks, payment institutions, ITPs (initiating transaction parties), and lending and investment fintechs, coordinated through associations including ABFintechs, ABCD, and Init. Voluntary participation by smaller institutions, conditioned on data reciprocity, has expanded the ecosystem beyond the mandatory perimeter while preserving proportionality in compliance obligations.</w:t>
      </w:r>
      <w:r w:rsidDel="00000000" w:rsidR="00000000" w:rsidRPr="00000000">
        <w:rPr>
          <w:rtl w:val="0"/>
        </w:rPr>
      </w:r>
    </w:p>
    <w:p w:rsidR="00000000" w:rsidDel="00000000" w:rsidP="00000000" w:rsidRDefault="00000000" w:rsidRPr="00000000" w14:paraId="00000035">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2.6. Implementation Strategy and Evolution</w:t>
      </w:r>
      <w:r w:rsidDel="00000000" w:rsidR="00000000" w:rsidRPr="00000000">
        <w:rPr>
          <w:rtl w:val="0"/>
        </w:rPr>
      </w:r>
    </w:p>
    <w:p w:rsidR="00000000" w:rsidDel="00000000" w:rsidP="00000000" w:rsidRDefault="00000000" w:rsidRPr="00000000" w14:paraId="00000036">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implementation strategy combined a clear phased roadmap with strong institutional coordination and pre-existing infrastructure readiness. The BCB announced the project in April 2019, conducted a public consultation in August 2019, published the foundational regulation in May 2020, and launched live services in February 2021 — a roughly two-year timeline from announcement to live operation, comparable to the United Kingdom and Australia. However, unlike Australia, which then experienced a five-year gap before introducing action initiation, Brazil activated transactional capabilities within the first year of live operation (Phase 3, December 2021).</w:t>
      </w:r>
      <w:r w:rsidDel="00000000" w:rsidR="00000000" w:rsidRPr="00000000">
        <w:rPr>
          <w:rtl w:val="0"/>
        </w:rPr>
      </w:r>
    </w:p>
    <w:p w:rsidR="00000000" w:rsidDel="00000000" w:rsidP="00000000" w:rsidRDefault="00000000" w:rsidRPr="00000000" w14:paraId="00000037">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phased structure was deliberate and cumulative. Phase 1 established the foundational API infrastructure and created consumer awareness. Phase 2 introduced consent-based data portability. Phase 3 activated the transactional layer. Phase 4 expanded scope to the full financial system. Each phase progressively deepened the system's reach — from passive data disclosure to active financial interoperability — while giving institutions time to build compliance capacity between phases. This sequencing reduced implementation risk while maintaining forward momentum.</w:t>
      </w:r>
      <w:r w:rsidDel="00000000" w:rsidR="00000000" w:rsidRPr="00000000">
        <w:rPr>
          <w:rtl w:val="0"/>
        </w:rPr>
      </w:r>
    </w:p>
    <w:p w:rsidR="00000000" w:rsidDel="00000000" w:rsidP="00000000" w:rsidRDefault="00000000" w:rsidRPr="00000000" w14:paraId="00000038">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pre-existing foundational laws were critical enablers. The Banking Secrecy Law (Supplementary Law No. 105/2001) had established a consent exception to banking confidentiality that became the legal backbone of data sharing. The Electronic Payments Law (Law No. 12,865/2013) had opened the market to non-bank payment institutions. The Fintech Credit Regulation (CMN Resolution No. 4,656/2018) had created simplified licensing for digital lenders. The LGPD (Law No. 13,709/2018) had established consent and data portability as enforceable legal rights. Pix had demonstrated the BCB's capacity to coordinate large-scale, multi-institution infrastructure rollouts. And the BCB's newly granted institutional autonomy (Complementary Law No. 179/2021) insulated the program from political disruption. None of these conditions were designed with open finance in mind, but collectively they resolved the structural prerequisites — regulatory authority, data governance, market access, and payment infrastructure — that made a four-phase open finance rollout achievable within three years.</w:t>
      </w:r>
      <w:r w:rsidDel="00000000" w:rsidR="00000000" w:rsidRPr="00000000">
        <w:rPr>
          <w:rtl w:val="0"/>
        </w:rPr>
      </w:r>
    </w:p>
    <w:p w:rsidR="00000000" w:rsidDel="00000000" w:rsidP="00000000" w:rsidRDefault="00000000" w:rsidRPr="00000000" w14:paraId="00000039">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The evolution from open banking to open finance was formalized by Joint Resolution No. 4/2022, which expanded the mandatory data-sharing perimeter to insurance, pensions, investments, and foreign exchange. Joint Resolution No. 5/2022 then established the interoperability framework connecting the BCB-supervised Open Finance ecosystem with the SUSEP-supervised Open Insurance ecosystem — ensuring that cross-sector ambition was matched by the technical and institutional arrangements needed to deliver it.</w:t>
      </w:r>
      <w:r w:rsidDel="00000000" w:rsidR="00000000" w:rsidRPr="00000000">
        <w:rPr>
          <w:rtl w:val="0"/>
        </w:rPr>
      </w:r>
    </w:p>
    <w:p w:rsidR="00000000" w:rsidDel="00000000" w:rsidP="00000000" w:rsidRDefault="00000000" w:rsidRPr="00000000" w14:paraId="0000003A">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2.7. Observed Outcomes and Trade-Offs</w:t>
      </w:r>
      <w:r w:rsidDel="00000000" w:rsidR="00000000" w:rsidRPr="00000000">
        <w:rPr>
          <w:rtl w:val="0"/>
        </w:rPr>
      </w:r>
    </w:p>
    <w:p w:rsidR="00000000" w:rsidDel="00000000" w:rsidP="00000000" w:rsidRDefault="00000000" w:rsidRPr="00000000" w14:paraId="0000003B">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Adoption and scale represent Brazil's strongest outcomes. By 2024, the Open Finance system had accumulated over 45 million active consent journeys, and Pix was processing more than 6 billion transactions monthly — surpassing credit and debit cards combined. Pix's trajectory illustrates the structural shift: from near-zero share of retail transactions in 2020 to approximately 55-60% of total transactions by 2025, with clear substitution effects visible in the decline of DOC/TED transfers (subsequently discontinued), checks, and cash withdrawals. The ITS (Interrupted Time Series) regression analysis of Pix growth shows that Open Finance implementation in November 2021 generated a statistically significant discrete level shift in Pix transactions, even as the monthly growth rate moderated from approximately 22% pre-implementation to 3.4% post-implementation — consistent with a transition from explosive early adoption to a mature, normalized payment ecosystem.</w:t>
      </w:r>
      <w:r w:rsidDel="00000000" w:rsidR="00000000" w:rsidRPr="00000000">
        <w:rPr>
          <w:rtl w:val="0"/>
        </w:rPr>
      </w:r>
    </w:p>
    <w:p w:rsidR="00000000" w:rsidDel="00000000" w:rsidP="00000000" w:rsidRDefault="00000000" w:rsidRPr="00000000" w14:paraId="0000003C">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Credit market effects are the most analytically significant outcome. Year-on-year regression analysis using BCB credit data shows that Open Finance is associated with lower default rate growth across all segments: an aggregate coefficient of -0.45 (highly significant at the 1% level), with firms (PJ) experiencing a stronger effect (-0.77, significant at 5%) than individuals (PF) (-0.19, significant at 5%). The interpretation is consistent with the theoretical mechanism: improved data portability enables better borrower screening, reduces adverse selection, and improves risk pricing — so credit expansion under Open Finance does not come at the cost of deteriorating asset quality.</w:t>
      </w:r>
      <w:r w:rsidDel="00000000" w:rsidR="00000000" w:rsidRPr="00000000">
        <w:rPr>
          <w:rtl w:val="0"/>
        </w:rPr>
      </w:r>
    </w:p>
    <w:p w:rsidR="00000000" w:rsidDel="00000000" w:rsidP="00000000" w:rsidRDefault="00000000" w:rsidRPr="00000000" w14:paraId="0000003D">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Credit growth effects are more nuanced. The aggregate total credit coefficient is small and statistically insignificant, and the PF (individuals) coefficient is negative — suggesting a compositional shift rather than aggregate expansion. However, the PJ (firms) coefficient is strongly positive (+4.77, p=0.002), and the PF personal loans coefficient is the largest in the dataset (+7.64, p=0.005). This pattern supports the hypothesis that Open Finance expands credit precisely where information constraints were most binding — in firm lending and personal credit products where data asymmetries between borrowers and lenders were historically most severe. Aggregate credit totals may reflect compositional reallocation rather than simple expansion.</w:t>
      </w:r>
      <w:r w:rsidDel="00000000" w:rsidR="00000000" w:rsidRPr="00000000">
        <w:rPr>
          <w:rtl w:val="0"/>
        </w:rPr>
      </w:r>
    </w:p>
    <w:p w:rsidR="00000000" w:rsidDel="00000000" w:rsidP="00000000" w:rsidRDefault="00000000" w:rsidRPr="00000000" w14:paraId="0000003E">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Payment system contestability is well-evidenced. The substitution from legacy transfer systems (DOC/TED) and cards toward Pix represents a genuine structural shift in market share, with direct implications for the economics of payments — lower interchange fees, faster settlement, and lower costs for merchants and consumers. Investment and insurance market effects are emerging but less documented, as Phase 4 was completed more recently and the data ecosystem for these sectors is still maturing.</w:t>
      </w:r>
      <w:r w:rsidDel="00000000" w:rsidR="00000000" w:rsidRPr="00000000">
        <w:rPr>
          <w:rtl w:val="0"/>
        </w:rPr>
      </w:r>
    </w:p>
    <w:p w:rsidR="00000000" w:rsidDel="00000000" w:rsidP="00000000" w:rsidRDefault="00000000" w:rsidRPr="00000000" w14:paraId="0000003F">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Trade-offs and challenges exist. On credit portability, customers face a burden: they must liquidate existing positions before porting credit products, and fee reimbursement issues create friction. Coverage remains limited in some dimensions — credit portability currently applies primarily to personal credit and payroll-linked credit (consignado), not the full product range. A suitability gap exists: the regulatory framework does not yet fully address the risk that financially illiterate clients may make uninformed decisions based on open finance-enabled product comparisons. Incumbent resistance — particularly the initial view of open finance as a threat to proprietary data monopolies — was a persistent friction during early implementation, though it moderated as the ecosystem matured and incumbents began identifying revenue opportunities in investment management and cross-selling through the open finance channel.</w:t>
      </w:r>
      <w:r w:rsidDel="00000000" w:rsidR="00000000" w:rsidRPr="00000000">
        <w:rPr>
          <w:rtl w:val="0"/>
        </w:rPr>
      </w:r>
    </w:p>
    <w:p w:rsidR="00000000" w:rsidDel="00000000" w:rsidP="00000000" w:rsidRDefault="00000000" w:rsidRPr="00000000" w14:paraId="00000040">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2.8. Cross-Country Synthesis Contributions</w:t>
      </w:r>
      <w:r w:rsidDel="00000000" w:rsidR="00000000" w:rsidRPr="00000000">
        <w:rPr>
          <w:rtl w:val="0"/>
        </w:rPr>
      </w:r>
    </w:p>
    <w:p w:rsidR="00000000" w:rsidDel="00000000" w:rsidP="00000000" w:rsidRDefault="00000000" w:rsidRPr="00000000" w14:paraId="00000041">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open finance experience offers several conditional design patterns that are directly relevant for the Latin American context.</w:t>
      </w:r>
      <w:r w:rsidDel="00000000" w:rsidR="00000000" w:rsidRPr="00000000">
        <w:rPr>
          <w:rtl w:val="0"/>
        </w:rPr>
      </w:r>
    </w:p>
    <w:p w:rsidR="00000000" w:rsidDel="00000000" w:rsidP="00000000" w:rsidRDefault="00000000" w:rsidRPr="00000000" w14:paraId="00000042">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(1) A phased implementation roadmap, with each phase building on the previous, can successfully achieve broad data coverage over time without overwhelming participants or sacrificing adoption momentum. Brazil's four-phase structure delivered 100% CCAF data coverage within three years of live operation while maintaining credible enforcement and ecosystem expansion at each stage.</w:t>
      </w:r>
      <w:r w:rsidDel="00000000" w:rsidR="00000000" w:rsidRPr="00000000">
        <w:rPr>
          <w:rtl w:val="0"/>
        </w:rPr>
      </w:r>
    </w:p>
    <w:p w:rsidR="00000000" w:rsidDel="00000000" w:rsidP="00000000" w:rsidRDefault="00000000" w:rsidRPr="00000000" w14:paraId="00000043">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(2) Pre-existing digital payment infrastructure is a critical accelerant. Pix's launch immediately prior to Open Finance was not incidental — it provided the settlement rail, the API standards precedent, and the consumer digital finance adoption curve that made open finance's transactional layer viable from Phase 3 onward. For Latin American countries without an equivalent instant payment system, establishing one is likely a prerequisite for effective open finance implementation rather than a parallel track.</w:t>
      </w:r>
      <w:r w:rsidDel="00000000" w:rsidR="00000000" w:rsidRPr="00000000">
        <w:rPr>
          <w:rtl w:val="0"/>
        </w:rPr>
      </w:r>
    </w:p>
    <w:p w:rsidR="00000000" w:rsidDel="00000000" w:rsidP="00000000" w:rsidRDefault="00000000" w:rsidRPr="00000000" w14:paraId="00000044">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(3) Institutional autonomy for the lead regulator materially affects program durability. The BCB's autonomy, codified in 2021, insulated the open finance agenda across political transitions in a country where government policy has historically been subject to significant discontinuity. For jurisdictions where the lead regulatory authority lacks equivalent independence, governance design should include statutory or treaty-level protections for the program's multi-year implementation roadmap.</w:t>
      </w:r>
      <w:r w:rsidDel="00000000" w:rsidR="00000000" w:rsidRPr="00000000">
        <w:rPr>
          <w:rtl w:val="0"/>
        </w:rPr>
      </w:r>
    </w:p>
    <w:p w:rsidR="00000000" w:rsidDel="00000000" w:rsidP="00000000" w:rsidRDefault="00000000" w:rsidRPr="00000000" w14:paraId="00000045">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(4) Action initiation from launch — or with minimal delay — is essential. Brazil's experience reinforces the Australia cautionary case: the 13-month gap between Phase 2 (data sharing) and Phase 3 (payment initiation) was brief enough to avoid adoption stagnation, but the design intention to include transactional capabilities from the start was critical. Frameworks that position data sharing as the endpoint rather than the foundation are likely to underperform.</w:t>
      </w:r>
      <w:r w:rsidDel="00000000" w:rsidR="00000000" w:rsidRPr="00000000">
        <w:rPr>
          <w:rtl w:val="0"/>
        </w:rPr>
      </w:r>
    </w:p>
    <w:p w:rsidR="00000000" w:rsidDel="00000000" w:rsidP="00000000" w:rsidRDefault="00000000" w:rsidRPr="00000000" w14:paraId="00000046">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(5) Broad scope can work in markets with strong institutional capacity and mature digital infrastructure — but requires a carefully sequenced rollout. Brazil's ability to achieve full CCAF data coverage while maintaining adoption momentum reflects the BCB's regulatory credibility, the pre-existence of Pix, and a phased implementation that gave participants time to build compliance capability. These conditions do not uniformly apply across Latin America. For countries with less mature regulatory institutions, weaker digital infrastructure, or smaller financial sectors, a narrower initial scope with explicit expansion mechanisms is likely more appropriate.</w:t>
      </w:r>
      <w:r w:rsidDel="00000000" w:rsidR="00000000" w:rsidRPr="00000000">
        <w:rPr>
          <w:rtl w:val="0"/>
        </w:rPr>
      </w:r>
    </w:p>
    <w:p w:rsidR="00000000" w:rsidDel="00000000" w:rsidP="00000000" w:rsidRDefault="00000000" w:rsidRPr="00000000" w14:paraId="00000047">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(6) Cooperative and microfinance institutions require explicit design accommodation. Brazil's tiered participation model — mandatory for S1/S2, voluntary with reciprocity conditions for smaller institutions — partially addressed this, but the broader question of whether smaller institutions serving underserved populations are effectively integrated into the open finance ecosystem remains open. For countries where cooperativas de credito, cajas populares, and microfinance lenders are primary providers of financial services to excluded populations, open finance framework design must explicitly address their technical capacity and compliance cost constraints.</w:t>
      </w:r>
      <w:r w:rsidDel="00000000" w:rsidR="00000000" w:rsidRPr="00000000">
        <w:rPr>
          <w:rtl w:val="0"/>
        </w:rPr>
      </w:r>
    </w:p>
    <w:p w:rsidR="00000000" w:rsidDel="00000000" w:rsidP="00000000" w:rsidRDefault="00000000" w:rsidRPr="00000000" w14:paraId="00000048">
      <w:pPr>
        <w:pStyle w:val="Heading2"/>
        <w:spacing w:after="160" w:before="320" w:lineRule="auto"/>
        <w:rPr>
          <w:rFonts w:ascii="Calibri" w:cs="Calibri" w:eastAsia="Calibri" w:hAnsi="Calibri"/>
        </w:rPr>
      </w:pPr>
      <w:r w:rsidDel="00000000" w:rsidR="00000000" w:rsidRPr="00000000">
        <w:rPr>
          <w:rFonts w:ascii="Calibri" w:cs="Calibri" w:eastAsia="Calibri" w:hAnsi="Calibri"/>
          <w:color w:val="2e5090"/>
          <w:sz w:val="28"/>
          <w:szCs w:val="28"/>
          <w:rtl w:val="0"/>
        </w:rPr>
        <w:t xml:space="preserve">2.9. Regulatory and Policy Framework</w:t>
      </w:r>
      <w:r w:rsidDel="00000000" w:rsidR="00000000" w:rsidRPr="00000000">
        <w:rPr>
          <w:rtl w:val="0"/>
        </w:rPr>
      </w:r>
    </w:p>
    <w:p w:rsidR="00000000" w:rsidDel="00000000" w:rsidP="00000000" w:rsidRDefault="00000000" w:rsidRPr="00000000" w14:paraId="00000049">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Brazil's open finance ecosystem was built incrementally through foundational statutes, Central Bank regulations, and data protection frameworks. Two blocks of legislation define the enabling environment.</w:t>
      </w:r>
      <w:r w:rsidDel="00000000" w:rsidR="00000000" w:rsidRPr="00000000">
        <w:rPr>
          <w:rtl w:val="0"/>
        </w:rPr>
      </w:r>
    </w:p>
    <w:p w:rsidR="00000000" w:rsidDel="00000000" w:rsidP="00000000" w:rsidRDefault="00000000" w:rsidRPr="00000000" w14:paraId="0000004A">
      <w:pPr>
        <w:pStyle w:val="Heading3"/>
        <w:spacing w:after="120" w:before="240" w:lineRule="auto"/>
        <w:rPr>
          <w:rFonts w:ascii="Calibri" w:cs="Calibri" w:eastAsia="Calibri" w:hAnsi="Calibri"/>
        </w:rPr>
      </w:pPr>
      <w:r w:rsidDel="00000000" w:rsidR="00000000" w:rsidRPr="00000000">
        <w:rPr>
          <w:rFonts w:ascii="Calibri" w:cs="Calibri" w:eastAsia="Calibri" w:hAnsi="Calibri"/>
          <w:sz w:val="24"/>
          <w:szCs w:val="24"/>
          <w:rtl w:val="0"/>
        </w:rPr>
        <w:t xml:space="preserve">Block 1 — Foundational Laws (1964–2018)</w:t>
      </w:r>
      <w:r w:rsidDel="00000000" w:rsidR="00000000" w:rsidRPr="00000000">
        <w:rPr>
          <w:rtl w:val="0"/>
        </w:rPr>
      </w:r>
    </w:p>
    <w:p w:rsidR="00000000" w:rsidDel="00000000" w:rsidP="00000000" w:rsidRDefault="00000000" w:rsidRPr="00000000" w14:paraId="0000004B">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Before any regulation explicitly addressed open data sharing, a series of foundational laws established the institutional preconditions for open finance. Law No. 4,595/1964 created the National Financial System and granted the BCB broad supervisory authority — the legal basis for all subsequent regulatory instruments. Supplementary Law No. 105/2001 established banking secrecy with an explicit consent exception that became the backbone of the data-sharing architecture. Law No. 12,414/2011 created the Cadastro Positivo (positive credit registry), which reduced information asymmetry between large banks and smaller entrants and established the regulatory precedent that data mobility promotes competition. Law No. 12,865/2013 opened the market to non-bank payment institutions and provided the legal authority under which Pix was later created. CMN Resolution No. 4,656/2018 created simplified licensing categories for digital credit fintechs, generating the population of new regulated participants that would later populate the open finance ecosystem.</w:t>
      </w:r>
      <w:r w:rsidDel="00000000" w:rsidR="00000000" w:rsidRPr="00000000">
        <w:rPr>
          <w:rtl w:val="0"/>
        </w:rPr>
      </w:r>
    </w:p>
    <w:p w:rsidR="00000000" w:rsidDel="00000000" w:rsidP="00000000" w:rsidRDefault="00000000" w:rsidRPr="00000000" w14:paraId="0000004C">
      <w:pPr>
        <w:pStyle w:val="Heading3"/>
        <w:spacing w:after="120" w:before="240" w:lineRule="auto"/>
        <w:rPr>
          <w:rFonts w:ascii="Calibri" w:cs="Calibri" w:eastAsia="Calibri" w:hAnsi="Calibri"/>
        </w:rPr>
      </w:pPr>
      <w:r w:rsidDel="00000000" w:rsidR="00000000" w:rsidRPr="00000000">
        <w:rPr>
          <w:rFonts w:ascii="Calibri" w:cs="Calibri" w:eastAsia="Calibri" w:hAnsi="Calibri"/>
          <w:sz w:val="24"/>
          <w:szCs w:val="24"/>
          <w:rtl w:val="0"/>
        </w:rPr>
        <w:t xml:space="preserve">Block 2 — The Open Finance Framework (2018 onward)</w:t>
      </w:r>
      <w:r w:rsidDel="00000000" w:rsidR="00000000" w:rsidRPr="00000000">
        <w:rPr>
          <w:rtl w:val="0"/>
        </w:rPr>
      </w:r>
    </w:p>
    <w:p w:rsidR="00000000" w:rsidDel="00000000" w:rsidP="00000000" w:rsidRDefault="00000000" w:rsidRPr="00000000" w14:paraId="0000004D">
      <w:pPr>
        <w:spacing w:after="160" w:before="0" w:lineRule="auto"/>
        <w:jc w:val="both"/>
        <w:rPr>
          <w:rFonts w:ascii="Calibri" w:cs="Calibri" w:eastAsia="Calibri" w:hAnsi="Calibri"/>
        </w:rPr>
      </w:pPr>
      <w:r w:rsidDel="00000000" w:rsidR="00000000" w:rsidRPr="00000000">
        <w:rPr>
          <w:rFonts w:ascii="Calibri" w:cs="Calibri" w:eastAsia="Calibri" w:hAnsi="Calibri"/>
          <w:sz w:val="24"/>
          <w:szCs w:val="24"/>
          <w:rtl w:val="0"/>
        </w:rPr>
        <w:t xml:space="preserve">Law No. 13,709/2018 (LGPD) established the comprehensive data protection framework — modeled on the GDPR — that enshrined consent and data portability as legal rights and created the dual accountability structure between the ANPD's general oversight and the BCB's sector-specific supervision. BCB Resolution No. 1/2020 established Pix as the national instant payment infrastructure. Joint Resolution CMN/BCB No. 1/2020 created the open finance framework, defining mandatory participation, consent-based data sharing, standardized APIs, and the four-phase implementation roadmap. Complementary Law No. 179/2021 granted the BCB full institutional autonomy. Joint Resolution No. 4/2022 formalized the transition from open banking to open finance, expanding mandatory scope to insurance, pensions, investments, and foreign exchange. Joint Resolution No. 5/2022 established the interoperability framework connecting Open Finance and Open Insurance under a unified consent architecture.</w:t>
      </w:r>
      <w:r w:rsidDel="00000000" w:rsidR="00000000" w:rsidRPr="00000000">
        <w:rPr>
          <w:rtl w:val="0"/>
        </w:rPr>
      </w:r>
    </w:p>
    <w:p w:rsidR="00000000" w:rsidDel="00000000" w:rsidP="00000000" w:rsidRDefault="00000000" w:rsidRPr="00000000" w14:paraId="0000004E">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4F">
      <w:pPr>
        <w:spacing w:after="16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Bdr>
          <w:left w:color="2e5090" w:space="8" w:sz="6" w:val="single"/>
        </w:pBdr>
        <w:spacing w:after="160" w:before="160" w:lineRule="auto"/>
        <w:ind w:left="360" w:firstLine="0"/>
        <w:rPr>
          <w:rFonts w:ascii="Calibri" w:cs="Calibri" w:eastAsia="Calibri" w:hAnsi="Calibri"/>
        </w:rPr>
      </w:pPr>
      <w:r w:rsidDel="00000000" w:rsidR="00000000" w:rsidRPr="00000000">
        <w:rPr>
          <w:rFonts w:ascii="Calibri" w:cs="Calibri" w:eastAsia="Calibri" w:hAnsi="Calibri"/>
          <w:i w:val="1"/>
          <w:iCs w:val="1"/>
          <w:color w:val="666666"/>
          <w:sz w:val="20"/>
          <w:szCs w:val="20"/>
          <w:rtl w:val="0"/>
        </w:rPr>
        <w:t xml:space="preserve">Note for document assembly: Section 2.3 (Quantitative Analysis) placeholder in the original document should be replaced by the empirical findings summarized in Section 2.7 above. The methodology appendix describing the SCR data sources, PIX transaction variables, and regression specifications should be retained as a technical annex.</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5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509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xRUHbA5ELebGJAA8X/IxRmQdwg==">CgMxLjA4AHIhMWY3WkRmZTFNVEVoNU1xOTdselh1dEE0bTBDTVk2MThE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2026-03-30T18:20:36.126Z</dcterms:created>
  <dc:creator>Un-named</dc:creator>
</cp:coreProperties>
</file>

<file path=docProps/custom.xml><?xml version="1.0" encoding="utf-8"?>
<Properties xmlns="http://schemas.openxmlformats.org/officeDocument/2006/custom-properties" xmlns:vt="http://schemas.openxmlformats.org/officeDocument/2006/docPropsVTypes"/>
</file>