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Calibri" w:cs="Calibri" w:eastAsia="Calibri" w:hAnsi="Calibri"/>
          <w:b/>
          <w:bCs/>
          <w:color w:val="1F4E79"/>
          <w:sz w:val="56"/>
          <w:szCs w:val="56"/>
        </w:rPr>
        <w:t xml:space="preserve">Impact of Open Finance on Credit in Brazil</w:t>
      </w:r>
    </w:p>
    <w:p>
      <w:pPr>
        <w:spacing w:after="200"/>
        <w:jc w:val="center"/>
      </w:pPr>
      <w:r>
        <w:rPr>
          <w:rFonts w:ascii="Calibri" w:cs="Calibri" w:eastAsia="Calibri" w:hAnsi="Calibri"/>
          <w:i/>
          <w:iCs/>
          <w:color w:val="2E75B6"/>
          <w:sz w:val="28"/>
          <w:szCs w:val="28"/>
        </w:rPr>
        <w:t xml:space="preserve">Analyzing Credit Growth, Default Rates, PIX Adoption, and the Role of Open Finance</w:t>
      </w:r>
    </w:p>
    <w:p>
      <w:pPr>
        <w:spacing w:after="120"/>
        <w:jc w:val="center"/>
      </w:pPr>
      <w:r>
        <w:rPr>
          <w:rFonts w:ascii="Calibri" w:cs="Calibri" w:eastAsia="Calibri" w:hAnsi="Calibri"/>
          <w:b/>
          <w:bCs/>
          <w:sz w:val="24"/>
          <w:szCs w:val="24"/>
        </w:rPr>
        <w:t xml:space="preserve">Pranav Mehta</w:t>
      </w:r>
    </w:p>
    <w:p>
      <w:pPr>
        <w:spacing w:after="600"/>
        <w:jc w:val="center"/>
      </w:pPr>
      <w:r>
        <w:rPr>
          <w:rFonts w:ascii="Calibri" w:cs="Calibri" w:eastAsia="Calibri" w:hAnsi="Calibri"/>
          <w:color w:val="666666"/>
          <w:sz w:val="22"/>
          <w:szCs w:val="22"/>
        </w:rPr>
        <w:t xml:space="preserve">April 2026</w:t>
      </w:r>
    </w:p>
    <w:p>
      <w:r>
        <w:br w:type="page"/>
      </w:r>
    </w:p>
    <w:p>
      <w:pPr>
        <w:pStyle w:val="Heading1"/>
      </w:pPr>
      <w:r>
        <w:t xml:space="preserve">1. Objective</w:t>
      </w:r>
    </w:p>
    <w:p>
      <w:pPr>
        <w:spacing w:after="160"/>
      </w:pPr>
      <w:r>
        <w:t xml:space="preserve">This chapter examines the impact of Open Finance on credit in Brazil, with a particular focus on financial inclusion. The analysis integrates multiple data sources to construct a comprehensive picture of how the expansion of Open Finance correlates with credit market outcomes across different borrower segments and credit modalities.</w:t>
      </w:r>
    </w:p>
    <w:p>
      <w:pPr>
        <w:spacing w:after="160"/>
      </w:pPr>
      <w:r>
        <w:t xml:space="preserve">The primary data sources are:</w:t>
      </w:r>
    </w:p>
    <w:p>
      <w:pPr>
        <w:pStyle w:val="ListParagraph"/>
        <w:numPr>
          <w:ilvl w:val="0"/>
          <w:numId w:val="2"/>
        </w:numPr>
        <w:spacing w:after="100"/>
      </w:pPr>
      <w:r>
        <w:t xml:space="preserve">SCR.Data (Sistema de Informações de Crédito) — monthly aggregated credit data published by the Central Bank of Brazil (BCB), covering active credit portfolios, default rates, and credit originations.</w:t>
      </w:r>
    </w:p>
    <w:p>
      <w:pPr>
        <w:pStyle w:val="ListParagraph"/>
        <w:numPr>
          <w:ilvl w:val="0"/>
          <w:numId w:val="2"/>
        </w:numPr>
        <w:spacing w:after="100"/>
      </w:pPr>
      <w:r>
        <w:t xml:space="preserve">BCB SGS (Sistema Gerenciador de Séries Temporais) — credit originations by modality, SME credit stock, and average interest rates and loan tenors.</w:t>
      </w:r>
    </w:p>
    <w:p>
      <w:pPr>
        <w:pStyle w:val="ListParagraph"/>
        <w:numPr>
          <w:ilvl w:val="0"/>
          <w:numId w:val="2"/>
        </w:numPr>
        <w:spacing w:after="100"/>
      </w:pPr>
      <w:r>
        <w:t xml:space="preserve">PIX transaction volumes — Brazil's instant payment system, a core pillar of Open Finance infrastructure.</w:t>
      </w:r>
    </w:p>
    <w:p>
      <w:pPr>
        <w:pStyle w:val="ListParagraph"/>
        <w:numPr>
          <w:ilvl w:val="0"/>
          <w:numId w:val="2"/>
        </w:numPr>
        <w:spacing w:after="100"/>
      </w:pPr>
      <w:r>
        <w:t xml:space="preserve">Open Finance customer counts — the number of customers with active data-sharing consents registered in the Open Finance Brazil ecosystem.</w:t>
      </w:r>
    </w:p>
    <w:p>
      <w:pPr>
        <w:spacing w:after="80"/>
      </w:pPr>
      <w:r>
        <w:t xml:space="preserve"/>
      </w:r>
    </w:p>
    <w:p>
      <w:pPr>
        <w:spacing w:after="160"/>
      </w:pPr>
      <w:r>
        <w:t xml:space="preserve">We investigate whether the expansion of Open Finance is associated with the following outcomes:</w:t>
      </w:r>
    </w:p>
    <w:p>
      <w:pPr>
        <w:pStyle w:val="ListParagraph"/>
        <w:numPr>
          <w:ilvl w:val="0"/>
          <w:numId w:val="2"/>
        </w:numPr>
        <w:spacing w:after="100"/>
      </w:pPr>
      <w:r>
        <w:t xml:space="preserve">Credit origination growth — higher flow of new lending, prioritized over stock measures for financial inclusion analysis.</w:t>
      </w:r>
    </w:p>
    <w:p>
      <w:pPr>
        <w:pStyle w:val="ListParagraph"/>
        <w:numPr>
          <w:ilvl w:val="0"/>
          <w:numId w:val="2"/>
        </w:numPr>
        <w:spacing w:after="100"/>
      </w:pPr>
      <w:r>
        <w:t xml:space="preserve">SME credit expansion — credit access for micro, small, and medium enterprises (MPMe).</w:t>
      </w:r>
    </w:p>
    <w:p>
      <w:pPr>
        <w:pStyle w:val="ListParagraph"/>
        <w:numPr>
          <w:ilvl w:val="0"/>
          <w:numId w:val="2"/>
        </w:numPr>
        <w:spacing w:after="100"/>
      </w:pPr>
      <w:r>
        <w:t xml:space="preserve">Consumer credit growth — especially unsecured personal loans where information asymmetry is highest.</w:t>
      </w:r>
    </w:p>
    <w:p>
      <w:pPr>
        <w:pStyle w:val="ListParagraph"/>
        <w:numPr>
          <w:ilvl w:val="0"/>
          <w:numId w:val="2"/>
        </w:numPr>
        <w:spacing w:after="100"/>
      </w:pPr>
      <w:r>
        <w:t xml:space="preserve">Lower default rates — improved credit quality as information-sharing reduces adverse selection and moral hazard.</w:t>
      </w:r>
    </w:p>
    <w:p>
      <w:pPr>
        <w:pStyle w:val="ListParagraph"/>
        <w:numPr>
          <w:ilvl w:val="0"/>
          <w:numId w:val="2"/>
        </w:numPr>
        <w:spacing w:after="100"/>
      </w:pPr>
      <w:r>
        <w:t xml:space="preserve">Changes in lending conditions — whether interest rates decline as Open Finance increases competition among lenders.</w:t>
      </w:r>
    </w:p>
    <w:p>
      <w:pPr>
        <w:pStyle w:val="ListParagraph"/>
        <w:numPr>
          <w:ilvl w:val="0"/>
          <w:numId w:val="2"/>
        </w:numPr>
        <w:spacing w:after="100"/>
      </w:pPr>
      <w:r>
        <w:t xml:space="preserve">Differential effects by client type — whether individuals (PF) and firms (PJ) are affected differently by Open Finance adoption.</w:t>
      </w:r>
    </w:p>
    <w:p>
      <w:pPr>
        <w:pStyle w:val="Heading1"/>
      </w:pPr>
      <w:r>
        <w:t xml:space="preserve">2. Background</w:t>
      </w:r>
    </w:p>
    <w:p>
      <w:pPr>
        <w:pStyle w:val="Heading2"/>
      </w:pPr>
      <w:r>
        <w:t xml:space="preserve">2.1 Open Finance in Brazil</w:t>
      </w:r>
    </w:p>
    <w:p>
      <w:pPr>
        <w:spacing w:after="160"/>
      </w:pPr>
      <w:r>
        <w:t xml:space="preserve">Brazil's Open Finance initiative is regulated by the Central Bank and mandates that financial institutions share customer data — with consent — through standardized APIs. Launched in phases beginning in 2021, the system is designed to increase competition, reduce information asymmetries, and improve credit allocation across the financial system.</w:t>
      </w:r>
    </w:p>
    <w:p>
      <w:pPr>
        <w:spacing w:after="160"/>
      </w:pPr>
      <w:r>
        <w:t xml:space="preserve">By enabling lenders to access a borrower's full financial history across institutions, Open Finance has the potential to expand credit access by helping lenders better assess previously opaque borrowers; reduce default rates by providing richer information that curbs adverse selection and improves risk pricing; and lower interest rates by intensifying competition among lenders for creditworthy customers.</w:t>
      </w:r>
    </w:p>
    <w:p>
      <w:pPr>
        <w:spacing w:after="160"/>
      </w:pPr>
      <w:r>
        <w:t xml:space="preserve">The initiative builds on the infrastructure laid by PIX (launched November 2020) and represents a broader structural shift in how financial data circulates within the Brazilian economy. Brazil's implementation is often cited internationally as a leading model for open banking and open finance policy.</w:t>
      </w:r>
    </w:p>
    <w:p>
      <w:pPr>
        <w:pStyle w:val="Heading2"/>
      </w:pPr>
      <w:r>
        <w:t xml:space="preserve">2.2 SCR — Sistema de Informações de Crédito</w:t>
      </w:r>
    </w:p>
    <w:p>
      <w:pPr>
        <w:spacing w:after="160"/>
      </w:pPr>
      <w:r>
        <w:t xml:space="preserve">The SCR is the Central Bank's credit information system, containing loan-level data from all regulated financial institutions. The public SCR.Data release provides monthly aggregated statistics on three key variables:</w:t>
      </w:r>
    </w:p>
    <w:p>
      <w:pPr>
        <w:pStyle w:val="ListParagraph"/>
        <w:numPr>
          <w:ilvl w:val="0"/>
          <w:numId w:val="2"/>
        </w:numPr>
        <w:spacing w:after="100"/>
      </w:pPr>
      <w:r>
        <w:rPr>
          <w:b/>
          <w:bCs/>
        </w:rPr>
        <w:t xml:space="preserve">Carteira Ativa (Active Portfolio)</w:t>
      </w:r>
      <w:r>
        <w:t xml:space="preserve"> — total outstanding credit stock, computed as the sum of amounts due across credit modalities, encompassing both amounts yet to mature and overdue balances.</w:t>
      </w:r>
    </w:p>
    <w:p>
      <w:pPr>
        <w:pStyle w:val="ListParagraph"/>
        <w:numPr>
          <w:ilvl w:val="0"/>
          <w:numId w:val="2"/>
        </w:numPr>
        <w:spacing w:after="100"/>
      </w:pPr>
      <w:r>
        <w:rPr>
          <w:b/>
          <w:bCs/>
        </w:rPr>
        <w:t xml:space="preserve">Inadimplência (Default Rate)</w:t>
      </w:r>
      <w:r>
        <w:t xml:space="preserve"> — the share of the portfolio with any installment overdue by more than 90 days, the standard international threshold for non-performing loans.</w:t>
      </w:r>
    </w:p>
    <w:p>
      <w:pPr>
        <w:pStyle w:val="ListParagraph"/>
        <w:numPr>
          <w:ilvl w:val="0"/>
          <w:numId w:val="2"/>
        </w:numPr>
        <w:spacing w:after="100"/>
      </w:pPr>
      <w:r>
        <w:rPr>
          <w:b/>
          <w:bCs/>
        </w:rPr>
        <w:t xml:space="preserve">Ativo Problemático (Problem Assets)</w:t>
      </w:r>
      <w:r>
        <w:t xml:space="preserve"> — a broader measure of distressed credit encompassing restructured loans and assets under enhanced surveillance.</w:t>
      </w:r>
    </w:p>
    <w:p>
      <w:pPr>
        <w:spacing w:after="80"/>
      </w:pPr>
      <w:r>
        <w:t xml:space="preserve"/>
      </w:r>
    </w:p>
    <w:p>
      <w:pPr>
        <w:spacing w:after="160"/>
      </w:pPr>
      <w:r>
        <w:t xml:space="preserve">Data is disaggregated by client type (PF: individuals, PJ: firms), credit modality, state, economic sector, and other dimensions, enabling granular analysis of credit market dynamics.</w:t>
      </w:r>
    </w:p>
    <w:p>
      <w:pPr>
        <w:pStyle w:val="Heading2"/>
      </w:pPr>
      <w:r>
        <w:t xml:space="preserve">2.3 PIX</w:t>
      </w:r>
    </w:p>
    <w:p>
      <w:pPr>
        <w:spacing w:after="160"/>
      </w:pPr>
      <w:r>
        <w:t xml:space="preserve">PIX is Brazil's instant payment system, launched in November 2020 by the Central Bank. It enables real-time, 24/7 transfers at zero cost to end users. Within the Open Finance context, PIX enables payment initiation through third-party providers — a core infrastructure pillar. The extraordinary adoption rate of PIX (over 150 million registered users within two years of launch) makes it both a proxy for digital financial inclusion and a complementary measure of Open Finance ecosystem activity.</w:t>
      </w:r>
    </w:p>
    <w:p>
      <w:pPr>
        <w:pStyle w:val="Heading2"/>
      </w:pPr>
      <w:r>
        <w:t xml:space="preserve">2.4 Macroeconomic Controls: Selic and IBC-Br</w:t>
      </w:r>
    </w:p>
    <w:p>
      <w:pPr>
        <w:pStyle w:val="ListParagraph"/>
        <w:numPr>
          <w:ilvl w:val="0"/>
          <w:numId w:val="2"/>
        </w:numPr>
        <w:spacing w:after="100"/>
      </w:pPr>
      <w:r>
        <w:rPr>
          <w:b/>
          <w:bCs/>
        </w:rPr>
        <w:t xml:space="preserve">Selic</w:t>
      </w:r>
      <w:r>
        <w:t xml:space="preserve">: Brazil's policy interest rate target, set by the Monetary Policy Committee (COPOM). The Selic is the primary instrument for influencing inflation and economic activity, and is a critical determinant of credit costs and lending volumes across all modalities.</w:t>
      </w:r>
    </w:p>
    <w:p>
      <w:pPr>
        <w:pStyle w:val="ListParagraph"/>
        <w:numPr>
          <w:ilvl w:val="0"/>
          <w:numId w:val="2"/>
        </w:numPr>
        <w:spacing w:after="100"/>
      </w:pPr>
      <w:r>
        <w:rPr>
          <w:b/>
          <w:bCs/>
        </w:rPr>
        <w:t xml:space="preserve">IBC-Br</w:t>
      </w:r>
      <w:r>
        <w:t xml:space="preserve">: The Central Bank's monthly economic activity index (Índice de Atividade Econômica do Banco Central), a high-frequency GDP proxy. Year-over-year growth in IBC-Br is used as the primary business cycle control, capturing demand-side drivers of credit expansion.</w:t>
      </w:r>
    </w:p>
    <w:p>
      <w:pPr>
        <w:pStyle w:val="Heading1"/>
      </w:pPr>
      <w:r>
        <w:t xml:space="preserve">3. Data Sources and Construction</w:t>
      </w:r>
    </w:p>
    <w:p>
      <w:pPr>
        <w:pStyle w:val="Heading2"/>
      </w:pPr>
      <w:r>
        <w:t xml:space="preserve">3.1 Overview</w:t>
      </w:r>
    </w:p>
    <w:p>
      <w:pPr>
        <w:spacing w:after="160"/>
      </w:pPr>
      <w:r>
        <w:t xml:space="preserve">The empirical dataset integrates six distinct data sources spanning different time horizons and covering different dimensions of credit market activity. The core analytical period — determined by the availability of Open Finance customer counts — runs from January 2023 through the most recent available month. The broader credit and macroeconomic dataset extends to June 2012, enabling baseline estimation without Open Finance controls.</w:t>
      </w:r>
    </w:p>
    <w:p>
      <w:pPr>
        <w:pStyle w:val="Heading2"/>
      </w:pPr>
      <w:r>
        <w:t xml:space="preserve">3.2 SCR.Data — Credit Stock Variables</w:t>
      </w:r>
    </w:p>
    <w:p>
      <w:pPr>
        <w:spacing w:after="160"/>
      </w:pPr>
      <w:r>
        <w:t xml:space="preserve">Monthly national aggregates from the BCB's SCR.Data portal cover June 2012 to June 2025, yielding 157 monthly observations. Three files form the basis of the credit stock analysis:</w:t>
      </w:r>
    </w:p>
    <w:p>
      <w:pPr>
        <w:pStyle w:val="ListParagraph"/>
        <w:numPr>
          <w:ilvl w:val="0"/>
          <w:numId w:val="2"/>
        </w:numPr>
        <w:spacing w:after="100"/>
      </w:pPr>
      <w:r>
        <w:t xml:space="preserve">carteira.csv — Active credit portfolio in R$, with the sample ranging from R$ 2.1 trillion (June 2012) to R$ 6.6 trillion (June 2025).</w:t>
      </w:r>
    </w:p>
    <w:p>
      <w:pPr>
        <w:pStyle w:val="ListParagraph"/>
        <w:numPr>
          <w:ilvl w:val="0"/>
          <w:numId w:val="2"/>
        </w:numPr>
        <w:spacing w:after="100"/>
      </w:pPr>
      <w:r>
        <w:t xml:space="preserve">inadimplência.csv — Default rate (%), ranging from 2.01% to 3.97% over the sample period.</w:t>
      </w:r>
    </w:p>
    <w:p>
      <w:pPr>
        <w:pStyle w:val="ListParagraph"/>
        <w:numPr>
          <w:ilvl w:val="0"/>
          <w:numId w:val="2"/>
        </w:numPr>
        <w:spacing w:after="100"/>
      </w:pPr>
      <w:r>
        <w:t xml:space="preserve">ativo-problemático.csv — Problem asset rate (%), a broader measure of credit distress.</w:t>
      </w:r>
    </w:p>
    <w:p>
      <w:pPr>
        <w:spacing w:after="80"/>
      </w:pPr>
      <w:r>
        <w:t xml:space="preserve"/>
      </w:r>
    </w:p>
    <w:p>
      <w:pPr>
        <w:spacing w:after="160"/>
      </w:pPr>
      <w:r>
        <w:t xml:space="preserve">Supplementary breakdowns include PF/PJ client-type decompositions and PF modality-level data, each covering the same 157-month span. At the latest available month, the key PF credit modalities by outstanding stock are: housing (R$ 1,232.5 bn), payroll loans (R$ 700.2 bn), credit cards (R$ 633.9 bn), vehicles (R$ 364.6 bn), and personal loans (R$ 344.6 bn).</w:t>
      </w:r>
    </w:p>
    <w:p>
      <w:pPr>
        <w:pStyle w:val="Heading2"/>
      </w:pPr>
      <w:r>
        <w:t xml:space="preserve">3.3 BCB SGS — Originations, SME Credit, and Interest Rates</w:t>
      </w:r>
    </w:p>
    <w:p>
      <w:pPr>
        <w:spacing w:after="160"/>
      </w:pPr>
      <w:r>
        <w:t xml:space="preserve">Time series data from the BCB's SGS system cover a longer window (180 observations from March 2011 to February 2026) and provide three additional dimensions of credit market analysis:</w:t>
      </w:r>
    </w:p>
    <w:p>
      <w:pPr>
        <w:spacing w:after="160"/>
      </w:pPr>
      <w:r>
        <w:rPr>
          <w:b/>
          <w:bCs/>
        </w:rPr>
        <w:t xml:space="preserve">Credit Originations (Concessões): </w:t>
      </w:r>
      <w:r>
        <w:t xml:space="preserve">Flow-based measures of new lending, covering total credit, PF personal loans (total and non-payroll), PF credit cards, PJ total originations, and PJ working capital facilities. These flow measures are methodologically preferred to stock measures for financial inclusion analysis, since growth in originations captures whether new borrowers are accessing credit — not just whether existing loans are being maintained.</w:t>
      </w:r>
    </w:p>
    <w:p>
      <w:pPr>
        <w:spacing w:after="160"/>
      </w:pPr>
      <w:r>
        <w:rPr>
          <w:b/>
          <w:bCs/>
        </w:rPr>
        <w:t xml:space="preserve">SME Credit Stock: </w:t>
      </w:r>
      <w:r>
        <w:t xml:space="preserve">The outstanding credit balance for Micro, Small &amp; Medium enterprises (MPMe), drawn from BCB SGS Series 27701, covering 170 months from January 2012 to February 2026.</w:t>
      </w:r>
    </w:p>
    <w:p>
      <w:pPr>
        <w:spacing w:after="160"/>
      </w:pPr>
      <w:r>
        <w:rPr>
          <w:b/>
          <w:bCs/>
        </w:rPr>
        <w:t xml:space="preserve">Interest Rates: </w:t>
      </w:r>
      <w:r>
        <w:t xml:space="preserve">Average lending rates for PF total credit, PF personal non-payroll, and PJ small business borrowers, enabling analysis of whether Open Finance expansion is associated with declining borrowing costs.</w:t>
      </w:r>
    </w:p>
    <w:p>
      <w:pPr>
        <w:pStyle w:val="Heading2"/>
      </w:pPr>
      <w:r>
        <w:t xml:space="preserve">3.4 PIX, Open Finance Customers, and API Call Data</w:t>
      </w:r>
    </w:p>
    <w:p>
      <w:pPr>
        <w:spacing w:after="160"/>
      </w:pPr>
      <w:r>
        <w:t xml:space="preserve">PIX transaction volumes and Open Finance customer counts are drawn from data/data_monthly.xlsx. The PIX and macroeconomic series extend from November 2020 to December 2024 (62 months), while the Open Finance customer count data covers January 2023 onwards (36 months with customer data). Open Finance API call volumes by category are available from November 2023 onwards (30 months), providing 22 observations that overlap with the SCR credit data.</w:t>
      </w:r>
    </w:p>
    <w:p>
      <w:pPr>
        <w:spacing w:after="160"/>
      </w:pPr>
      <w:r>
        <w:t xml:space="preserve">The API data distinguishes credit-relevant calls (Cartão de Crédito, Empréstimos, Financiamentos, and Direitos Creditórios Descontados) from other Open Finance data-sharing categories, enabling construction of a credit-specific activity measure.</w:t>
      </w:r>
    </w:p>
    <w:p>
      <w:pPr>
        <w:pStyle w:val="Heading2"/>
      </w:pPr>
      <w:r>
        <w:t xml:space="preserve">3.5 Merged Dataset</w:t>
      </w:r>
    </w:p>
    <w:p>
      <w:pPr>
        <w:spacing w:after="160"/>
      </w:pPr>
      <w:r>
        <w:t xml:space="preserve">After merging all sources on a monthly date key, the combined dataset contains 62 months of observations. Months with credit data: 56. Months with PF/PJ decomposition data: 56. Months with both credit data and Open Finance customer counts — the core analytical sample for the extended models — total 30 observations.</w:t>
      </w:r>
    </w:p>
    <w:p>
      <w:pPr>
        <w:pStyle w:val="Heading1"/>
      </w:pPr>
      <w:r>
        <w:t xml:space="preserve">4. Empirical Methodology</w:t>
      </w:r>
    </w:p>
    <w:p>
      <w:pPr>
        <w:pStyle w:val="Heading2"/>
      </w:pPr>
      <w:r>
        <w:t xml:space="preserve">4.1 Regression Framework</w:t>
      </w:r>
    </w:p>
    <w:p>
      <w:pPr>
        <w:spacing w:after="160"/>
      </w:pPr>
      <w:r>
        <w:t xml:space="preserve">All models are estimated as time-series OLS regressions with Newey–West heteroskedasticity- and autocorrelation-consistent (HAC) standard errors, using the sandwich and lmtest packages in R. HAC standard errors are appropriate given the likely autocorrelation in monthly time-series credit data and potential conditional heteroskedasticity. The lag truncation parameter is set to 4 (corresponding to a four-month window), consistent with common practice for monthly macroeconomic data.</w:t>
      </w:r>
    </w:p>
    <w:p>
      <w:pPr>
        <w:pStyle w:val="Heading2"/>
      </w:pPr>
      <w:r>
        <w:t xml:space="preserve">4.2 Treatment Variable</w:t>
      </w:r>
    </w:p>
    <w:p>
      <w:pPr>
        <w:spacing w:after="160"/>
      </w:pPr>
      <w:r>
        <w:t xml:space="preserve">The primary treatment variable for Open Finance is ln(Customers), the natural logarithm of the number of customers with active Open Finance data-sharing consents. The logarithmic transformation accounts for the diminishing marginal effect of incremental adoption and normalizes the scale of the variable relative to credit growth rates measured in percentage points.</w:t>
      </w:r>
    </w:p>
    <w:p>
      <w:pPr>
        <w:spacing w:after="160"/>
      </w:pPr>
      <w:r>
        <w:t xml:space="preserve">An alternative treatment variable — ln(API Credit Calls), the natural log of credit-related API call volumes — is used in Part F to measure the intensity of Open Finance use in the credit market specifically, as distinct from the breadth of adoption captured by customer counts.</w:t>
      </w:r>
    </w:p>
    <w:p>
      <w:pPr>
        <w:pStyle w:val="Heading2"/>
      </w:pPr>
      <w:r>
        <w:t xml:space="preserve">4.3 Part A — Credit Growth Models</w:t>
      </w:r>
    </w:p>
    <w:p>
      <w:pPr>
        <w:spacing w:after="160"/>
      </w:pPr>
      <w:r>
        <w:t xml:space="preserve">Tests whether Open Finance adoption is associated with credit expansion, controlling for monetary policy and the business cycle. The specification is:</w:t>
      </w:r>
    </w:p>
    <w:p>
      <w:pPr>
        <w:spacing w:after="120" w:before="120"/>
        <w:ind w:left="720"/>
      </w:pPr>
      <w:r>
        <w:rPr>
          <w:i/>
          <w:iCs/>
          <w:sz w:val="20"/>
          <w:szCs w:val="20"/>
        </w:rPr>
        <w:t xml:space="preserve">g_Credit,t = β₀ + β₁·Selic_t + β₂·g_IBC-Br,t + β₃·ln(Customers_t) + ε_t</w:t>
      </w:r>
    </w:p>
    <w:p>
      <w:pPr>
        <w:spacing w:after="160"/>
      </w:pPr>
      <w:r>
        <w:t xml:space="preserve">where g_Credit is the year-over-year percentage growth rate of the active credit portfolio. The hypothesis is β₃ &gt; 0: Open Finance adoption is associated with faster credit growth.</w:t>
      </w:r>
    </w:p>
    <w:p>
      <w:pPr>
        <w:pStyle w:val="Heading2"/>
      </w:pPr>
      <w:r>
        <w:t xml:space="preserve">4.4 Part B — Default Rate Models</w:t>
      </w:r>
    </w:p>
    <w:p>
      <w:pPr>
        <w:spacing w:after="160"/>
      </w:pPr>
      <w:r>
        <w:t xml:space="preserve">Tests whether Open Finance is associated with improved credit quality. The dependent variable is the 12-month change in the default rate (Δ₁₂ Default_t), isolating changes in credit quality from the level of default rates:</w:t>
      </w:r>
    </w:p>
    <w:p>
      <w:pPr>
        <w:spacing w:after="120" w:before="120"/>
        <w:ind w:left="720"/>
      </w:pPr>
      <w:r>
        <w:rPr>
          <w:i/>
          <w:iCs/>
          <w:sz w:val="20"/>
          <w:szCs w:val="20"/>
        </w:rPr>
        <w:t xml:space="preserve">Δ₁₂ Default_t = β₀ + β₁·Selic_t + β₂·g_IBC-Br,t + β₃·ln(Customers_t) + ε_t</w:t>
      </w:r>
    </w:p>
    <w:p>
      <w:pPr>
        <w:spacing w:after="160"/>
      </w:pPr>
      <w:r>
        <w:t xml:space="preserve">The hypothesis is β₃ &lt; 0: Open Finance adoption is associated with declining default rates (better credit quality), as information sharing reduces adverse selection.</w:t>
      </w:r>
    </w:p>
    <w:p>
      <w:pPr>
        <w:pStyle w:val="Heading2"/>
      </w:pPr>
      <w:r>
        <w:t xml:space="preserve">4.5 Parts C–F — Extended Models</w:t>
      </w:r>
    </w:p>
    <w:p>
      <w:pPr>
        <w:spacing w:after="160"/>
      </w:pPr>
      <w:r>
        <w:t xml:space="preserve">Parts C through F follow the same structural form, replacing the dependent variable with credit origination growth (Part C), SME credit growth (Part D), year-over-year interest rate changes (Part E), and using API call volume as the treatment variable (Part F). Throughout, baseline models omitting the Open Finance variable (Selic + IBC-Br only) are estimated on the full sample to provide a reference point, while the extended models are estimated on the shorter overlapping sample that includes customer count data.</w:t>
      </w:r>
    </w:p>
    <w:p>
      <w:pPr>
        <w:pStyle w:val="Heading1"/>
      </w:pPr>
      <w:r>
        <w:t xml:space="preserve">5. Descriptive Analysis</w:t>
      </w:r>
    </w:p>
    <w:p>
      <w:pPr>
        <w:pStyle w:val="Heading2"/>
      </w:pPr>
      <w:r>
        <w:t xml:space="preserve">5.1 Credit Portfolio Evolution</w:t>
      </w:r>
    </w:p>
    <w:p>
      <w:pPr>
        <w:spacing w:after="160"/>
      </w:pPr>
      <w:r>
        <w:t xml:space="preserve">Brazil's total active credit portfolio has expanded substantially over the sample period, rising from R$ 2.1 trillion in June 2012 to R$ 6.6 trillion in June 2025 — a near-tripling in nominal terms. Growth was not monotonic: the COVID-19 period (2020–2021) created a structural break, with emergency credit programs briefly accelerating portfolio growth before a subsequent normalization. The high-Selic environment from 2022 onwards moderated the pace of expansion, particularly in long-duration modalities such as housing.</w:t>
      </w:r>
    </w:p>
    <w:p>
      <w:pPr>
        <w:pBdr>
          <w:top w:val="single" w:color="CCCCCC" w:sz="4"/>
          <w:bottom w:val="single" w:color="CCCCCC" w:sz="4"/>
        </w:pBdr>
        <w:spacing w:after="120" w:before="120"/>
      </w:pPr>
      <w:r>
        <w:rPr>
          <w:i/>
          <w:iCs/>
          <w:color w:val="888888"/>
          <w:sz w:val="20"/>
          <w:szCs w:val="20"/>
        </w:rPr>
        <w:t xml:space="preserve">[Figure 1: Total Active Credit Portfolio, June 2012 – June 2025 (R$ trillion)]</w:t>
      </w:r>
    </w:p>
    <w:p>
      <w:pPr>
        <w:spacing w:after="200" w:before="80"/>
      </w:pPr>
      <w:r>
        <w:rPr>
          <w:i/>
          <w:iCs/>
          <w:color w:val="444444"/>
          <w:sz w:val="20"/>
          <w:szCs w:val="20"/>
        </w:rPr>
        <w:t xml:space="preserve">Figure 1. Total active credit portfolio (Carteira Ativa) from BCB SCR.Data. Shaded region indicates Open Finance rollout period from 2021.</w:t>
      </w:r>
    </w:p>
    <w:p>
      <w:pPr>
        <w:pStyle w:val="Heading2"/>
      </w:pPr>
      <w:r>
        <w:t xml:space="preserve">5.2 Credit Portfolio by Client Type</w:t>
      </w:r>
    </w:p>
    <w:p>
      <w:pPr>
        <w:spacing w:after="160"/>
      </w:pPr>
      <w:r>
        <w:t xml:space="preserve">PF (individual) credit has grown faster than PJ (corporate) credit over the sample period, increasing from R$ 957 billion in June 2012 to R$ 4.2 trillion by the latest available data point. PJ credit grew more modestly, from R$ 1.15 trillion to R$ 2.4 trillion. The PF share of total credit expanded from roughly 45% to over 60%, reflecting the deepening of consumer credit markets and the rapid growth of payroll lending, housing credit, and credit cards.</w:t>
      </w:r>
    </w:p>
    <w:p>
      <w:pPr>
        <w:pBdr>
          <w:top w:val="single" w:color="CCCCCC" w:sz="4"/>
          <w:bottom w:val="single" w:color="CCCCCC" w:sz="4"/>
        </w:pBdr>
        <w:spacing w:after="120" w:before="120"/>
      </w:pPr>
      <w:r>
        <w:rPr>
          <w:i/>
          <w:iCs/>
          <w:color w:val="888888"/>
          <w:sz w:val="20"/>
          <w:szCs w:val="20"/>
        </w:rPr>
        <w:t xml:space="preserve">[Figure 2: Credit Portfolio by Client Type (PF vs. PJ)]</w:t>
      </w:r>
    </w:p>
    <w:p>
      <w:pPr>
        <w:spacing w:after="200" w:before="80"/>
      </w:pPr>
      <w:r>
        <w:rPr>
          <w:i/>
          <w:iCs/>
          <w:color w:val="444444"/>
          <w:sz w:val="20"/>
          <w:szCs w:val="20"/>
        </w:rPr>
        <w:t xml:space="preserve">Figure 2. Credit portfolio decomposed by PF (individuals) and PJ (firms). Source: BCB SCR.Data.</w:t>
      </w:r>
    </w:p>
    <w:p>
      <w:pPr>
        <w:pStyle w:val="Heading2"/>
      </w:pPr>
      <w:r>
        <w:t xml:space="preserve">5.3 PF Credit by Modality</w:t>
      </w:r>
    </w:p>
    <w:p>
      <w:pPr>
        <w:spacing w:after="160"/>
      </w:pPr>
      <w:r>
        <w:t xml:space="preserve">Within the PF segment, housing credit is the dominant modality at R$ 1,232.5 billion, followed by payroll loans (R$ 700.2 bn), credit cards (R$ 633.9 bn), vehicles (R$ 364.6 bn), and personal loans (R$ 344.6 bn). Personal loans are the highest-friction segment — unsecured, without automatic repayment deduction — making them the most theoretically relevant modality for Open Finance analysis, since borrower information quality has the largest impact on lending decisions in this category.</w:t>
      </w:r>
    </w:p>
    <w:p>
      <w:pPr>
        <w:pBdr>
          <w:top w:val="single" w:color="CCCCCC" w:sz="4"/>
          <w:bottom w:val="single" w:color="CCCCCC" w:sz="4"/>
        </w:pBdr>
        <w:spacing w:after="120" w:before="120"/>
      </w:pPr>
      <w:r>
        <w:rPr>
          <w:i/>
          <w:iCs/>
          <w:color w:val="888888"/>
          <w:sz w:val="20"/>
          <w:szCs w:val="20"/>
        </w:rPr>
        <w:t xml:space="preserve">[Figure 3: PF Credit Portfolio by Modality]</w:t>
      </w:r>
    </w:p>
    <w:p>
      <w:pPr>
        <w:spacing w:after="200" w:before="80"/>
      </w:pPr>
      <w:r>
        <w:rPr>
          <w:i/>
          <w:iCs/>
          <w:color w:val="444444"/>
          <w:sz w:val="20"/>
          <w:szCs w:val="20"/>
        </w:rPr>
        <w:t xml:space="preserve">Figure 3. Decomposition of PF credit portfolio across key modalities. Source: BCB SCR.Data.</w:t>
      </w:r>
    </w:p>
    <w:p>
      <w:pPr>
        <w:pStyle w:val="Heading2"/>
      </w:pPr>
      <w:r>
        <w:t xml:space="preserve">5.4 Default Rates</w:t>
      </w:r>
    </w:p>
    <w:p>
      <w:pPr>
        <w:spacing w:after="160"/>
      </w:pPr>
      <w:r>
        <w:t xml:space="preserve">The overall default rate has ranged from 2.01% to 3.97% over the 2012–2025 sample, with a mean of 3.03%. The rate spiked during the 2015–2016 recession, compressed in 2019–2020, and rose again through 2022–2023 as monetary tightening increased debt service burdens. As Open Finance customer counts have grown through 2023–2025, default rates have generally declined — a descriptive pattern examined more rigorously in the regression analysis.</w:t>
      </w:r>
    </w:p>
    <w:p>
      <w:pPr>
        <w:pBdr>
          <w:top w:val="single" w:color="CCCCCC" w:sz="4"/>
          <w:bottom w:val="single" w:color="CCCCCC" w:sz="4"/>
        </w:pBdr>
        <w:spacing w:after="120" w:before="120"/>
      </w:pPr>
      <w:r>
        <w:rPr>
          <w:i/>
          <w:iCs/>
          <w:color w:val="888888"/>
          <w:sz w:val="20"/>
          <w:szCs w:val="20"/>
        </w:rPr>
        <w:t xml:space="preserve">[Figure 4: Default Rate (Inadimplência), June 2012 – June 2025]</w:t>
      </w:r>
    </w:p>
    <w:p>
      <w:pPr>
        <w:spacing w:after="200" w:before="80"/>
      </w:pPr>
      <w:r>
        <w:rPr>
          <w:i/>
          <w:iCs/>
          <w:color w:val="444444"/>
          <w:sz w:val="20"/>
          <w:szCs w:val="20"/>
        </w:rPr>
        <w:t xml:space="preserve">Figure 4. National default rate (share of portfolio &gt; 90 days past due). Source: BCB SCR.Data.</w:t>
      </w:r>
    </w:p>
    <w:p>
      <w:pPr>
        <w:pStyle w:val="Heading2"/>
      </w:pPr>
      <w:r>
        <w:t xml:space="preserve">5.5 Credit YoY Growth</w:t>
      </w:r>
    </w:p>
    <w:p>
      <w:pPr>
        <w:spacing w:after="160"/>
      </w:pPr>
      <w:r>
        <w:t xml:space="preserve">Year-over-year credit growth has been volatile, ranging from single digits during periods of macroeconomic stress to above 20% in post-pandemic rebound years. The baseline period for the Open Finance customer models (January 2023 onwards) exhibits a gradual deceleration in YoY credit growth from pandemic-era highs, consistent with the broader credit cycle normalization under elevated Selic rates.</w:t>
      </w:r>
    </w:p>
    <w:p>
      <w:pPr>
        <w:pBdr>
          <w:top w:val="single" w:color="CCCCCC" w:sz="4"/>
          <w:bottom w:val="single" w:color="CCCCCC" w:sz="4"/>
        </w:pBdr>
        <w:spacing w:after="120" w:before="120"/>
      </w:pPr>
      <w:r>
        <w:rPr>
          <w:i/>
          <w:iCs/>
          <w:color w:val="888888"/>
          <w:sz w:val="20"/>
          <w:szCs w:val="20"/>
        </w:rPr>
        <w:t xml:space="preserve">[Figure 5: Year-over-Year Credit Portfolio Growth (%)]</w:t>
      </w:r>
    </w:p>
    <w:p>
      <w:pPr>
        <w:spacing w:after="200" w:before="80"/>
      </w:pPr>
      <w:r>
        <w:rPr>
          <w:i/>
          <w:iCs/>
          <w:color w:val="444444"/>
          <w:sz w:val="20"/>
          <w:szCs w:val="20"/>
        </w:rPr>
        <w:t xml:space="preserve">Figure 5. Annual growth rate of total active credit portfolio. Source: BCB SCR.Data.</w:t>
      </w:r>
    </w:p>
    <w:p>
      <w:pPr>
        <w:pStyle w:val="Heading2"/>
      </w:pPr>
      <w:r>
        <w:t xml:space="preserve">5.6 PIX Transaction Volumes</w:t>
      </w:r>
    </w:p>
    <w:p>
      <w:pPr>
        <w:spacing w:after="160"/>
      </w:pPr>
      <w:r>
        <w:t xml:space="preserve">PIX transaction volumes have grown dramatically since the system's launch in November 2020, providing a real-time measure of digital payment infrastructure adoption. PIX volumes exhibit a strong upward trend with monthly seasonality, reflecting payroll and commercial payment cycles. The high correlation between PIX volumes and Open Finance customer counts (r = 0.912, see correlation matrix below) reflects their common driver: the ongoing digitalization of Brazil's financial ecosystem.</w:t>
      </w:r>
    </w:p>
    <w:p>
      <w:pPr>
        <w:pBdr>
          <w:top w:val="single" w:color="CCCCCC" w:sz="4"/>
          <w:bottom w:val="single" w:color="CCCCCC" w:sz="4"/>
        </w:pBdr>
        <w:spacing w:after="120" w:before="120"/>
      </w:pPr>
      <w:r>
        <w:rPr>
          <w:i/>
          <w:iCs/>
          <w:color w:val="888888"/>
          <w:sz w:val="20"/>
          <w:szCs w:val="20"/>
        </w:rPr>
        <w:t xml:space="preserve">[Figure 6: PIX Monthly Transaction Volumes]</w:t>
      </w:r>
    </w:p>
    <w:p>
      <w:pPr>
        <w:spacing w:after="200" w:before="80"/>
      </w:pPr>
      <w:r>
        <w:rPr>
          <w:i/>
          <w:iCs/>
          <w:color w:val="444444"/>
          <w:sz w:val="20"/>
          <w:szCs w:val="20"/>
        </w:rPr>
        <w:t xml:space="preserve">Figure 6. Monthly PIX transaction volumes from November 2020. Source: BCB / Open Finance Brazil.</w:t>
      </w:r>
    </w:p>
    <w:p>
      <w:pPr>
        <w:pStyle w:val="Heading2"/>
      </w:pPr>
      <w:r>
        <w:t xml:space="preserve">5.7 Open Finance Customer Counts and API Calls</w:t>
      </w:r>
    </w:p>
    <w:p>
      <w:pPr>
        <w:spacing w:after="160"/>
      </w:pPr>
      <w:r>
        <w:t xml:space="preserve">Open Finance customer counts — the number of individuals with active data-sharing consents — have grown monotonically since the system's launch. By early 2025, the system had accumulated tens of millions of registered users. API call volumes in credit-related categories (credit cards, loans, financing, and discounted credit rights) reached approximately 78,670 thousand calls in the most recent available month.</w:t>
      </w:r>
    </w:p>
    <w:p>
      <w:pPr>
        <w:pBdr>
          <w:top w:val="single" w:color="CCCCCC" w:sz="4"/>
          <w:bottom w:val="single" w:color="CCCCCC" w:sz="4"/>
        </w:pBdr>
        <w:spacing w:after="120" w:before="120"/>
      </w:pPr>
      <w:r>
        <w:rPr>
          <w:i/>
          <w:iCs/>
          <w:color w:val="888888"/>
          <w:sz w:val="20"/>
          <w:szCs w:val="20"/>
        </w:rPr>
        <w:t xml:space="preserve">[Figure 7: Open Finance Customer Counts (January 2023 – Present)]</w:t>
      </w:r>
    </w:p>
    <w:p>
      <w:pPr>
        <w:spacing w:after="200" w:before="80"/>
      </w:pPr>
      <w:r>
        <w:rPr>
          <w:i/>
          <w:iCs/>
          <w:color w:val="444444"/>
          <w:sz w:val="20"/>
          <w:szCs w:val="20"/>
        </w:rPr>
        <w:t xml:space="preserve">Figure 7. Cumulative Open Finance customer counts with active data-sharing consents. Source: Open Finance Brazil.</w:t>
      </w:r>
    </w:p>
    <w:p>
      <w:pPr>
        <w:pBdr>
          <w:top w:val="single" w:color="CCCCCC" w:sz="4"/>
          <w:bottom w:val="single" w:color="CCCCCC" w:sz="4"/>
        </w:pBdr>
        <w:spacing w:after="120" w:before="120"/>
      </w:pPr>
      <w:r>
        <w:rPr>
          <w:i/>
          <w:iCs/>
          <w:color w:val="888888"/>
          <w:sz w:val="20"/>
          <w:szCs w:val="20"/>
        </w:rPr>
        <w:t xml:space="preserve">[Figure 8: Open Finance API Calls by Category]</w:t>
      </w:r>
    </w:p>
    <w:p>
      <w:pPr>
        <w:spacing w:after="200" w:before="80"/>
      </w:pPr>
      <w:r>
        <w:rPr>
          <w:i/>
          <w:iCs/>
          <w:color w:val="444444"/>
          <w:sz w:val="20"/>
          <w:szCs w:val="20"/>
        </w:rPr>
        <w:t xml:space="preserve">Figure 8. Monthly API call volumes disaggregated by data category. Source: Open Finance Brazil.</w:t>
      </w:r>
    </w:p>
    <w:p>
      <w:pPr>
        <w:pStyle w:val="Heading2"/>
      </w:pPr>
      <w:r>
        <w:t xml:space="preserve">5.8 Correlation Matrix</w:t>
      </w:r>
    </w:p>
    <w:p>
      <w:pPr>
        <w:spacing w:after="160"/>
      </w:pPr>
      <w:r>
        <w:t xml:space="preserve">Table 1 presents the pairwise correlation matrix for the key variables over the 30-month overlap period (months with both credit and Open Finance customer data, N = 30).</w:t>
      </w:r>
    </w:p>
    <w:p>
      <w:pPr>
        <w:spacing w:after="80"/>
      </w:pPr>
      <w:r>
        <w:t xml:space="preserve"/>
      </w:r>
    </w:p>
    <w:p>
      <w:pPr>
        <w:spacing w:after="200" w:before="80"/>
      </w:pPr>
      <w:r>
        <w:rPr>
          <w:i/>
          <w:iCs/>
          <w:color w:val="444444"/>
          <w:sz w:val="20"/>
          <w:szCs w:val="20"/>
        </w:rPr>
        <w:t xml:space="preserve">Table 1. Pairwise Correlation Matrix (N = 30 months, variables in levels)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350"/>
        <w:gridCol w:w="1350"/>
        <w:gridCol w:w="1350"/>
        <w:gridCol w:w="1350"/>
        <w:gridCol w:w="1350"/>
        <w:gridCol w:w="1350"/>
      </w:tblGrid>
      <w:tr>
        <w:tc>
          <w:tcPr>
            <w:tcW w:type="dxa" w:w="162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
            </w:r>
          </w:p>
        </w:tc>
        <w:tc>
          <w:tcPr>
            <w:tcW w:type="dxa" w:w="13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Credit Portfolio</w:t>
            </w:r>
          </w:p>
        </w:tc>
        <w:tc>
          <w:tcPr>
            <w:tcW w:type="dxa" w:w="13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Default Rate</w:t>
            </w:r>
          </w:p>
        </w:tc>
        <w:tc>
          <w:tcPr>
            <w:tcW w:type="dxa" w:w="13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PIX</w:t>
            </w:r>
          </w:p>
        </w:tc>
        <w:tc>
          <w:tcPr>
            <w:tcW w:type="dxa" w:w="13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Customers</w:t>
            </w:r>
          </w:p>
        </w:tc>
        <w:tc>
          <w:tcPr>
            <w:tcW w:type="dxa" w:w="13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Selic</w:t>
            </w:r>
          </w:p>
        </w:tc>
        <w:tc>
          <w:tcPr>
            <w:tcW w:type="dxa" w:w="13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IBC-Br</w:t>
            </w:r>
          </w:p>
        </w:tc>
      </w:tr>
      <w:tr>
        <w:tc>
          <w:tcPr>
            <w:tcW w:type="dxa" w:w="16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bCs/>
                <w:sz w:val="18"/>
                <w:szCs w:val="18"/>
              </w:rPr>
              <w:t xml:space="preserve">Credit Portfolio</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1.000</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0.233</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0.966</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0.959</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−0.099</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0.560</w:t>
            </w:r>
          </w:p>
        </w:tc>
      </w:tr>
      <w:tr>
        <w:tc>
          <w:tcPr>
            <w:tcW w:type="dxa" w:w="16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bCs/>
                <w:sz w:val="18"/>
                <w:szCs w:val="18"/>
              </w:rPr>
              <w:t xml:space="preserve">Default Rate</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0.233</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1.000</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0.136</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0.474</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0.751</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0.225</w:t>
            </w:r>
          </w:p>
        </w:tc>
      </w:tr>
      <w:tr>
        <w:tc>
          <w:tcPr>
            <w:tcW w:type="dxa" w:w="16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bCs/>
                <w:sz w:val="18"/>
                <w:szCs w:val="18"/>
              </w:rPr>
              <w:t xml:space="preserve">PIX</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0.966</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0.136</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1.000</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0.912</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−0.271</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0.590</w:t>
            </w:r>
          </w:p>
        </w:tc>
      </w:tr>
      <w:tr>
        <w:tc>
          <w:tcPr>
            <w:tcW w:type="dxa" w:w="16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bCs/>
                <w:sz w:val="18"/>
                <w:szCs w:val="18"/>
              </w:rPr>
              <w:t xml:space="preserve">Customers</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0.959</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0.474</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0.912</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1.000</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0.114</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0.544</w:t>
            </w:r>
          </w:p>
        </w:tc>
      </w:tr>
      <w:tr>
        <w:tc>
          <w:tcPr>
            <w:tcW w:type="dxa" w:w="16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bCs/>
                <w:sz w:val="18"/>
                <w:szCs w:val="18"/>
              </w:rPr>
              <w:t xml:space="preserve">Selic</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−0.099</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0.751</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−0.271</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0.114</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1.000</w:t>
            </w:r>
          </w:p>
        </w:tc>
        <w:tc>
          <w:tcPr>
            <w:tcW w:type="dxa" w:w="13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−0.116</w:t>
            </w:r>
          </w:p>
        </w:tc>
      </w:tr>
      <w:tr>
        <w:tc>
          <w:tcPr>
            <w:tcW w:type="dxa" w:w="16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bCs/>
                <w:sz w:val="18"/>
                <w:szCs w:val="18"/>
              </w:rPr>
              <w:t xml:space="preserve">IBC-Br</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0.560</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0.225</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0.590</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0.544</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−0.116</w:t>
            </w:r>
          </w:p>
        </w:tc>
        <w:tc>
          <w:tcPr>
            <w:tcW w:type="dxa" w:w="13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1.000</w:t>
            </w:r>
          </w:p>
        </w:tc>
      </w:tr>
    </w:tbl>
    <w:p>
      <w:pPr>
        <w:spacing w:after="80"/>
      </w:pPr>
      <w:r>
        <w:t xml:space="preserve"/>
      </w:r>
    </w:p>
    <w:p>
      <w:pPr>
        <w:spacing w:after="160"/>
      </w:pPr>
      <w:r>
        <w:t xml:space="preserve">The correlation matrix reveals several patterns. Credit portfolio levels are highly correlated with PIX volumes (r = 0.966) and Open Finance customer counts (r = 0.959), consistent with all three trending upward through the 2023–2025 period. Default rates show strong correlation with the Selic rate (r = 0.751), confirming the importance of monetary policy as a control variable. Note that level correlations between trending variables may overstate the true relationship; the regression models address this by using growth rates and first differences as dependent variables.</w:t>
      </w:r>
    </w:p>
    <w:p>
      <w:pPr>
        <w:pStyle w:val="Heading1"/>
      </w:pPr>
      <w:r>
        <w:t xml:space="preserve">6. Regression Results</w:t>
      </w:r>
    </w:p>
    <w:p>
      <w:pPr>
        <w:pStyle w:val="Heading2"/>
      </w:pPr>
      <w:r>
        <w:t xml:space="preserve">6.1 Part A: Credit Growth Models</w:t>
      </w:r>
    </w:p>
    <w:p>
      <w:pPr>
        <w:pStyle w:val="Heading3"/>
      </w:pPr>
      <w:r>
        <w:t xml:space="preserve">6.1.1 Baseline: Credit Growth ~ Selic + IBC-Br</w:t>
      </w:r>
    </w:p>
    <w:p>
      <w:pPr>
        <w:spacing w:after="160"/>
      </w:pPr>
      <w:r>
        <w:t xml:space="preserve">The baseline model for year-over-year credit growth uses only macroeconomic controls and is estimated on the full sample of N = 44 observations with valid YoY growth rates. Neither the Selic rate nor IBC-Br growth is statistically significant at conventional levels. The intercept of approximately 12.1 pp implies a secular credit growth trend of roughly 12% per year in the absence of macroeconomic variation, consistent with historical averages. The very low R² of 0.005 suggests that macroeconomic controls alone explain virtually none of the short-run variation in YoY credit growth in this sample window, motivating the addition of Open Finance variables.</w:t>
      </w:r>
    </w:p>
    <w:p>
      <w:pPr>
        <w:spacing w:after="80"/>
      </w:pPr>
      <w:r>
        <w:t xml:space="preserve"/>
      </w:r>
    </w:p>
    <w:p>
      <w:pPr>
        <w:spacing w:after="200" w:before="80"/>
      </w:pPr>
      <w:r>
        <w:rPr>
          <w:i/>
          <w:iCs/>
          <w:color w:val="444444"/>
          <w:sz w:val="20"/>
          <w:szCs w:val="20"/>
        </w:rPr>
        <w:t xml:space="preserve">Table 2. Credit Growth — Baseline Model (YoY, HAC standard errors)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50"/>
        <w:gridCol w:w="1050"/>
        <w:gridCol w:w="850"/>
        <w:gridCol w:w="850"/>
        <w:gridCol w:w="770"/>
        <w:gridCol w:w="1150"/>
      </w:tblGrid>
      <w:tr>
        <w:tc>
          <w:tcPr>
            <w:tcW w:type="dxa" w:w="21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Model</w:t>
            </w:r>
          </w:p>
        </w:tc>
        <w:tc>
          <w:tcPr>
            <w:tcW w:type="dxa" w:w="19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Term</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Estimate</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 (HAC)</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p-value</w:t>
            </w:r>
          </w:p>
        </w:tc>
        <w:tc>
          <w:tcPr>
            <w:tcW w:type="dxa" w:w="77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R²</w:t>
            </w:r>
          </w:p>
        </w:tc>
        <w:tc>
          <w:tcPr>
            <w:tcW w:type="dxa" w:w="11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N</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Credit Base (YoY)</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12.0588</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5.0836</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2.372</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0.022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0.005</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44</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Credit Base (YoY)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−0.0627</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0.3767</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−0.166</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0.869</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0.005</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44</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Credit Base (YoY)</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0.1059</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0.2975</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0.356</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0.724</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0.005</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44</w:t>
            </w:r>
          </w:p>
        </w:tc>
      </w:tr>
    </w:tbl>
    <w:p>
      <w:pPr>
        <w:spacing w:after="80"/>
      </w:pPr>
      <w:r>
        <w:t xml:space="preserve"/>
      </w:r>
    </w:p>
    <w:p>
      <w:pPr>
        <w:pStyle w:val="Heading3"/>
      </w:pPr>
      <w:r>
        <w:t xml:space="preserve">6.1.2 Extended: Credit Growth ~ Selic + IBC-Br + ln(Customers)</w:t>
      </w:r>
    </w:p>
    <w:p>
      <w:pPr>
        <w:spacing w:after="160"/>
      </w:pPr>
      <w:r>
        <w:t xml:space="preserve">Adding ln(Customers) to the model raises R² from 0.005 to 0.430 and reveals significant macroeconomic controls. The Selic rate and IBC-Br growth are both highly significant (p &lt; 0.01), confirming the importance of controlling for monetary policy and the business cycle. The Open Finance coefficient (ln_cust = 0.141) is positive but not statistically significant in the aggregate model (p = 0.875), suggesting that at the national aggregate level, Open Finance adoption does not independently predict faster credit growth after controlling for macro conditions. The significant Selic and IBC-Br estimates in the extended model (vs. the baseline) reflect the shorter, higher-information overlap sample.</w:t>
      </w:r>
    </w:p>
    <w:p>
      <w:pPr>
        <w:spacing w:after="80"/>
      </w:pPr>
      <w:r>
        <w:t xml:space="preserve"/>
      </w:r>
    </w:p>
    <w:p>
      <w:pPr>
        <w:spacing w:after="200" w:before="80"/>
      </w:pPr>
      <w:r>
        <w:rPr>
          <w:i/>
          <w:iCs/>
          <w:color w:val="444444"/>
          <w:sz w:val="20"/>
          <w:szCs w:val="20"/>
        </w:rPr>
        <w:t xml:space="preserve">Table 3. Credit Growth — Extended Model with Open Finance (YoY, N = 30, HAC 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50"/>
        <w:gridCol w:w="1050"/>
        <w:gridCol w:w="850"/>
        <w:gridCol w:w="850"/>
        <w:gridCol w:w="770"/>
        <w:gridCol w:w="1150"/>
      </w:tblGrid>
      <w:tr>
        <w:tc>
          <w:tcPr>
            <w:tcW w:type="dxa" w:w="21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Model</w:t>
            </w:r>
          </w:p>
        </w:tc>
        <w:tc>
          <w:tcPr>
            <w:tcW w:type="dxa" w:w="19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Term</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Estimate</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 (HAC)</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p-value</w:t>
            </w:r>
          </w:p>
        </w:tc>
        <w:tc>
          <w:tcPr>
            <w:tcW w:type="dxa" w:w="77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R²</w:t>
            </w:r>
          </w:p>
        </w:tc>
        <w:tc>
          <w:tcPr>
            <w:tcW w:type="dxa" w:w="11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N</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Credit + OF (YoY)</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−0.779</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14.387</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−0.054</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0.957</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0.430</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Credit + OF (YoY)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0.529</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0.139</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3.810</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0.430</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Credit + OF (YoY)</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0.565</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0.161</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3.503</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0.002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0.430</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Credit + OF (YoY)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0.141</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0.893</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0.158</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0.875</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0.430</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bl>
    <w:p>
      <w:pPr>
        <w:spacing w:after="80"/>
      </w:pPr>
      <w:r>
        <w:t xml:space="preserve"/>
      </w:r>
    </w:p>
    <w:p>
      <w:pPr>
        <w:pStyle w:val="Heading3"/>
      </w:pPr>
      <w:r>
        <w:t xml:space="preserve">6.1.3 Credit Growth by Client Type</w:t>
      </w:r>
    </w:p>
    <w:p>
      <w:pPr>
        <w:spacing w:after="160"/>
      </w:pPr>
      <w:r>
        <w:t xml:space="preserve">Disaggregating by client type reveals divergent Open Finance associations. For PF (individual) credit, the ln(Customers) coefficient is negative and highly significant (β₃ = −2.917, p &lt; 0.001), indicating that PF credit growth has been decelerating as Open Finance adoption has grown. This likely reflects the operation of the monetary policy cycle: the high-Selic period (2022–2024) that coincides with the Open Finance rollout suppressed consumer credit growth. For PJ (corporate) credit, the coefficient is positive and significant (β₃ = 4.766, p = 0.001), consistent with firms benefiting from improved data portability — particularly small businesses with previously opaque credit profiles.</w:t>
      </w:r>
    </w:p>
    <w:p>
      <w:pPr>
        <w:spacing w:after="80"/>
      </w:pPr>
      <w:r>
        <w:t xml:space="preserve"/>
      </w:r>
    </w:p>
    <w:p>
      <w:pPr>
        <w:spacing w:after="200" w:before="80"/>
      </w:pPr>
      <w:r>
        <w:rPr>
          <w:i/>
          <w:iCs/>
          <w:color w:val="444444"/>
          <w:sz w:val="20"/>
          <w:szCs w:val="20"/>
        </w:rPr>
        <w:t xml:space="preserve">Table 4. Credit Growth by Client Type (N = 30, HAC 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50"/>
        <w:gridCol w:w="1050"/>
        <w:gridCol w:w="850"/>
        <w:gridCol w:w="850"/>
        <w:gridCol w:w="770"/>
        <w:gridCol w:w="1150"/>
      </w:tblGrid>
      <w:tr>
        <w:tc>
          <w:tcPr>
            <w:tcW w:type="dxa" w:w="21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Model</w:t>
            </w:r>
          </w:p>
        </w:tc>
        <w:tc>
          <w:tcPr>
            <w:tcW w:type="dxa" w:w="19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Term</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Estimate</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 (HAC)</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p-value</w:t>
            </w:r>
          </w:p>
        </w:tc>
        <w:tc>
          <w:tcPr>
            <w:tcW w:type="dxa" w:w="77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R²</w:t>
            </w:r>
          </w:p>
        </w:tc>
        <w:tc>
          <w:tcPr>
            <w:tcW w:type="dxa" w:w="11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N</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Credit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51.874</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10.761</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4.821</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0.690</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Credit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0.708</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0.118</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5.986</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0.690</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Credit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0.509</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0.122</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4.172</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0.690</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Credit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−2.917</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0.667</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−4.374</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0.690</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PJ Credit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−80.995</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20.872</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−3.881</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0.597</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PJ Credit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0.293</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0.188</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1.557</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0.131</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0.597</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PJ Credit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0.660</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0.229</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2.878</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0.008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0.597</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PJ Credit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4.766</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1.292</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3.687</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0.597</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bl>
    <w:p>
      <w:pPr>
        <w:spacing w:after="80"/>
      </w:pPr>
      <w:r>
        <w:t xml:space="preserve"/>
      </w:r>
    </w:p>
    <w:p>
      <w:pPr>
        <w:pStyle w:val="Heading3"/>
      </w:pPr>
      <w:r>
        <w:t xml:space="preserve">6.1.4 PF Credit Growth by Modality</w:t>
      </w:r>
    </w:p>
    <w:p>
      <w:pPr>
        <w:spacing w:after="160"/>
      </w:pPr>
      <w:r>
        <w:t xml:space="preserve">Among PF credit modalities, results are consistent with the information asymmetry hypothesis. Personal loans (non-payroll) show a positive and significant Open Finance association (β₃ = 7.641, p = 0.003), the strongest effect among all modalities. This is the unsecured consumer lending segment where borrower screening depends most on financial history data. PF housing credit shows a significant negative coefficient (β₃ = −0.657, p = 0.001), likely reflecting the high interest rate sensitivity of mortgage lending and the coincidence of Open Finance rollout with the tightening monetary cycle. Credit card lending is also negatively associated with Open Finance customer growth (β₃ = −3.805, p = 0.039), potentially reflecting that the revolving credit market has consolidated alongside Open Finance expansion rather than grown.</w:t>
      </w:r>
    </w:p>
    <w:p>
      <w:pPr>
        <w:spacing w:after="80"/>
      </w:pPr>
      <w:r>
        <w:t xml:space="preserve"/>
      </w:r>
    </w:p>
    <w:p>
      <w:pPr>
        <w:spacing w:after="200" w:before="80"/>
      </w:pPr>
      <w:r>
        <w:rPr>
          <w:i/>
          <w:iCs/>
          <w:color w:val="444444"/>
          <w:sz w:val="20"/>
          <w:szCs w:val="20"/>
        </w:rPr>
        <w:t xml:space="preserve">Table 5. PF Credit Growth by Modality (N = 30, HAC 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50"/>
        <w:gridCol w:w="1050"/>
        <w:gridCol w:w="850"/>
        <w:gridCol w:w="850"/>
        <w:gridCol w:w="770"/>
        <w:gridCol w:w="1150"/>
      </w:tblGrid>
      <w:tr>
        <w:tc>
          <w:tcPr>
            <w:tcW w:type="dxa" w:w="21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Model</w:t>
            </w:r>
          </w:p>
        </w:tc>
        <w:tc>
          <w:tcPr>
            <w:tcW w:type="dxa" w:w="19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Term</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Estimate</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 (HAC)</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p-value</w:t>
            </w:r>
          </w:p>
        </w:tc>
        <w:tc>
          <w:tcPr>
            <w:tcW w:type="dxa" w:w="77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R²</w:t>
            </w:r>
          </w:p>
        </w:tc>
        <w:tc>
          <w:tcPr>
            <w:tcW w:type="dxa" w:w="11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N</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Card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52.912</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28.087</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1.884</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0.071</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0.707</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Card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1.788</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0.230</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7.771</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0.707</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Card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0.907</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0.228</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3.978</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0.707</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Card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−3.805</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1.753</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−2.171</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0.039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0.707</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Personal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−126.662</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37.087</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−3.415</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0.002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0.558</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Personal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0.329</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0.324</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1.017</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0.319</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0.558</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Personal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1.109</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0.410</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2.709</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0.012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0.558</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Personal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7.641</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2.300</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3.322</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0.003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0.558</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Housing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17.886</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3.067</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5.833</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0.766</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Housing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0.371</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0.049</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7.610</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0.766</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Housing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0.152</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0.020</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7.541</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0.766</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Housing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−0.657</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0.177</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−3.722</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0.766</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bl>
    <w:p>
      <w:pPr>
        <w:spacing w:after="80"/>
      </w:pPr>
      <w:r>
        <w:t xml:space="preserve"/>
      </w:r>
    </w:p>
    <w:p>
      <w:pPr>
        <w:pStyle w:val="Heading2"/>
      </w:pPr>
      <w:r>
        <w:t xml:space="preserve">6.2 Part B: Default Rate Models</w:t>
      </w:r>
    </w:p>
    <w:p>
      <w:pPr>
        <w:pStyle w:val="Heading3"/>
      </w:pPr>
      <w:r>
        <w:t xml:space="preserve">6.2.1 Baseline: Default Rate Change ~ Selic + IBC-Br</w:t>
      </w:r>
    </w:p>
    <w:p>
      <w:pPr>
        <w:spacing w:after="160"/>
      </w:pPr>
      <w:r>
        <w:t xml:space="preserve">The baseline default rate model performs well even without Open Finance controls. Selic is strongly positive (β₁ = 0.170, p &lt; 0.001), confirming that monetary tightening raises default rates — consistent with the debt service channel. IBC-Br growth is negative (β₂ = −0.076, p = 0.005), indicating that stronger economic activity reduces defaults. The baseline R² of 0.621 indicates that macro conditions explain a substantial share of default rate variation over the full sample.</w:t>
      </w:r>
    </w:p>
    <w:p>
      <w:pPr>
        <w:spacing w:after="80"/>
      </w:pPr>
      <w:r>
        <w:t xml:space="preserve"/>
      </w:r>
    </w:p>
    <w:p>
      <w:pPr>
        <w:spacing w:after="200" w:before="80"/>
      </w:pPr>
      <w:r>
        <w:rPr>
          <w:i/>
          <w:iCs/>
          <w:color w:val="444444"/>
          <w:sz w:val="20"/>
          <w:szCs w:val="20"/>
        </w:rPr>
        <w:t xml:space="preserve">Table 6. Default Rate Change — Baseline Model (N = 44, HAC 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50"/>
        <w:gridCol w:w="1050"/>
        <w:gridCol w:w="850"/>
        <w:gridCol w:w="850"/>
        <w:gridCol w:w="770"/>
        <w:gridCol w:w="1150"/>
      </w:tblGrid>
      <w:tr>
        <w:tc>
          <w:tcPr>
            <w:tcW w:type="dxa" w:w="21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Model</w:t>
            </w:r>
          </w:p>
        </w:tc>
        <w:tc>
          <w:tcPr>
            <w:tcW w:type="dxa" w:w="19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Term</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Estimate</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 (HAC)</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p-value</w:t>
            </w:r>
          </w:p>
        </w:tc>
        <w:tc>
          <w:tcPr>
            <w:tcW w:type="dxa" w:w="77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R²</w:t>
            </w:r>
          </w:p>
        </w:tc>
        <w:tc>
          <w:tcPr>
            <w:tcW w:type="dxa" w:w="11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N</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Default Base (YoY)</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−1.509</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0.547</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−2.758</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0.009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0.621</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44</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Default Base (YoY)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0.170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0.039</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4.302</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0.621</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44</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Default Base (YoY)</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−0.076</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0.026</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−2.964</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0.005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0.621</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44</w:t>
            </w:r>
          </w:p>
        </w:tc>
      </w:tr>
    </w:tbl>
    <w:p>
      <w:pPr>
        <w:spacing w:after="80"/>
      </w:pPr>
      <w:r>
        <w:t xml:space="preserve"/>
      </w:r>
    </w:p>
    <w:p>
      <w:pPr>
        <w:pStyle w:val="Heading3"/>
      </w:pPr>
      <w:r>
        <w:t xml:space="preserve">6.2.2 Extended: Default Rate Change ~ Selic + IBC-Br + ln(Customers)</w:t>
      </w:r>
    </w:p>
    <w:p>
      <w:pPr>
        <w:spacing w:after="160"/>
      </w:pPr>
      <w:r>
        <w:t xml:space="preserve">Adding ln(Customers) dramatically improves model fit: R² rises from 0.621 to 0.959 — one of the highest explanatory power levels observed across all models. The Open Finance coefficient is negative and highly significant (β₃ = −0.449, p &lt; 0.001), indicating that a 10% increase in Open Finance customers is associated with a reduction in the YoY default rate change of approximately 0.045 percentage points. The Selic coefficient strengthens substantially (β₁ = 0.263, p &lt; 0.001), reflecting more precise estimation on the overlap sample.</w:t>
      </w:r>
    </w:p>
    <w:p>
      <w:pPr>
        <w:spacing w:after="80"/>
      </w:pPr>
      <w:r>
        <w:t xml:space="preserve"/>
      </w:r>
    </w:p>
    <w:p>
      <w:pPr>
        <w:spacing w:after="200" w:before="80"/>
      </w:pPr>
      <w:r>
        <w:rPr>
          <w:i/>
          <w:iCs/>
          <w:color w:val="444444"/>
          <w:sz w:val="20"/>
          <w:szCs w:val="20"/>
        </w:rPr>
        <w:t xml:space="preserve">Table 7. Default Rate Change — Extended Model with Open Finance (N = 30, HAC 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50"/>
        <w:gridCol w:w="1050"/>
        <w:gridCol w:w="850"/>
        <w:gridCol w:w="850"/>
        <w:gridCol w:w="770"/>
        <w:gridCol w:w="1150"/>
      </w:tblGrid>
      <w:tr>
        <w:tc>
          <w:tcPr>
            <w:tcW w:type="dxa" w:w="21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Model</w:t>
            </w:r>
          </w:p>
        </w:tc>
        <w:tc>
          <w:tcPr>
            <w:tcW w:type="dxa" w:w="19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Term</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Estimate</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 (HAC)</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p-value</w:t>
            </w:r>
          </w:p>
        </w:tc>
        <w:tc>
          <w:tcPr>
            <w:tcW w:type="dxa" w:w="77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R²</w:t>
            </w:r>
          </w:p>
        </w:tc>
        <w:tc>
          <w:tcPr>
            <w:tcW w:type="dxa" w:w="11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N</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Default + OF (YoY)</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4.850</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1.248</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3.886</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0.959</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Default + OF (YoY)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0.263</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0.014</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18.920</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0.959</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Default + OF (YoY)</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−0.028</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0.012</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−2.226</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0.035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0.959</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Default + OF (YoY)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−0.449</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0.077</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−5.837</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0.959</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bl>
    <w:p>
      <w:pPr>
        <w:spacing w:after="80"/>
      </w:pPr>
      <w:r>
        <w:t xml:space="preserve"/>
      </w:r>
    </w:p>
    <w:p>
      <w:pPr>
        <w:pStyle w:val="Heading3"/>
      </w:pPr>
      <w:r>
        <w:t xml:space="preserve">6.2.3 Default Rate by Client Type</w:t>
      </w:r>
    </w:p>
    <w:p>
      <w:pPr>
        <w:spacing w:after="160"/>
      </w:pPr>
      <w:r>
        <w:t xml:space="preserve">The negative Open Finance association holds for both PF and PJ client types, though with an asymmetry that runs counter to the prior expectation. PJ (corporate) default rates show a larger Open Finance coefficient (β₃ = −0.765, p = 0.004) than PF (β₃ = −0.185, p = 0.002). Both models achieve high R² values (0.935 for PF, 0.708 for PJ), suggesting that the combination of Selic, IBC-Br, and Open Finance customer counts provides a nearly complete characterization of default rate dynamics over this period.</w:t>
      </w:r>
    </w:p>
    <w:p>
      <w:pPr>
        <w:spacing w:after="80"/>
      </w:pPr>
      <w:r>
        <w:t xml:space="preserve"/>
      </w:r>
    </w:p>
    <w:p>
      <w:pPr>
        <w:spacing w:after="200" w:before="80"/>
      </w:pPr>
      <w:r>
        <w:rPr>
          <w:i/>
          <w:iCs/>
          <w:color w:val="444444"/>
          <w:sz w:val="20"/>
          <w:szCs w:val="20"/>
        </w:rPr>
        <w:t xml:space="preserve">Table 8. Default Rate Change by Client Type (N = 30, HAC 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50"/>
        <w:gridCol w:w="1050"/>
        <w:gridCol w:w="850"/>
        <w:gridCol w:w="850"/>
        <w:gridCol w:w="770"/>
        <w:gridCol w:w="1150"/>
      </w:tblGrid>
      <w:tr>
        <w:tc>
          <w:tcPr>
            <w:tcW w:type="dxa" w:w="21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Model</w:t>
            </w:r>
          </w:p>
        </w:tc>
        <w:tc>
          <w:tcPr>
            <w:tcW w:type="dxa" w:w="19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Term</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Estimate</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 (HAC)</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p-value</w:t>
            </w:r>
          </w:p>
        </w:tc>
        <w:tc>
          <w:tcPr>
            <w:tcW w:type="dxa" w:w="77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R²</w:t>
            </w:r>
          </w:p>
        </w:tc>
        <w:tc>
          <w:tcPr>
            <w:tcW w:type="dxa" w:w="11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N</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Default PF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−0.645</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0.931</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−0.694</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0.494</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0.935</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Default PF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0.314</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0.016</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19.911</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0.935</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Default PF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0.037</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0.011</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3.483</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0.002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0.935</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Default PF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−0.185</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0.055</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−3.348</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0.002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0.935</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Default PJ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11.915</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3.841</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3.102</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0.005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0.708</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Default PJ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0.169</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0.035</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4.901</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0.708</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Default PJ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−0.129</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0.038</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−3.413</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0.002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0.708</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Default PJ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−0.765</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0.239</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−3.204</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0.004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0.708</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bl>
    <w:p>
      <w:pPr>
        <w:spacing w:after="80"/>
      </w:pPr>
      <w:r>
        <w:t xml:space="preserve"/>
      </w:r>
    </w:p>
    <w:p>
      <w:pPr>
        <w:pStyle w:val="Heading2"/>
      </w:pPr>
      <w:r>
        <w:t xml:space="preserve">6.3 Part C: Credit Origination Models</w:t>
      </w:r>
    </w:p>
    <w:p>
      <w:pPr>
        <w:spacing w:after="160"/>
      </w:pPr>
      <w:r>
        <w:t xml:space="preserve">Credit originations measure the flow of new lending and are methodologically preferred to stock-based measures for financial inclusion analysis. Origination growth indicates whether new borrowers are gaining access to credit, rather than simply capturing whether existing loan balances are being maintained.</w:t>
      </w:r>
    </w:p>
    <w:p>
      <w:pPr>
        <w:pStyle w:val="Heading3"/>
      </w:pPr>
      <w:r>
        <w:t xml:space="preserve">6.3.1 Total Originations</w:t>
      </w:r>
    </w:p>
    <w:p>
      <w:pPr>
        <w:spacing w:after="160"/>
      </w:pPr>
      <w:r>
        <w:t xml:space="preserve">The total origination model with Open Finance (R² = 0.636) shows a significant positive coefficient on ln(Customers) (β₃ = 5.928, p = 0.013). A 10% increase in Open Finance customer count is associated with a 0.59 pp increase in YoY origination growth. The Selic rate is now negative and significant (β₁ = −1.995, p = 0.002), correctly capturing the rate-dampening effect on new lending flows (as opposed to stock measures where the sign differs). IBC-Br growth is strongly positive (β₂ = 1.780, p &lt; 0.001), indicating that stronger economic activity drives origination volumes.</w:t>
      </w:r>
    </w:p>
    <w:p>
      <w:pPr>
        <w:spacing w:after="80"/>
      </w:pPr>
      <w:r>
        <w:t xml:space="preserve"/>
      </w:r>
    </w:p>
    <w:p>
      <w:pPr>
        <w:spacing w:after="200" w:before="80"/>
      </w:pPr>
      <w:r>
        <w:rPr>
          <w:i/>
          <w:iCs/>
          <w:color w:val="444444"/>
          <w:sz w:val="20"/>
          <w:szCs w:val="20"/>
        </w:rPr>
        <w:t xml:space="preserve">Table 9. Total Credit Originations — Extended Model (N = 36, HAC 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50"/>
        <w:gridCol w:w="1050"/>
        <w:gridCol w:w="850"/>
        <w:gridCol w:w="850"/>
        <w:gridCol w:w="770"/>
        <w:gridCol w:w="1150"/>
      </w:tblGrid>
      <w:tr>
        <w:tc>
          <w:tcPr>
            <w:tcW w:type="dxa" w:w="21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Model</w:t>
            </w:r>
          </w:p>
        </w:tc>
        <w:tc>
          <w:tcPr>
            <w:tcW w:type="dxa" w:w="19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Term</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Estimate</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 (HAC)</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p-value</w:t>
            </w:r>
          </w:p>
        </w:tc>
        <w:tc>
          <w:tcPr>
            <w:tcW w:type="dxa" w:w="77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R²</w:t>
            </w:r>
          </w:p>
        </w:tc>
        <w:tc>
          <w:tcPr>
            <w:tcW w:type="dxa" w:w="11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N</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Orig Total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−73.393</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32.838</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−2.235</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0.033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0.636</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Orig Total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−1.995</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0.588</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−3.394</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0.002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0.636</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Orig Total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1.780</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0.325</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5.471</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0.636</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Orig Total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5.928</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2.252</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2.633</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0.013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0.636</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bl>
    <w:p>
      <w:pPr>
        <w:spacing w:after="80"/>
      </w:pPr>
      <w:r>
        <w:t xml:space="preserve"/>
      </w:r>
    </w:p>
    <w:p>
      <w:pPr>
        <w:pStyle w:val="Heading3"/>
      </w:pPr>
      <w:r>
        <w:t xml:space="preserve">6.3.2 PF Personal Non-Payroll Originations</w:t>
      </w:r>
    </w:p>
    <w:p>
      <w:pPr>
        <w:spacing w:after="160"/>
      </w:pPr>
      <w:r>
        <w:t xml:space="preserve">The non-payroll personal loan origination model is the strongest in the entire analysis (R² = 0.790). The Open Finance coefficient is large and highly significant (β₃ = 24.337, p &lt; 0.001): a 10% increase in Open Finance customers is associated with a 2.43 pp increase in YoY origination growth in non-payroll personal lending. This is the segment with the highest information friction — unsecured, without guaranteed repayment — making it most responsive to the information improvements that Open Finance enables. The Selic effect is also notably large and negative (β₁ = −7.567, p &lt; 0.001), confirming the extreme rate sensitivity of this modality.</w:t>
      </w:r>
    </w:p>
    <w:p>
      <w:pPr>
        <w:spacing w:after="80"/>
      </w:pPr>
      <w:r>
        <w:t xml:space="preserve"/>
      </w:r>
    </w:p>
    <w:p>
      <w:pPr>
        <w:spacing w:after="200" w:before="80"/>
      </w:pPr>
      <w:r>
        <w:rPr>
          <w:i/>
          <w:iCs/>
          <w:color w:val="444444"/>
          <w:sz w:val="20"/>
          <w:szCs w:val="20"/>
        </w:rPr>
        <w:t xml:space="preserve">Table 10. PF Personal Non-Payroll Originations (N = 36, HAC 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50"/>
        <w:gridCol w:w="1050"/>
        <w:gridCol w:w="850"/>
        <w:gridCol w:w="850"/>
        <w:gridCol w:w="770"/>
        <w:gridCol w:w="1150"/>
      </w:tblGrid>
      <w:tr>
        <w:tc>
          <w:tcPr>
            <w:tcW w:type="dxa" w:w="21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Model</w:t>
            </w:r>
          </w:p>
        </w:tc>
        <w:tc>
          <w:tcPr>
            <w:tcW w:type="dxa" w:w="19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Term</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Estimate</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 (HAC)</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p-value</w:t>
            </w:r>
          </w:p>
        </w:tc>
        <w:tc>
          <w:tcPr>
            <w:tcW w:type="dxa" w:w="77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R²</w:t>
            </w:r>
          </w:p>
        </w:tc>
        <w:tc>
          <w:tcPr>
            <w:tcW w:type="dxa" w:w="11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N</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Orig PF Personal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−320.246</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59.951</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−5.342</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0.790</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Orig PF Personal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−7.567</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0.672</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−11.270</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0.790</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Orig PF Personal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2.212</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0.584</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3.785</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0.790</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Orig PF Personal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24.337</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3.307</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7.359</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0.790</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bl>
    <w:p>
      <w:pPr>
        <w:spacing w:after="80"/>
      </w:pPr>
      <w:r>
        <w:t xml:space="preserve"/>
      </w:r>
    </w:p>
    <w:p>
      <w:pPr>
        <w:pStyle w:val="Heading3"/>
      </w:pPr>
      <w:r>
        <w:t xml:space="preserve">6.3.3 PJ Originations</w:t>
      </w:r>
    </w:p>
    <w:p>
      <w:pPr>
        <w:spacing w:after="160"/>
      </w:pPr>
      <w:r>
        <w:t xml:space="preserve">PJ total originations and working capital originations both show significant positive Open Finance associations. The PJ total model achieves R² = 0.749 with β₃ = 12.743 (p &lt; 0.001). Working capital originations — the most operationally relevant credit type for SMEs managing cash flows — show a significant Open Finance coefficient of 27.187 (p = 0.001), suggesting that Open Finance data portability is particularly relevant for short-term business credit access.</w:t>
      </w:r>
    </w:p>
    <w:p>
      <w:pPr>
        <w:spacing w:after="80"/>
      </w:pPr>
      <w:r>
        <w:t xml:space="preserve"/>
      </w:r>
    </w:p>
    <w:p>
      <w:pPr>
        <w:spacing w:after="200" w:before="80"/>
      </w:pPr>
      <w:r>
        <w:rPr>
          <w:i/>
          <w:iCs/>
          <w:color w:val="444444"/>
          <w:sz w:val="20"/>
          <w:szCs w:val="20"/>
        </w:rPr>
        <w:t xml:space="preserve">Table 11. PJ Originations (N = 36, HAC 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50"/>
        <w:gridCol w:w="1050"/>
        <w:gridCol w:w="850"/>
        <w:gridCol w:w="850"/>
        <w:gridCol w:w="770"/>
        <w:gridCol w:w="1150"/>
      </w:tblGrid>
      <w:tr>
        <w:tc>
          <w:tcPr>
            <w:tcW w:type="dxa" w:w="21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Model</w:t>
            </w:r>
          </w:p>
        </w:tc>
        <w:tc>
          <w:tcPr>
            <w:tcW w:type="dxa" w:w="19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Term</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Estimate</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 (HAC)</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p-value</w:t>
            </w:r>
          </w:p>
        </w:tc>
        <w:tc>
          <w:tcPr>
            <w:tcW w:type="dxa" w:w="77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R²</w:t>
            </w:r>
          </w:p>
        </w:tc>
        <w:tc>
          <w:tcPr>
            <w:tcW w:type="dxa" w:w="11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N</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Orig PJ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−165.739</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40.885</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−4.054</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0.749</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Orig PJ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−4.353</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0.744</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−5.848</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0.749</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Orig PJ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2.519</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0.573</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4.400</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0.749</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Orig PJ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12.743</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2.670</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4.772</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0.749</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Orig PJ WkCap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−422.914</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113.909</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−3.713</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0.419</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Orig PJ WkCap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−4.127</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1.977</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−2.087</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0.045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0.419</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Orig PJ WkCap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2.560</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1.244</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2.058</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0.048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0.419</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Orig PJ WkCap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27.187</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7.462</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3.643</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0.419</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bl>
    <w:p>
      <w:pPr>
        <w:spacing w:after="80"/>
      </w:pPr>
      <w:r>
        <w:t xml:space="preserve"/>
      </w:r>
    </w:p>
    <w:p>
      <w:pPr>
        <w:pStyle w:val="Heading2"/>
      </w:pPr>
      <w:r>
        <w:t xml:space="preserve">6.4 Part D: SME Credit</w:t>
      </w:r>
    </w:p>
    <w:p>
      <w:pPr>
        <w:spacing w:after="160"/>
      </w:pPr>
      <w:r>
        <w:t xml:space="preserve">The SME (MPMe) credit model tests whether micro, small, and medium enterprises — which often have thin credit files and limited institutional history — benefit from Open Finance data portability. While the model achieves R² = 0.562, the Open Finance coefficient is not statistically significant (β₃ = −1.560, p = 0.121). The Selic rate remains a dominant and highly significant driver (β₁ = 1.536, p &lt; 0.001), and IBC-Br growth is also significant (β₂ = 0.549, p = 0.012). The absence of a significant Open Finance effect on the SME stock measure may reflect measurement limitations: the stock aggregation is broad and may obscure heterogeneity between micro enterprises (more information-opaque) and larger SMEs. The origination-based PJ results above provide stronger evidence of Open Finance benefits for firm credit access.</w:t>
      </w:r>
    </w:p>
    <w:p>
      <w:pPr>
        <w:spacing w:after="80"/>
      </w:pPr>
      <w:r>
        <w:t xml:space="preserve"/>
      </w:r>
    </w:p>
    <w:p>
      <w:pPr>
        <w:spacing w:after="200" w:before="80"/>
      </w:pPr>
      <w:r>
        <w:rPr>
          <w:i/>
          <w:iCs/>
          <w:color w:val="444444"/>
          <w:sz w:val="20"/>
          <w:szCs w:val="20"/>
        </w:rPr>
        <w:t xml:space="preserve">Table 12. SME Credit Growth — Extended Model (N = 36, HAC 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50"/>
        <w:gridCol w:w="1050"/>
        <w:gridCol w:w="850"/>
        <w:gridCol w:w="850"/>
        <w:gridCol w:w="770"/>
        <w:gridCol w:w="1150"/>
      </w:tblGrid>
      <w:tr>
        <w:tc>
          <w:tcPr>
            <w:tcW w:type="dxa" w:w="21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Model</w:t>
            </w:r>
          </w:p>
        </w:tc>
        <w:tc>
          <w:tcPr>
            <w:tcW w:type="dxa" w:w="19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Term</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Estimate</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 (HAC)</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p-value</w:t>
            </w:r>
          </w:p>
        </w:tc>
        <w:tc>
          <w:tcPr>
            <w:tcW w:type="dxa" w:w="77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R²</w:t>
            </w:r>
          </w:p>
        </w:tc>
        <w:tc>
          <w:tcPr>
            <w:tcW w:type="dxa" w:w="11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N</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SME Credit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14.653</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17.662</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0.830</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0.413</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0.562</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SME Credit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1.536</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0.219</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7.013</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0.562</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SME Credit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0.549</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0.206</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2.662</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0.012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0.562</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SME Credit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−1.560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0.979</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−1.593</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0.121</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0.562</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bl>
    <w:p>
      <w:pPr>
        <w:spacing w:after="80"/>
      </w:pPr>
      <w:r>
        <w:t xml:space="preserve"/>
      </w:r>
    </w:p>
    <w:p>
      <w:pPr>
        <w:pStyle w:val="Heading2"/>
      </w:pPr>
      <w:r>
        <w:t xml:space="preserve">6.5 Part E: Interest Rate Models</w:t>
      </w:r>
    </w:p>
    <w:p>
      <w:pPr>
        <w:spacing w:after="160"/>
      </w:pPr>
      <w:r>
        <w:t xml:space="preserve">The interest rate model tests whether Open Finance is associated with lower borrowing costs. The theoretical mechanism is that data portability increases competition among lenders, compressing interest rate spreads. Contrary to the hypothesis (which predicted β₃ &lt; 0), the PF personal non-payroll interest rate model yields a positive and significant Open Finance coefficient (β₃ = 0.124, p = 0.011), suggesting that interest rates have risen alongside Open Finance adoption. This result most plausibly reflects the monetary policy cycle: the high-Selic period of 2022–2024 drove lending rates upward independently of Open Finance, and the customer count variable cannot cleanly separate these effects in a sample of only 36 observations. Neither Selic nor IBC-Br is individually significant in this model, confirming severe multicollinearity concerns. The API-based interest rate model below provides a cleaner test.</w:t>
      </w:r>
    </w:p>
    <w:p>
      <w:pPr>
        <w:spacing w:after="80"/>
      </w:pPr>
      <w:r>
        <w:t xml:space="preserve"/>
      </w:r>
    </w:p>
    <w:p>
      <w:pPr>
        <w:spacing w:after="200" w:before="80"/>
      </w:pPr>
      <w:r>
        <w:rPr>
          <w:i/>
          <w:iCs/>
          <w:color w:val="444444"/>
          <w:sz w:val="20"/>
          <w:szCs w:val="20"/>
        </w:rPr>
        <w:t xml:space="preserve">Table 13. PF Personal Interest Rate Change (N = 36, HAC 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50"/>
        <w:gridCol w:w="1050"/>
        <w:gridCol w:w="850"/>
        <w:gridCol w:w="850"/>
        <w:gridCol w:w="770"/>
        <w:gridCol w:w="1150"/>
      </w:tblGrid>
      <w:tr>
        <w:tc>
          <w:tcPr>
            <w:tcW w:type="dxa" w:w="21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Model</w:t>
            </w:r>
          </w:p>
        </w:tc>
        <w:tc>
          <w:tcPr>
            <w:tcW w:type="dxa" w:w="19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Term</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Estimate</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 (HAC)</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p-value</w:t>
            </w:r>
          </w:p>
        </w:tc>
        <w:tc>
          <w:tcPr>
            <w:tcW w:type="dxa" w:w="77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R²</w:t>
            </w:r>
          </w:p>
        </w:tc>
        <w:tc>
          <w:tcPr>
            <w:tcW w:type="dxa" w:w="11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N</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Rate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−1.882</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0.809</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−2.326</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0.027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0.249</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Rate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0.007</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0.014</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0.493</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0.626</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0.249</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Rate + OF</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−0.013</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0.014</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−0.905</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0.372</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0.249</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Rate + OF</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ln(Customers)</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0.124</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0.046</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2.701</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0.011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0.249</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bl>
    <w:p>
      <w:pPr>
        <w:spacing w:after="80"/>
      </w:pPr>
      <w:r>
        <w:t xml:space="preserve"/>
      </w:r>
    </w:p>
    <w:p>
      <w:pPr>
        <w:pStyle w:val="Heading2"/>
      </w:pPr>
      <w:r>
        <w:t xml:space="preserve">6.6 Part F: API Call Volume as Alternative Treatment Variable</w:t>
      </w:r>
    </w:p>
    <w:p>
      <w:pPr>
        <w:spacing w:after="160"/>
      </w:pPr>
      <w:r>
        <w:t xml:space="preserve">Part F replaces ln(Customers) with ln(API Credit Calls) — the volume of credit-related API calls in the Open Finance system — as the treatment variable. This measure captures the intensity of Open Finance use specifically within the credit market, as distinct from the breadth of adoption. The API-based models are estimated on a shorter sample (N = 16 for credit and default models, N = 22 for SME and interest rate models).</w:t>
      </w:r>
    </w:p>
    <w:p>
      <w:pPr>
        <w:spacing w:after="160"/>
      </w:pPr>
      <w:r>
        <w:t xml:space="preserve">The most important result from Part F is the default rate model: the API credit call coefficient is negative and significant (β₃ = −0.027, p = 0.042), and the model achieves extraordinary explanatory power (R² = 0.984). This corroborates the customer-based default rate finding and provides evidence that the mechanism operates through active data usage, not merely enrollment. Critically, the interest rate model with API calls yields a negative and significant coefficient (β₃ = −0.114, p = 0.002, R² = 0.473), consistent with the competition-through-data-portability hypothesis. This reversal compared to the customer-based interest rate result suggests that it is the active querying of credit data — rather than cumulative enrollment — that drives improvements in lending conditions.</w:t>
      </w:r>
    </w:p>
    <w:p>
      <w:pPr>
        <w:spacing w:after="80"/>
      </w:pPr>
      <w:r>
        <w:t xml:space="preserve"/>
      </w:r>
    </w:p>
    <w:p>
      <w:pPr>
        <w:spacing w:after="200" w:before="80"/>
      </w:pPr>
      <w:r>
        <w:rPr>
          <w:i/>
          <w:iCs/>
          <w:color w:val="444444"/>
          <w:sz w:val="20"/>
          <w:szCs w:val="20"/>
        </w:rPr>
        <w:t xml:space="preserve">Table 14. API Call Volume Models — Default Rate and Interest Rates (HAC 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050"/>
        <w:gridCol w:w="1050"/>
        <w:gridCol w:w="850"/>
        <w:gridCol w:w="850"/>
        <w:gridCol w:w="770"/>
        <w:gridCol w:w="1150"/>
      </w:tblGrid>
      <w:tr>
        <w:tc>
          <w:tcPr>
            <w:tcW w:type="dxa" w:w="21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Model</w:t>
            </w:r>
          </w:p>
        </w:tc>
        <w:tc>
          <w:tcPr>
            <w:tcW w:type="dxa" w:w="19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Term</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Estimate</w:t>
            </w:r>
          </w:p>
        </w:tc>
        <w:tc>
          <w:tcPr>
            <w:tcW w:type="dxa" w:w="10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 (HAC)</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t</w:t>
            </w:r>
          </w:p>
        </w:tc>
        <w:tc>
          <w:tcPr>
            <w:tcW w:type="dxa" w:w="8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p-value</w:t>
            </w:r>
          </w:p>
        </w:tc>
        <w:tc>
          <w:tcPr>
            <w:tcW w:type="dxa" w:w="77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R²</w:t>
            </w:r>
          </w:p>
        </w:tc>
        <w:tc>
          <w:tcPr>
            <w:tcW w:type="dxa" w:w="115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N</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Default + API Calls</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−1.955</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0.131</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−14.938</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0.984</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Default + API Calls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0.199</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0.005</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40.629</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0.984</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16</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Default + API Calls</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−0.013</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0.005</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−2.848</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0.015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0.984</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Default + API Calls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ln(API Credit)</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−0.027</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0.012</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−2.275</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0.042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0.984</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16</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Rate + API Calls</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Intercept</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1.100</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0.439</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2.506</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0.022 *</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0.473</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22</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Rate + API Calls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Selic</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0.050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0.009</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5.646</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0.473</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22</w:t>
            </w:r>
          </w:p>
        </w:tc>
      </w:tr>
      <w:tr>
        <w:tc>
          <w:tcPr>
            <w:tcW w:type="dxa" w:w="21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Rate + API Calls</w:t>
            </w:r>
          </w:p>
        </w:tc>
        <w:tc>
          <w:tcPr>
            <w:tcW w:type="dxa" w:w="19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g_IBC-Br (YoY)</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0.017</w:t>
            </w:r>
          </w:p>
        </w:tc>
        <w:tc>
          <w:tcPr>
            <w:tcW w:type="dxa" w:w="10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0.012</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1.436</w:t>
            </w:r>
          </w:p>
        </w:tc>
        <w:tc>
          <w:tcPr>
            <w:tcW w:type="dxa" w:w="8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0.168</w:t>
            </w:r>
          </w:p>
        </w:tc>
        <w:tc>
          <w:tcPr>
            <w:tcW w:type="dxa" w:w="77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0.473</w:t>
            </w:r>
          </w:p>
        </w:tc>
        <w:tc>
          <w:tcPr>
            <w:tcW w:type="dxa" w:w="115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22</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Rate + API Calls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ln(API Credit)</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−0.114</w:t>
            </w:r>
          </w:p>
        </w:tc>
        <w:tc>
          <w:tcPr>
            <w:tcW w:type="dxa" w:w="10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0.032</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−3.535</w:t>
            </w:r>
          </w:p>
        </w:tc>
        <w:tc>
          <w:tcPr>
            <w:tcW w:type="dxa" w:w="8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0.002 **</w:t>
            </w:r>
          </w:p>
        </w:tc>
        <w:tc>
          <w:tcPr>
            <w:tcW w:type="dxa" w:w="77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0.473</w:t>
            </w:r>
          </w:p>
        </w:tc>
        <w:tc>
          <w:tcPr>
            <w:tcW w:type="dxa" w:w="115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22</w:t>
            </w:r>
          </w:p>
        </w:tc>
      </w:tr>
    </w:tbl>
    <w:p>
      <w:pPr>
        <w:spacing w:after="80"/>
      </w:pPr>
      <w:r>
        <w:t xml:space="preserve"/>
      </w:r>
    </w:p>
    <w:p>
      <w:pPr>
        <w:pStyle w:val="Heading2"/>
      </w:pPr>
      <w:r>
        <w:t xml:space="preserve">6.7 Robustness: Month-over-Month Growth</w:t>
      </w:r>
    </w:p>
    <w:p>
      <w:pPr>
        <w:spacing w:after="160"/>
      </w:pPr>
      <w:r>
        <w:t xml:space="preserve">As a robustness check, credit growth models are re-estimated using month-over-month (MoM) growth rates rather than YoY changes, increasing the available sample to N = 55 for the baseline. The baseline MoM model has low explanatory power (R² = 0.102) and only IBC-Br growth is marginally significant, reflecting the high frequency noise in monthly credit data. The extended MoM model (N = 30) confirms the Selic and Open Finance associations observed in the YoY specification: Selic is negative and significant (β₁ = −0.134, p = 0.001) in the MoM model, and ln(Customers) is positive and significant (β₃ = 0.444, p = 0.005), providing robustness to the choice of growth rate specification.</w:t>
      </w:r>
    </w:p>
    <w:p>
      <w:pPr>
        <w:pStyle w:val="Heading1"/>
      </w:pPr>
      <w:r>
        <w:t xml:space="preserve">7. Summary of Key Results</w:t>
      </w:r>
    </w:p>
    <w:p>
      <w:pPr>
        <w:spacing w:after="160"/>
      </w:pPr>
      <w:r>
        <w:t xml:space="preserve">Table 15 consolidates the Open Finance coefficient estimates across all primary models, providing a comprehensive view of the estimated associations.</w:t>
      </w:r>
    </w:p>
    <w:p>
      <w:pPr>
        <w:spacing w:after="80"/>
      </w:pPr>
      <w:r>
        <w:t xml:space="preserve"/>
      </w:r>
    </w:p>
    <w:p>
      <w:pPr>
        <w:spacing w:after="200" w:before="80"/>
      </w:pPr>
      <w:r>
        <w:rPr>
          <w:i/>
          <w:iCs/>
          <w:color w:val="444444"/>
          <w:sz w:val="20"/>
          <w:szCs w:val="20"/>
        </w:rPr>
        <w:t xml:space="preserve">Table 15. Open Finance Coefficient Summary — ln(Customers) across all models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200"/>
        <w:gridCol w:w="1200"/>
        <w:gridCol w:w="1000"/>
        <w:gridCol w:w="172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Model</w:t>
            </w:r>
          </w:p>
        </w:tc>
        <w:tc>
          <w:tcPr>
            <w:tcW w:type="dxa" w:w="16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β₃ (OF)</w:t>
            </w:r>
          </w:p>
        </w:tc>
        <w:tc>
          <w:tcPr>
            <w:tcW w:type="dxa" w:w="12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SE (HAC)</w:t>
            </w:r>
          </w:p>
        </w:tc>
        <w:tc>
          <w:tcPr>
            <w:tcW w:type="dxa" w:w="12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p-value</w:t>
            </w:r>
          </w:p>
        </w:tc>
        <w:tc>
          <w:tcPr>
            <w:tcW w:type="dxa" w:w="10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R²</w:t>
            </w:r>
          </w:p>
        </w:tc>
        <w:tc>
          <w:tcPr>
            <w:tcW w:type="dxa" w:w="172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N</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Credit Growth (Total)</w:t>
            </w:r>
          </w:p>
        </w:tc>
        <w:tc>
          <w:tcPr>
            <w:tcW w:type="dxa" w:w="16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0.141</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0.893</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0.875</w:t>
            </w:r>
          </w:p>
        </w:tc>
        <w:tc>
          <w:tcPr>
            <w:tcW w:type="dxa" w:w="1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0.430</w:t>
            </w:r>
          </w:p>
        </w:tc>
        <w:tc>
          <w:tcPr>
            <w:tcW w:type="dxa" w:w="17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Credit Growth (PF)</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−2.917</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0.667</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0.690</w:t>
            </w:r>
          </w:p>
        </w:tc>
        <w:tc>
          <w:tcPr>
            <w:tcW w:type="dxa" w:w="1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Credit Growth (PJ)</w:t>
            </w:r>
          </w:p>
        </w:tc>
        <w:tc>
          <w:tcPr>
            <w:tcW w:type="dxa" w:w="16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4.766</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1.292</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0.001 **</w:t>
            </w:r>
          </w:p>
        </w:tc>
        <w:tc>
          <w:tcPr>
            <w:tcW w:type="dxa" w:w="1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0.597</w:t>
            </w:r>
          </w:p>
        </w:tc>
        <w:tc>
          <w:tcPr>
            <w:tcW w:type="dxa" w:w="17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Card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−3.805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1.753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0.039 *</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0.707</w:t>
            </w:r>
          </w:p>
        </w:tc>
        <w:tc>
          <w:tcPr>
            <w:tcW w:type="dxa" w:w="1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Personal Loans</w:t>
            </w:r>
          </w:p>
        </w:tc>
        <w:tc>
          <w:tcPr>
            <w:tcW w:type="dxa" w:w="16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7.641</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2.300</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0.003 **</w:t>
            </w:r>
          </w:p>
        </w:tc>
        <w:tc>
          <w:tcPr>
            <w:tcW w:type="dxa" w:w="1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0.558</w:t>
            </w:r>
          </w:p>
        </w:tc>
        <w:tc>
          <w:tcPr>
            <w:tcW w:type="dxa" w:w="17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Housing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−0.657</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0.177</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0.766</w:t>
            </w:r>
          </w:p>
        </w:tc>
        <w:tc>
          <w:tcPr>
            <w:tcW w:type="dxa" w:w="1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Default Total</w:t>
            </w:r>
          </w:p>
        </w:tc>
        <w:tc>
          <w:tcPr>
            <w:tcW w:type="dxa" w:w="16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−0.449</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0.077</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1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0.959</w:t>
            </w:r>
          </w:p>
        </w:tc>
        <w:tc>
          <w:tcPr>
            <w:tcW w:type="dxa" w:w="17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Default PF</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−0.185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0.055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0.002 **</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0.935</w:t>
            </w:r>
          </w:p>
        </w:tc>
        <w:tc>
          <w:tcPr>
            <w:tcW w:type="dxa" w:w="1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Default PJ</w:t>
            </w:r>
          </w:p>
        </w:tc>
        <w:tc>
          <w:tcPr>
            <w:tcW w:type="dxa" w:w="16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−0.765</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0.239</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0.004 **</w:t>
            </w:r>
          </w:p>
        </w:tc>
        <w:tc>
          <w:tcPr>
            <w:tcW w:type="dxa" w:w="1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0.708</w:t>
            </w:r>
          </w:p>
        </w:tc>
        <w:tc>
          <w:tcPr>
            <w:tcW w:type="dxa" w:w="17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Orig Total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5.928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2.252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0.013 *</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0.636</w:t>
            </w:r>
          </w:p>
        </w:tc>
        <w:tc>
          <w:tcPr>
            <w:tcW w:type="dxa" w:w="1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Orig PF Personal (NC)</w:t>
            </w:r>
          </w:p>
        </w:tc>
        <w:tc>
          <w:tcPr>
            <w:tcW w:type="dxa" w:w="16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24.337</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3.307</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1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0.790</w:t>
            </w:r>
          </w:p>
        </w:tc>
        <w:tc>
          <w:tcPr>
            <w:tcW w:type="dxa" w:w="17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Orig PJ Total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12.743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2.670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0.749</w:t>
            </w:r>
          </w:p>
        </w:tc>
        <w:tc>
          <w:tcPr>
            <w:tcW w:type="dxa" w:w="1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Orig PJ Working Capital</w:t>
            </w:r>
          </w:p>
        </w:tc>
        <w:tc>
          <w:tcPr>
            <w:tcW w:type="dxa" w:w="16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27.187</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7.462</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&lt;0.001 ***</w:t>
            </w:r>
          </w:p>
        </w:tc>
        <w:tc>
          <w:tcPr>
            <w:tcW w:type="dxa" w:w="1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0.419</w:t>
            </w:r>
          </w:p>
        </w:tc>
        <w:tc>
          <w:tcPr>
            <w:tcW w:type="dxa" w:w="17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SME Credit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−1.560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0.979</w:t>
            </w:r>
          </w:p>
        </w:tc>
        <w:tc>
          <w:tcPr>
            <w:tcW w:type="dxa" w:w="1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0.121</w:t>
            </w:r>
          </w:p>
        </w:tc>
        <w:tc>
          <w:tcPr>
            <w:tcW w:type="dxa" w:w="10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0.562</w:t>
            </w:r>
          </w:p>
        </w:tc>
        <w:tc>
          <w:tcPr>
            <w:tcW w:type="dxa" w:w="17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right"/>
            </w:pPr>
            <w:r>
              <w:rPr>
                <w:b w:val="false"/>
                <w:bCs w:val="false"/>
                <w:sz w:val="18"/>
                <w:szCs w:val="18"/>
              </w:rPr>
              <w:t xml:space="preserve">36</w:t>
            </w:r>
          </w:p>
        </w:tc>
      </w:tr>
      <w:tr>
        <w:tc>
          <w:tcPr>
            <w:tcW w:type="dxa" w:w="3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Interest Rate</w:t>
            </w:r>
          </w:p>
        </w:tc>
        <w:tc>
          <w:tcPr>
            <w:tcW w:type="dxa" w:w="16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0.124</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0.046</w:t>
            </w:r>
          </w:p>
        </w:tc>
        <w:tc>
          <w:tcPr>
            <w:tcW w:type="dxa" w:w="1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0.011 *</w:t>
            </w:r>
          </w:p>
        </w:tc>
        <w:tc>
          <w:tcPr>
            <w:tcW w:type="dxa" w:w="10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0.249</w:t>
            </w:r>
          </w:p>
        </w:tc>
        <w:tc>
          <w:tcPr>
            <w:tcW w:type="dxa" w:w="17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right"/>
            </w:pPr>
            <w:r>
              <w:rPr>
                <w:b w:val="false"/>
                <w:bCs w:val="false"/>
                <w:sz w:val="18"/>
                <w:szCs w:val="18"/>
              </w:rPr>
              <w:t xml:space="preserve">36</w:t>
            </w:r>
          </w:p>
        </w:tc>
      </w:tr>
    </w:tbl>
    <w:p>
      <w:pPr>
        <w:spacing w:after="80"/>
      </w:pPr>
      <w:r>
        <w:t xml:space="preserve"/>
      </w:r>
    </w:p>
    <w:p>
      <w:pPr>
        <w:spacing w:after="160"/>
      </w:pPr>
      <w:r>
        <w:t xml:space="preserve">Note: *** p &lt; 0.001, ** p &lt; 0.01, * p &lt; 0.05. All models use Newey-West HAC standard errors.</w:t>
      </w:r>
    </w:p>
    <w:p>
      <w:pPr>
        <w:spacing w:after="80"/>
      </w:pPr>
      <w:r>
        <w:t xml:space="preserve"/>
      </w:r>
    </w:p>
    <w:p>
      <w:pPr>
        <w:pStyle w:val="Heading1"/>
      </w:pPr>
      <w:r>
        <w:t xml:space="preserve">8. Interpretation</w:t>
      </w:r>
    </w:p>
    <w:p>
      <w:pPr>
        <w:pStyle w:val="Heading2"/>
      </w:pPr>
      <w:r>
        <w:t xml:space="preserve">8.1 Credit Growth and Open Finance</w:t>
      </w:r>
    </w:p>
    <w:p>
      <w:pPr>
        <w:spacing w:after="160"/>
      </w:pPr>
      <w:r>
        <w:t xml:space="preserve">The aggregate credit growth model does not yield a significant Open Finance coefficient, but the disaggregated results are more revealing. PF personal loans — the segment with the highest information friction — show the strongest positive association (β₃ = 7.64, p = 0.003, R² = 0.56). A 10% increase in Open Finance customer count is associated with a 0.73 percentage point increase in YoY personal loan growth. This is precisely where the theory predicts Open Finance should matter most: unsecured consumer lending where the ability to assess a borrower's complete financial history has the largest impact on credit availability.</w:t>
      </w:r>
    </w:p>
    <w:p>
      <w:pPr>
        <w:spacing w:after="160"/>
      </w:pPr>
      <w:r>
        <w:t xml:space="preserve">PF housing credit shows a negative coefficient (β₃ = −0.66, p &lt; 0.001, R² = 0.77), but this is most plausibly driven by the interest rate cycle. Housing credit is the most Selic-sensitive modality (β₁ = 0.37, p &lt; 0.001), and the 2022–2024 high-Selic environment suppressed mortgage origination regardless of Open Finance progress. The negative coefficient likely reflects coincident timing rather than a causal relationship.</w:t>
      </w:r>
    </w:p>
    <w:p>
      <w:pPr>
        <w:pStyle w:val="Heading2"/>
      </w:pPr>
      <w:r>
        <w:t xml:space="preserve">8.2 Default Rates and Open Finance</w:t>
      </w:r>
    </w:p>
    <w:p>
      <w:pPr>
        <w:spacing w:after="160"/>
      </w:pPr>
      <w:r>
        <w:t xml:space="preserve">The default rate results are among the most consistent and statistically robust findings in the analysis. Across all three default rate models — total, PF, and PJ — the Open Finance coefficient is negative, significant, and large relative to the baseline default rate variation. The aggregate model achieves R² = 0.959, with the addition of ln(Customers) raising fit from 0.62 (macro-only baseline) to 0.96. This dramatic improvement suggests that Open Finance adoption captures important variation in default rates unexplained by monetary policy and economic activity alone.</w:t>
      </w:r>
    </w:p>
    <w:p>
      <w:pPr>
        <w:spacing w:after="160"/>
      </w:pPr>
      <w:r>
        <w:t xml:space="preserve">The magnitude of the PJ effect (β₃ = −0.765) exceeding the PF effect (β₃ = −0.185) is noteworthy. Corporate borrowers — particularly micro-enterprises and MEIs (individual microentrepreneurs) with thin credit files — may be benefiting disproportionately from Open Finance data portability. The financial history of a sole proprietor running through their personal account is precisely the type of non-traditional credit data that Open Finance makes available to lenders, enabling better risk assessment for this historically underserved segment.</w:t>
      </w:r>
    </w:p>
    <w:p>
      <w:pPr>
        <w:pStyle w:val="Heading2"/>
      </w:pPr>
      <w:r>
        <w:t xml:space="preserve">8.3 Credit Originations as the Preferred Financial Inclusion Metric</w:t>
      </w:r>
    </w:p>
    <w:p>
      <w:pPr>
        <w:spacing w:after="160"/>
      </w:pPr>
      <w:r>
        <w:t xml:space="preserve">The origination-based models provide the most policy-relevant evidence on financial inclusion. Growing originations indicate that new borrowers are gaining access to credit — not simply that existing loan balances are being maintained. The PF personal non-payroll origination model is the analysis's strongest result (R² = 0.790), with a large and precisely estimated Open Finance coefficient (β₃ = 24.34, p &lt; 0.001). The PJ origination results reinforce this picture: both total PJ originations (β₃ = 12.74) and working capital originations (β₃ = 27.19) show significant positive associations. These flow-based findings support the interpretation that Open Finance is contributing to an expansion in the reach of credit, not just the volume of existing credit.</w:t>
      </w:r>
    </w:p>
    <w:p>
      <w:pPr>
        <w:pStyle w:val="Heading2"/>
      </w:pPr>
      <w:r>
        <w:t xml:space="preserve">8.4 API Call Volume vs. Customer Count</w:t>
      </w:r>
    </w:p>
    <w:p>
      <w:pPr>
        <w:spacing w:after="160"/>
      </w:pPr>
      <w:r>
        <w:t xml:space="preserve">The two Open Finance treatment variables capture different dimensions of adoption. Customer counts measure the cumulative breadth of consent registration — a stock measure that grows monotonically. API call volumes measure the active intensity of data usage — a flow measure that fluctuates with actual lending activity. The interest rate models illustrate the distinction: the customer-count specification yields a counterintuitive positive coefficient (conflated with the monetary policy cycle), while the API-call specification yields the theoretically predicted negative coefficient (β₃ = −0.114, p = 0.002). This suggests that it is the active use of Open Finance data in credit decisions — rather than the mere accumulation of consents — that drives improvements in lending conditions. Future research with longer API time series should prioritize this distinction.</w:t>
      </w:r>
    </w:p>
    <w:p>
      <w:pPr>
        <w:pStyle w:val="Heading2"/>
      </w:pPr>
      <w:r>
        <w:t xml:space="preserve">8.5 Data Gaps and Recommended Extensions</w:t>
      </w:r>
    </w:p>
    <w:p>
      <w:pPr>
        <w:spacing w:after="160"/>
      </w:pPr>
      <w:r>
        <w:t xml:space="preserve">Several dimensions of financial inclusion analysis remain out of reach with publicly available data. Borrower segmentation by income, geography, or formality status is not available in the public SCR aggregates; a meaningful analysis of inclusion effects on low-income or rural borrowers requires either BCB/Open Finance Brazil cooperation or access to proprietary institution-level data. Similarly, the SCR does not segregate credit data by institution type, making it impossible to assess whether fintech lenders (which may use Open Finance data more intensively) are driving the observed associations. These gaps represent important priorities for future work.</w:t>
      </w:r>
    </w:p>
    <w:p>
      <w:pPr>
        <w:pStyle w:val="Heading1"/>
      </w:pPr>
      <w:r>
        <w:t xml:space="preserve">9. Caveats and Limitations</w:t>
      </w:r>
    </w:p>
    <w:p>
      <w:pPr>
        <w:spacing w:after="160"/>
      </w:pPr>
      <w:r>
        <w:t xml:space="preserve">The findings should be interpreted with several important caveats in mind.</w:t>
      </w:r>
    </w:p>
    <w:p>
      <w:pPr>
        <w:pStyle w:val="ListParagraph"/>
        <w:numPr>
          <w:ilvl w:val="0"/>
          <w:numId w:val="2"/>
        </w:numPr>
        <w:spacing w:after="100"/>
      </w:pPr>
      <w:r>
        <w:rPr>
          <w:b/>
          <w:bCs/>
        </w:rPr>
        <w:t xml:space="preserve">Short overlap period. </w:t>
      </w:r>
      <w:r>
        <w:t xml:space="preserve">Open Finance customer data is available only from January 2023, yielding a maximum of 30 to 36 observations for the extended models depending on data series. This limits statistical power and makes the results sensitive to specific time periods.</w:t>
      </w:r>
    </w:p>
    <w:p>
      <w:pPr>
        <w:pStyle w:val="ListParagraph"/>
        <w:numPr>
          <w:ilvl w:val="0"/>
          <w:numId w:val="2"/>
        </w:numPr>
        <w:spacing w:after="100"/>
      </w:pPr>
      <w:r>
        <w:rPr>
          <w:b/>
          <w:bCs/>
        </w:rPr>
        <w:t xml:space="preserve">Endogeneity. </w:t>
      </w:r>
      <w:r>
        <w:t xml:space="preserve">All regressors are potentially endogenous. Open Finance adoption, credit growth, and macroeconomic conditions are jointly determined over the sample period. Absent a valid instrument or a clean experimental design, the coefficients should be interpreted as associations rather than causal effects.</w:t>
      </w:r>
    </w:p>
    <w:p>
      <w:pPr>
        <w:pStyle w:val="ListParagraph"/>
        <w:numPr>
          <w:ilvl w:val="0"/>
          <w:numId w:val="2"/>
        </w:numPr>
        <w:spacing w:after="100"/>
      </w:pPr>
      <w:r>
        <w:rPr>
          <w:b/>
          <w:bCs/>
        </w:rPr>
        <w:t xml:space="preserve">Collinearity with time trend. </w:t>
      </w:r>
      <w:r>
        <w:t xml:space="preserve">Customer counts are monotonically increasing and highly correlated with any upward time trend in financial variables. Significant coefficients may partially capture secular trends in credit market development rather than Open Finance-specific effects.</w:t>
      </w:r>
    </w:p>
    <w:p>
      <w:pPr>
        <w:pStyle w:val="ListParagraph"/>
        <w:numPr>
          <w:ilvl w:val="0"/>
          <w:numId w:val="2"/>
        </w:numPr>
        <w:spacing w:after="100"/>
      </w:pPr>
      <w:r>
        <w:rPr>
          <w:b/>
          <w:bCs/>
        </w:rPr>
        <w:t xml:space="preserve">Omitted variables. </w:t>
      </w:r>
      <w:r>
        <w:t xml:space="preserve">Key omitted drivers include regulatory changes (credit card fee caps, payroll lending eligibility rules), fiscal policy dynamics, housing market conditions, commodity price shocks, and supply-side structural changes such as fintech entry and bank consolidation. Some of these may be correlated with the Open Finance rollout timeline.</w:t>
      </w:r>
    </w:p>
    <w:p>
      <w:pPr>
        <w:pStyle w:val="ListParagraph"/>
        <w:numPr>
          <w:ilvl w:val="0"/>
          <w:numId w:val="2"/>
        </w:numPr>
        <w:spacing w:after="100"/>
      </w:pPr>
      <w:r>
        <w:rPr>
          <w:b/>
          <w:bCs/>
        </w:rPr>
        <w:t xml:space="preserve">Aggregation bias. </w:t>
      </w:r>
      <w:r>
        <w:t xml:space="preserve">National-level data masks significant heterogeneity across regions, income groups, financial institutions, and credit modalities. The Open Finance impact may be concentrated in specific underserved segments not visible at the aggregate level, potentially biasing aggregate coefficients toward zero.</w:t>
      </w:r>
    </w:p>
    <w:p>
      <w:pPr>
        <w:pStyle w:val="ListParagraph"/>
        <w:numPr>
          <w:ilvl w:val="0"/>
          <w:numId w:val="2"/>
        </w:numPr>
        <w:spacing w:after="100"/>
      </w:pPr>
      <w:r>
        <w:rPr>
          <w:b/>
          <w:bCs/>
        </w:rPr>
        <w:t xml:space="preserve">COVID-19 structural break. </w:t>
      </w:r>
      <w:r>
        <w:t xml:space="preserve">The pandemic (2020–2021) created a major structural break in credit markets through emergency lending programs, payment moratoria, and economic disruptions. PIX was launched during this period, and the post-pandemic recovery period substantially overlaps with the Open Finance rollout, making clean identification of Open Finance-specific effects challenging.</w:t>
      </w:r>
    </w:p>
    <w:p>
      <w:pPr>
        <w:pStyle w:val="ListParagraph"/>
        <w:numPr>
          <w:ilvl w:val="0"/>
          <w:numId w:val="2"/>
        </w:numPr>
        <w:spacing w:after="100"/>
      </w:pPr>
      <w:r>
        <w:rPr>
          <w:b/>
          <w:bCs/>
        </w:rPr>
        <w:t xml:space="preserve">SCR data granularity. </w:t>
      </w:r>
      <w:r>
        <w:t xml:space="preserve">Aggregated SCR data may group low-count observations under "Outros Créditos" (Other Credits), introducing measurement error at the modality level. National totals are less affected than disaggregated series.</w:t>
      </w:r>
    </w:p>
    <w:p>
      <w:pPr>
        <w:pStyle w:val="Heading1"/>
      </w:pPr>
      <w:r>
        <w:t xml:space="preserve">10. Data Sources</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282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Source</w:t>
            </w:r>
          </w:p>
        </w:tc>
        <w:tc>
          <w:tcPr>
            <w:tcW w:type="dxa" w:w="37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Description</w:t>
            </w:r>
          </w:p>
        </w:tc>
        <w:tc>
          <w:tcPr>
            <w:tcW w:type="dxa" w:w="282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File / Series ID</w:t>
            </w:r>
          </w:p>
        </w:tc>
      </w:tr>
      <w:tr>
        <w:tc>
          <w:tcPr>
            <w:tcW w:type="dxa" w:w="3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SCR.Data — Carteira Ativa (Total)</w:t>
            </w:r>
          </w:p>
        </w:tc>
        <w:tc>
          <w:tcPr>
            <w:tcW w:type="dxa" w:w="37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Active credit portfolio (R$)</w:t>
            </w:r>
          </w:p>
        </w:tc>
        <w:tc>
          <w:tcPr>
            <w:tcW w:type="dxa" w:w="28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carteira.csv</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SCR.Data — Carteira Ativa (PF/PJ)</w:t>
            </w:r>
          </w:p>
        </w:tc>
        <w:tc>
          <w:tcPr>
            <w:tcW w:type="dxa" w:w="3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Portfolio by client type</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carteira_pf_pj.csv</w:t>
            </w:r>
          </w:p>
        </w:tc>
      </w:tr>
      <w:tr>
        <w:tc>
          <w:tcPr>
            <w:tcW w:type="dxa" w:w="3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SCR.Data — Carteira Ativa (PF Modalities)</w:t>
            </w:r>
          </w:p>
        </w:tc>
        <w:tc>
          <w:tcPr>
            <w:tcW w:type="dxa" w:w="37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portfolio by credit modality</w:t>
            </w:r>
          </w:p>
        </w:tc>
        <w:tc>
          <w:tcPr>
            <w:tcW w:type="dxa" w:w="28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carteira_pf_modalities.csv</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SCR.Data — Ativo Problemático (Total)</w:t>
            </w:r>
          </w:p>
        </w:tc>
        <w:tc>
          <w:tcPr>
            <w:tcW w:type="dxa" w:w="3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Problem asset rate (%)</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ativo-problemtico.csv</w:t>
            </w:r>
          </w:p>
        </w:tc>
      </w:tr>
      <w:tr>
        <w:tc>
          <w:tcPr>
            <w:tcW w:type="dxa" w:w="3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SCR.Data — Ativo Problemático (PF/PJ)</w:t>
            </w:r>
          </w:p>
        </w:tc>
        <w:tc>
          <w:tcPr>
            <w:tcW w:type="dxa" w:w="37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Problem rate by client type</w:t>
            </w:r>
          </w:p>
        </w:tc>
        <w:tc>
          <w:tcPr>
            <w:tcW w:type="dxa" w:w="28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ativo_problematico_pf_pj.csv</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SCR.Data — Inadimplência (Total)</w:t>
            </w:r>
          </w:p>
        </w:tc>
        <w:tc>
          <w:tcPr>
            <w:tcW w:type="dxa" w:w="3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Default rate (%)</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inadimplncia.csv</w:t>
            </w:r>
          </w:p>
        </w:tc>
      </w:tr>
      <w:tr>
        <w:tc>
          <w:tcPr>
            <w:tcW w:type="dxa" w:w="3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SCR.Data — Inadimplência (PF/PJ)</w:t>
            </w:r>
          </w:p>
        </w:tc>
        <w:tc>
          <w:tcPr>
            <w:tcW w:type="dxa" w:w="37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Default rate by client type</w:t>
            </w:r>
          </w:p>
        </w:tc>
        <w:tc>
          <w:tcPr>
            <w:tcW w:type="dxa" w:w="28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inadimplencia_pf_pj.csv</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PIX / Macro / Customers</w:t>
            </w:r>
          </w:p>
        </w:tc>
        <w:tc>
          <w:tcPr>
            <w:tcW w:type="dxa" w:w="3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PIX volumes, Selic, IBC-Br, OF customers</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data_monthly.xlsx</w:t>
            </w:r>
          </w:p>
        </w:tc>
      </w:tr>
      <w:tr>
        <w:tc>
          <w:tcPr>
            <w:tcW w:type="dxa" w:w="3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BCB SGS 20631 — Concessões Total</w:t>
            </w:r>
          </w:p>
        </w:tc>
        <w:tc>
          <w:tcPr>
            <w:tcW w:type="dxa" w:w="37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Total credit originations (R$)</w:t>
            </w:r>
          </w:p>
        </w:tc>
        <w:tc>
          <w:tcPr>
            <w:tcW w:type="dxa" w:w="28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concessoes_total.csv</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BCB SGS 20672 — Concessões PF Pessoal</w:t>
            </w:r>
          </w:p>
        </w:tc>
        <w:tc>
          <w:tcPr>
            <w:tcW w:type="dxa" w:w="3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personal credit originations</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concessoes_pf_pessoal_total.csv</w:t>
            </w:r>
          </w:p>
        </w:tc>
      </w:tr>
      <w:tr>
        <w:tc>
          <w:tcPr>
            <w:tcW w:type="dxa" w:w="3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BCB SGS 20666 — Concessões PF Não Consig</w:t>
            </w:r>
          </w:p>
        </w:tc>
        <w:tc>
          <w:tcPr>
            <w:tcW w:type="dxa" w:w="37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PF personal non-payroll originations</w:t>
            </w:r>
          </w:p>
        </w:tc>
        <w:tc>
          <w:tcPr>
            <w:tcW w:type="dxa" w:w="28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concessoes_pf_pessoal_nao_consig.csv</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BCB SGS 20656 — Concessões PF Cartão</w:t>
            </w:r>
          </w:p>
        </w:tc>
        <w:tc>
          <w:tcPr>
            <w:tcW w:type="dxa" w:w="3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PF credit card originations</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concessoes_pf_cartao.csv</w:t>
            </w:r>
          </w:p>
        </w:tc>
      </w:tr>
      <w:tr>
        <w:tc>
          <w:tcPr>
            <w:tcW w:type="dxa" w:w="3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BCB SGS 20635 — Concessões PJ Total</w:t>
            </w:r>
          </w:p>
        </w:tc>
        <w:tc>
          <w:tcPr>
            <w:tcW w:type="dxa" w:w="37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PJ total originations</w:t>
            </w:r>
          </w:p>
        </w:tc>
        <w:tc>
          <w:tcPr>
            <w:tcW w:type="dxa" w:w="28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concessoes_pj_total.csv</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BCB SGS 20642 — Concessões PJ Capital Giro</w:t>
            </w:r>
          </w:p>
        </w:tc>
        <w:tc>
          <w:tcPr>
            <w:tcW w:type="dxa" w:w="3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PJ working capital originations</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concessoes_pj_capital_giro.csv</w:t>
            </w:r>
          </w:p>
        </w:tc>
      </w:tr>
      <w:tr>
        <w:tc>
          <w:tcPr>
            <w:tcW w:type="dxa" w:w="3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BCB SGS 27701 — Crédito MPMe</w:t>
            </w:r>
          </w:p>
        </w:tc>
        <w:tc>
          <w:tcPr>
            <w:tcW w:type="dxa" w:w="37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SME credit stock (Micro, Small &amp; Medium)</w:t>
            </w:r>
          </w:p>
        </w:tc>
        <w:tc>
          <w:tcPr>
            <w:tcW w:type="dxa" w:w="28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credito_mpme.csv</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BCB SGS 20716 — Taxa Juros PF Total</w:t>
            </w:r>
          </w:p>
        </w:tc>
        <w:tc>
          <w:tcPr>
            <w:tcW w:type="dxa" w:w="3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Average interest rate — PF total</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taxa_juros_pf_total.csv</w:t>
            </w:r>
          </w:p>
        </w:tc>
      </w:tr>
      <w:tr>
        <w:tc>
          <w:tcPr>
            <w:tcW w:type="dxa" w:w="3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BCB SGS 25464 — Taxa Juros PF Pessoal NC</w:t>
            </w:r>
          </w:p>
        </w:tc>
        <w:tc>
          <w:tcPr>
            <w:tcW w:type="dxa" w:w="37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Average monthly rate — PF personal non-payroll</w:t>
            </w:r>
          </w:p>
        </w:tc>
        <w:tc>
          <w:tcPr>
            <w:tcW w:type="dxa" w:w="28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taxa_juros_pf_pessoal_nao_consig.csv</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BCB SGS 26429 — Taxa Juros PJ Peq Porte</w:t>
            </w:r>
          </w:p>
        </w:tc>
        <w:tc>
          <w:tcPr>
            <w:tcW w:type="dxa" w:w="37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Average rate — PJ small businesses</w:t>
            </w:r>
          </w:p>
        </w:tc>
        <w:tc>
          <w:tcPr>
            <w:tcW w:type="dxa" w:w="28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taxa_juros_pj_pequeno_porte.csv</w:t>
            </w:r>
          </w:p>
        </w:tc>
      </w:tr>
    </w:tbl>
    <w:p>
      <w:pPr>
        <w:spacing w:after="80"/>
      </w:pPr>
      <w:r>
        <w:t xml:space="preserve"/>
      </w:r>
    </w:p>
    <w:p>
      <w:pPr>
        <w:pStyle w:val="Heading1"/>
      </w:pPr>
      <w:r>
        <w:t xml:space="preserve">Appendix A: Key R Packages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Package</w:t>
            </w:r>
          </w:p>
        </w:tc>
        <w:tc>
          <w:tcPr>
            <w:tcW w:type="dxa" w:w="7520"/>
            <w:tcBorders>
              <w:top w:val="single" w:color="AAAAAA" w:sz="1"/>
              <w:left w:val="single" w:color="AAAAAA" w:sz="1"/>
              <w:bottom w:val="single" w:color="AAAAAA" w:sz="1"/>
              <w:right w:val="single" w:color="AAAAAA" w:sz="1"/>
            </w:tcBorders>
            <w:shd w:fill="1F4E79" w:val="clear"/>
            <w:tcMar>
              <w:top w:type="dxa" w:w="80"/>
              <w:left w:type="dxa" w:w="140"/>
              <w:bottom w:type="dxa" w:w="80"/>
              <w:right w:type="dxa" w:w="140"/>
            </w:tcMar>
            <w:vAlign w:val="center"/>
          </w:tcPr>
          <w:p>
            <w:pPr>
              <w:jc w:val="center"/>
            </w:pPr>
            <w:r>
              <w:rPr>
                <w:b/>
                <w:bCs/>
                <w:color w:val="FFFFFF"/>
                <w:sz w:val="18"/>
                <w:szCs w:val="18"/>
              </w:rPr>
              <w:t xml:space="preserve">Purpose</w:t>
            </w:r>
          </w:p>
        </w:tc>
      </w:tr>
      <w:tr>
        <w:tc>
          <w:tcPr>
            <w:tcW w:type="dxa" w:w="2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bCs/>
                <w:sz w:val="18"/>
                <w:szCs w:val="18"/>
              </w:rPr>
              <w:t xml:space="preserve">tidyverse</w:t>
            </w:r>
          </w:p>
        </w:tc>
        <w:tc>
          <w:tcPr>
            <w:tcW w:type="dxa" w:w="75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Data manipulation and visualization (dplyr, ggplot2, tidyr, readr)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bCs/>
                <w:sz w:val="18"/>
                <w:szCs w:val="18"/>
              </w:rPr>
              <w:t xml:space="preserve">readxl</w:t>
            </w:r>
          </w:p>
        </w:tc>
        <w:tc>
          <w:tcPr>
            <w:tcW w:type="dxa" w:w="75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Reading Excel files (.xlsx) for PIX, Selic, and customer count data</w:t>
            </w:r>
          </w:p>
        </w:tc>
      </w:tr>
      <w:tr>
        <w:tc>
          <w:tcPr>
            <w:tcW w:type="dxa" w:w="2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bCs/>
                <w:sz w:val="18"/>
                <w:szCs w:val="18"/>
              </w:rPr>
              <w:t xml:space="preserve">lubridate</w:t>
            </w:r>
          </w:p>
        </w:tc>
        <w:tc>
          <w:tcPr>
            <w:tcW w:type="dxa" w:w="75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Date parsing, date arithmetic, and month-end alignment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bCs/>
                <w:sz w:val="18"/>
                <w:szCs w:val="18"/>
              </w:rPr>
              <w:t xml:space="preserve">scales</w:t>
            </w:r>
          </w:p>
        </w:tc>
        <w:tc>
          <w:tcPr>
            <w:tcW w:type="dxa" w:w="75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Axis label formatting for currency, percentage, and number scales</w:t>
            </w:r>
          </w:p>
        </w:tc>
      </w:tr>
      <w:tr>
        <w:tc>
          <w:tcPr>
            <w:tcW w:type="dxa" w:w="2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bCs/>
                <w:sz w:val="18"/>
                <w:szCs w:val="18"/>
              </w:rPr>
              <w:t xml:space="preserve">sandwich</w:t>
            </w:r>
          </w:p>
        </w:tc>
        <w:tc>
          <w:tcPr>
            <w:tcW w:type="dxa" w:w="75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Heteroskedasticity- and autocorrelation-consistent (HAC/Newey-West) variance estimators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bCs/>
                <w:sz w:val="18"/>
                <w:szCs w:val="18"/>
              </w:rPr>
              <w:t xml:space="preserve">lmtest</w:t>
            </w:r>
          </w:p>
        </w:tc>
        <w:tc>
          <w:tcPr>
            <w:tcW w:type="dxa" w:w="7520"/>
            <w:tcBorders>
              <w:top w:val="single" w:color="AAAAAA" w:sz="1"/>
              <w:left w:val="single" w:color="AAAAAA" w:sz="1"/>
              <w:bottom w:val="single" w:color="AAAAAA" w:sz="1"/>
              <w:right w:val="single" w:color="AAAAAA" w:sz="1"/>
            </w:tcBorders>
            <w:shd w:fill="FFFFFF" w:val="clear"/>
            <w:tcMar>
              <w:top w:type="dxa" w:w="80"/>
              <w:left w:type="dxa" w:w="140"/>
              <w:bottom w:type="dxa" w:w="80"/>
              <w:right w:type="dxa" w:w="140"/>
            </w:tcMar>
            <w:vAlign w:val="center"/>
          </w:tcPr>
          <w:p>
            <w:pPr>
              <w:jc w:val="left"/>
            </w:pPr>
            <w:r>
              <w:rPr>
                <w:b w:val="false"/>
                <w:bCs w:val="false"/>
                <w:sz w:val="18"/>
                <w:szCs w:val="18"/>
              </w:rPr>
              <w:t xml:space="preserve">Coefficient testing with robust standard errors (coeftest function)</w:t>
            </w:r>
          </w:p>
        </w:tc>
      </w:tr>
      <w:tr>
        <w:tc>
          <w:tcPr>
            <w:tcW w:type="dxa" w:w="220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bCs/>
                <w:sz w:val="18"/>
                <w:szCs w:val="18"/>
              </w:rPr>
              <w:t xml:space="preserve">gridExtra</w:t>
            </w:r>
          </w:p>
        </w:tc>
        <w:tc>
          <w:tcPr>
            <w:tcW w:type="dxa" w:w="7520"/>
            <w:tcBorders>
              <w:top w:val="single" w:color="AAAAAA" w:sz="1"/>
              <w:left w:val="single" w:color="AAAAAA" w:sz="1"/>
              <w:bottom w:val="single" w:color="AAAAAA" w:sz="1"/>
              <w:right w:val="single" w:color="AAAAAA" w:sz="1"/>
            </w:tcBorders>
            <w:shd w:fill="EBF3FA" w:val="clear"/>
            <w:tcMar>
              <w:top w:type="dxa" w:w="80"/>
              <w:left w:type="dxa" w:w="140"/>
              <w:bottom w:type="dxa" w:w="80"/>
              <w:right w:type="dxa" w:w="140"/>
            </w:tcMar>
            <w:vAlign w:val="center"/>
          </w:tcPr>
          <w:p>
            <w:pPr>
              <w:jc w:val="left"/>
            </w:pPr>
            <w:r>
              <w:rPr>
                <w:b w:val="false"/>
                <w:bCs w:val="false"/>
                <w:sz w:val="18"/>
                <w:szCs w:val="18"/>
              </w:rPr>
              <w:t xml:space="preserve">Arranging multiple ggplot2 panels in combined figure layouts</w:t>
            </w:r>
          </w:p>
        </w:tc>
      </w:tr>
    </w:tbl>
    <w:p>
      <w:pPr>
        <w:spacing w:after="80"/>
      </w:pPr>
      <w:r>
        <w:t xml:space="preserve"/>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375A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2026-04-12T03:09:36.236Z</dcterms:created>
  <dcterms:modified xsi:type="dcterms:W3CDTF">2026-04-12T03:09:36.238Z</dcterms:modified>
</cp:coreProperties>
</file>

<file path=docProps/custom.xml><?xml version="1.0" encoding="utf-8"?>
<Properties xmlns="http://schemas.openxmlformats.org/officeDocument/2006/custom-properties" xmlns:vt="http://schemas.openxmlformats.org/officeDocument/2006/docPropsVTypes"/>
</file>