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/>
                </w:rPr>
                <m:t xml:space="preserve">I 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/>
            </w:rPr>
            <m:t xml:space="preserve">(x,y) = </m:t>
          </m:r>
          <m:sSup>
            <m:sSup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/>
                </w:rPr>
                <m:t>G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/>
                </w:rPr>
                <m:t>I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/>
            </w:rPr>
            <m:t>{ W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(x,y)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} </m:t>
          </m:r>
          <m:sSup>
            <m:sSup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/>
                </w:rPr>
                <m:t>I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/>
            </w:rPr>
            <m:t xml:space="preserve"> { I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(x,y)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} 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F02EB"/>
    <w:rsid w:val="6A8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2021-03-16T05:18:00Z</dcterms:created>
  <dc:creator>prana</dc:creator>
  <cp:lastModifiedBy>Pranav Venkatesh</cp:lastModifiedBy>
  <dcterms:modified xsi:type="dcterms:W3CDTF">2021-03-16T05:21:25Z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