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EU-FarmBook Search Retrieval Strategy</w:t>
      </w:r>
    </w:p>
    <w:p>
      <w:pPr>
        <w:jc w:val="center"/>
      </w:pPr>
      <w:r>
        <w:rPr>
          <w:i/>
          <w:color w:val="595959"/>
          <w:sz w:val="24"/>
        </w:rPr>
        <w:t>Evaluating lexical, semantic, neural sparse, hybrid and adaptive retrieval in OpenSearch</w:t>
      </w:r>
    </w:p>
    <w:p/>
    <w:p>
      <w:pPr>
        <w:jc w:val="center"/>
      </w:pPr>
      <w:r>
        <w:rPr>
          <w:sz w:val="22"/>
        </w:rPr>
        <w:t>Consolidated technical note covering the retrieval-evaluation framework, relevance metrics, hybrid optimisation, entity-aware search, confidence/rejection logic, and the distinction between true matches and semantically related fallback results.</w:t>
      </w:r>
    </w:p>
    <w:p>
      <w:r>
        <w:br w:type="page"/>
      </w:r>
    </w:p>
    <w:p>
      <w:pPr>
        <w:pStyle w:val="Heading1"/>
      </w:pPr>
      <w:r>
        <w:t xml:space="preserve">0. Status against the deployed system (verified 20 September 2026)</w:t>
      </w:r>
    </w:p>
    <w:p>
      <w:pPr/>
      <w:r>
        <w:t xml:space="preserve">This note was written as a forward plan. Several of its recommendations are already implemented in the deployed retrieval service, and measurement against the live endpoint and the production export changes some of its premises. This section records what was verified; the rest of the document has been corrected accordingly.</w:t>
      </w:r>
    </w:p>
    <w:p>
      <w:pPr>
        <w:pStyle w:val="Heading2"/>
      </w:pPr>
      <w:r>
        <w:t xml:space="preserve">Already built, not future work:</w:t>
      </w:r>
    </w:p>
    <w:p>
      <w:pPr>
        <w:pStyle w:val="ListBullet"/>
      </w:pPr>
      <w:r>
        <w:t xml:space="preserve">The deployed endpoint /neural_search_relevant is already a hybrid. Its OpenSearch explain output shows a k-NN component summed with BM25 scoring that carries per-field boosts (description.en is boosted 6.0). Section 7's architecture is in production.</w:t>
      </w:r>
    </w:p>
    <w:p>
      <w:pPr>
        <w:pStyle w:val="ListBullet"/>
      </w:pPr>
      <w:r>
        <w:t xml:space="preserve">A query-understanding router already exists. Each response reports query_mode and use_semantic, so section 12's adaptive retrieval is built, not proposed.</w:t>
      </w:r>
    </w:p>
    <w:p>
      <w:pPr>
        <w:pStyle w:val="ListBullet"/>
      </w:pPr>
      <w:r>
        <w:t xml:space="preserve">Two vector indexes exist, not one: neural_search_index_msmarco_distilbert (English, 768-dim, 480-token chunks) and neural_search_index_mlang_minilm_v1 (24 EU languages, 384-dim, 120-token chunks).</w:t>
      </w:r>
    </w:p>
    <w:p>
      <w:pPr>
        <w:pStyle w:val="Heading2"/>
      </w:pPr>
      <w:r>
        <w:t xml:space="preserve">Verified defects in the deployed configuration:</w:t>
      </w:r>
    </w:p>
    <w:p>
      <w:pPr>
        <w:pStyle w:val="ListBullet"/>
      </w:pPr>
      <w:r>
        <w:t xml:space="preserve">The attempt cascade reaches the semantic half only as a last resort. scout builds an ordered list of attempts and stops at the first one returning any hits at all; for question and long_descriptive queries a lexical attempt is placed first. Measured over 300 queries replayed against the prd index, the selected attempt was semantic on 18.7 percent overall - 48 percent of cross-lingual queries, 7.9 percent of natural questions, and 0 percent of paraphrase queries, which is the class where semantic wins outright. A lexical attempt returning two weak results ends the cascade as effectively as one returning ten good ones. The profile-level use_semantic field reads false for these classes, but that is the profile default rather than what executed; only selected_attempt.use_semantic records the attempt that ran.</w:t>
      </w:r>
    </w:p>
    <w:p>
      <w:pPr>
        <w:pStyle w:val="ListBullet"/>
      </w:pPr>
      <w:r>
        <w:t xml:space="preserve">Query pre-processing strips English stopwords from every query in every language (get_stopwords(lang="english") in services/utils.py). An English question is cleaned correctly; a Dutch one keeps een, voor and mijn. 53.8 percent of the corpus is not in English.</w:t>
      </w:r>
    </w:p>
    <w:p>
      <w:pPr>
        <w:pStyle w:val="ListBullet"/>
      </w:pPr>
      <w:r>
        <w:t xml:space="preserve">At least one vocabulary-mismatch query returns zero results despite use_semantic = true, which suggests a lexical gate filtering the candidate set before fusion.</w:t>
      </w:r>
    </w:p>
    <w:p>
      <w:pPr>
        <w:pStyle w:val="Heading2"/>
      </w:pPr>
      <w:r>
        <w:t xml:space="preserve">Corpus facts that bear on the strategy:</w:t>
      </w:r>
    </w:p>
    <w:p>
      <w:pPr>
        <w:pStyle w:val="ListBullet"/>
      </w:pPr>
      <w:r>
        <w:t xml:space="preserve">The production export holds 10,468 knowledge objects. English accounts for 46.2 percent of language tags; French 12.4, Spanish 10.8, Dutch 6.9, Italian 5.7, German 4.9, and a further seventeen languages make up the rest.</w:t>
      </w:r>
    </w:p>
    <w:p>
      <w:pPr>
        <w:pStyle w:val="ListBullet"/>
      </w:pPr>
      <w:r>
        <w:t xml:space="preserve">Median description_llm length is 84 words with a 90th percentile of 134, so more than a tenth of descriptions exceed the multilingual model's 120-token chunk and are split.</w:t>
      </w:r>
    </w:p>
    <w:p>
      <w:pPr>
        <w:pStyle w:val="Heading1"/>
      </w:pPr>
      <w:r>
        <w:t>1. Objective</w:t>
      </w:r>
    </w:p>
    <w:p>
      <w:r>
        <w:t>Given an already-built OpenSearch index, the objective is not to assume that one retrieval method is universally best. Instead, the search system should empirically determine which retrieval configuration works best for the EU-FarmBook corpus, for different query types, while also recognising when the corpus contains no sufficiently relevant answer.</w:t>
      </w:r>
    </w:p>
    <w:p>
      <w:r>
        <w:t>The core recommendation is therefore to build a search relevance evaluation and optimisation framework around the existing index. Keyword/BM25, dense semantic retrieval, neural sparse retrieval, hybrid fusion, reranking and eventually Learning to Rank should be treated as competing or complementary retrieval strategies.</w:t>
      </w:r>
    </w:p>
    <w:p>
      <w:pPr>
        <w:pStyle w:val="Heading1"/>
      </w:pPr>
      <w:r>
        <w:t>2. Retrieval configurations to benchmark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ID</w:t>
            </w:r>
          </w:p>
        </w:tc>
        <w:tc>
          <w:tcPr>
            <w:tcW w:type="dxa" w:w="3389"/>
            <w:shd w:fill="D9EAF7"/>
            <w:vAlign w:val="center"/>
          </w:tcPr>
          <w:p>
            <w:r/>
            <w:r>
              <w:rPr>
                <w:b/>
                <w:sz w:val="17"/>
              </w:rPr>
              <w:t>Retrieval strategy</w:t>
            </w:r>
          </w:p>
        </w:tc>
        <w:tc>
          <w:tcPr>
            <w:tcW w:type="dxa" w:w="3389"/>
            <w:shd w:fill="D9EAF7"/>
            <w:vAlign w:val="center"/>
          </w:tcPr>
          <w:p>
            <w:r/>
            <w:r>
              <w:rPr>
                <w:b/>
                <w:sz w:val="17"/>
              </w:rPr>
              <w:t>Example</w:t>
            </w:r>
          </w:p>
        </w:tc>
      </w:tr>
      <w:tr>
        <w:tc>
          <w:tcPr>
            <w:tcW w:type="dxa" w:w="3389"/>
            <w:vAlign w:val="top"/>
          </w:tcPr>
          <w:p>
            <w:r/>
            <w:r>
              <w:rPr>
                <w:b w:val="0"/>
                <w:sz w:val="17"/>
              </w:rPr>
              <w:t>A</w:t>
            </w:r>
          </w:p>
        </w:tc>
        <w:tc>
          <w:tcPr>
            <w:tcW w:type="dxa" w:w="3389"/>
            <w:vAlign w:val="top"/>
          </w:tcPr>
          <w:p>
            <w:r/>
            <w:r>
              <w:rPr>
                <w:b w:val="0"/>
                <w:sz w:val="17"/>
              </w:rPr>
              <w:t>Lexical</w:t>
            </w:r>
          </w:p>
        </w:tc>
        <w:tc>
          <w:tcPr>
            <w:tcW w:type="dxa" w:w="3389"/>
            <w:vAlign w:val="top"/>
          </w:tcPr>
          <w:p>
            <w:r/>
            <w:r>
              <w:rPr>
                <w:b w:val="0"/>
                <w:sz w:val="17"/>
              </w:rPr>
              <w:t>BM25</w:t>
            </w:r>
          </w:p>
        </w:tc>
      </w:tr>
      <w:tr>
        <w:tc>
          <w:tcPr>
            <w:tcW w:type="dxa" w:w="3389"/>
            <w:vAlign w:val="top"/>
          </w:tcPr>
          <w:p>
            <w:r/>
            <w:r>
              <w:rPr>
                <w:b w:val="0"/>
                <w:sz w:val="17"/>
              </w:rPr>
              <w:t>B</w:t>
            </w:r>
          </w:p>
        </w:tc>
        <w:tc>
          <w:tcPr>
            <w:tcW w:type="dxa" w:w="3389"/>
            <w:vAlign w:val="top"/>
          </w:tcPr>
          <w:p>
            <w:r/>
            <w:r>
              <w:rPr>
                <w:b w:val="0"/>
                <w:sz w:val="17"/>
              </w:rPr>
              <w:t>Tuned lexical</w:t>
            </w:r>
          </w:p>
        </w:tc>
        <w:tc>
          <w:tcPr>
            <w:tcW w:type="dxa" w:w="3389"/>
            <w:vAlign w:val="top"/>
          </w:tcPr>
          <w:p>
            <w:r/>
            <w:r>
              <w:rPr>
                <w:b w:val="0"/>
                <w:sz w:val="17"/>
              </w:rPr>
              <w:t>BM25 + field boosts + language analyser + synonyms</w:t>
            </w:r>
          </w:p>
        </w:tc>
      </w:tr>
      <w:tr>
        <w:tc>
          <w:tcPr>
            <w:tcW w:type="dxa" w:w="3389"/>
            <w:vAlign w:val="top"/>
          </w:tcPr>
          <w:p>
            <w:r/>
            <w:r>
              <w:rPr>
                <w:b w:val="0"/>
                <w:sz w:val="17"/>
              </w:rPr>
              <w:t>C</w:t>
            </w:r>
          </w:p>
        </w:tc>
        <w:tc>
          <w:tcPr>
            <w:tcW w:type="dxa" w:w="3389"/>
            <w:vAlign w:val="top"/>
          </w:tcPr>
          <w:p>
            <w:r/>
            <w:r>
              <w:rPr>
                <w:b w:val="0"/>
                <w:sz w:val="17"/>
              </w:rPr>
              <w:t>Dense semantic</w:t>
            </w:r>
          </w:p>
        </w:tc>
        <w:tc>
          <w:tcPr>
            <w:tcW w:type="dxa" w:w="3389"/>
            <w:vAlign w:val="top"/>
          </w:tcPr>
          <w:p>
            <w:r/>
            <w:r>
              <w:rPr>
                <w:b w:val="0"/>
                <w:sz w:val="17"/>
              </w:rPr>
              <w:t>paraphrase-multilingual-MiniLM-L12-v2 (the deployed multilingual model)</w:t>
            </w:r>
          </w:p>
        </w:tc>
      </w:tr>
      <w:tr>
        <w:tc>
          <w:tcPr>
            <w:tcW w:type="dxa" w:w="3389"/>
            <w:vAlign w:val="top"/>
          </w:tcPr>
          <w:p>
            <w:r/>
            <w:r>
              <w:rPr>
                <w:b w:val="0"/>
                <w:sz w:val="17"/>
              </w:rPr>
              <w:t>D</w:t>
            </w:r>
          </w:p>
        </w:tc>
        <w:tc>
          <w:tcPr>
            <w:tcW w:type="dxa" w:w="3389"/>
            <w:vAlign w:val="top"/>
          </w:tcPr>
          <w:p>
            <w:r/>
            <w:r>
              <w:rPr>
                <w:b w:val="0"/>
                <w:sz w:val="17"/>
              </w:rPr>
              <w:t>Dense semantic</w:t>
            </w:r>
          </w:p>
        </w:tc>
        <w:tc>
          <w:tcPr>
            <w:tcW w:type="dxa" w:w="3389"/>
            <w:vAlign w:val="top"/>
          </w:tcPr>
          <w:p>
            <w:r/>
            <w:r>
              <w:rPr>
                <w:b w:val="0"/>
                <w:sz w:val="17"/>
              </w:rPr>
              <w:t>msmarco-distilbert-base-tas-b (the deployed English model)</w:t>
            </w:r>
          </w:p>
        </w:tc>
      </w:tr>
      <w:tr>
        <w:tc>
          <w:tcPr>
            <w:tcW w:type="dxa" w:w="3389"/>
            <w:vAlign w:val="top"/>
          </w:tcPr>
          <w:p>
            <w:r/>
            <w:r>
              <w:rPr>
                <w:b w:val="0"/>
                <w:sz w:val="17"/>
              </w:rPr>
              <w:t>E</w:t>
            </w:r>
          </w:p>
        </w:tc>
        <w:tc>
          <w:tcPr>
            <w:tcW w:type="dxa" w:w="3389"/>
            <w:vAlign w:val="top"/>
          </w:tcPr>
          <w:p>
            <w:r/>
            <w:r>
              <w:rPr>
                <w:b w:val="0"/>
                <w:sz w:val="17"/>
              </w:rPr>
              <w:t>Dense semantic</w:t>
            </w:r>
          </w:p>
        </w:tc>
        <w:tc>
          <w:tcPr>
            <w:tcW w:type="dxa" w:w="3389"/>
            <w:vAlign w:val="top"/>
          </w:tcPr>
          <w:p>
            <w:r/>
            <w:r>
              <w:rPr>
                <w:b w:val="0"/>
                <w:sz w:val="17"/>
              </w:rPr>
              <w:t>multilingual-e5-base or LaBSE (candidate multilingual upgrades)</w:t>
            </w:r>
          </w:p>
        </w:tc>
      </w:tr>
      <w:tr>
        <w:tc>
          <w:tcPr>
            <w:tcW w:type="dxa" w:w="3389"/>
            <w:vAlign w:val="top"/>
          </w:tcPr>
          <w:p>
            <w:r/>
            <w:r>
              <w:rPr>
                <w:b w:val="0"/>
                <w:sz w:val="17"/>
              </w:rPr>
              <w:t>F</w:t>
            </w:r>
          </w:p>
        </w:tc>
        <w:tc>
          <w:tcPr>
            <w:tcW w:type="dxa" w:w="3389"/>
            <w:vAlign w:val="top"/>
          </w:tcPr>
          <w:p>
            <w:r/>
            <w:r>
              <w:rPr>
                <w:b w:val="0"/>
                <w:sz w:val="17"/>
              </w:rPr>
              <w:t>Neural sparse</w:t>
            </w:r>
          </w:p>
        </w:tc>
        <w:tc>
          <w:tcPr>
            <w:tcW w:type="dxa" w:w="3389"/>
            <w:vAlign w:val="top"/>
          </w:tcPr>
          <w:p>
            <w:r/>
            <w:r>
              <w:rPr>
                <w:b w:val="0"/>
                <w:sz w:val="17"/>
              </w:rPr>
              <w:t>Sparse learned representation + inverted index</w:t>
            </w:r>
          </w:p>
        </w:tc>
      </w:tr>
      <w:tr>
        <w:tc>
          <w:tcPr>
            <w:tcW w:type="dxa" w:w="3389"/>
            <w:vAlign w:val="top"/>
          </w:tcPr>
          <w:p>
            <w:r/>
            <w:r>
              <w:rPr>
                <w:b w:val="0"/>
                <w:sz w:val="17"/>
              </w:rPr>
              <w:t>G</w:t>
            </w:r>
          </w:p>
        </w:tc>
        <w:tc>
          <w:tcPr>
            <w:tcW w:type="dxa" w:w="3389"/>
            <w:vAlign w:val="top"/>
          </w:tcPr>
          <w:p>
            <w:r/>
            <w:r>
              <w:rPr>
                <w:b w:val="0"/>
                <w:sz w:val="17"/>
              </w:rPr>
              <w:t>Hybrid</w:t>
            </w:r>
          </w:p>
        </w:tc>
        <w:tc>
          <w:tcPr>
            <w:tcW w:type="dxa" w:w="3389"/>
            <w:vAlign w:val="top"/>
          </w:tcPr>
          <w:p>
            <w:r/>
            <w:r>
              <w:rPr>
                <w:b w:val="0"/>
                <w:sz w:val="17"/>
              </w:rPr>
              <w:t>BM25 + MPNet</w:t>
            </w:r>
          </w:p>
        </w:tc>
      </w:tr>
      <w:tr>
        <w:tc>
          <w:tcPr>
            <w:tcW w:type="dxa" w:w="3389"/>
            <w:vAlign w:val="top"/>
          </w:tcPr>
          <w:p>
            <w:r/>
            <w:r>
              <w:rPr>
                <w:b w:val="0"/>
                <w:sz w:val="17"/>
              </w:rPr>
              <w:t>H</w:t>
            </w:r>
          </w:p>
        </w:tc>
        <w:tc>
          <w:tcPr>
            <w:tcW w:type="dxa" w:w="3389"/>
            <w:vAlign w:val="top"/>
          </w:tcPr>
          <w:p>
            <w:r/>
            <w:r>
              <w:rPr>
                <w:b w:val="0"/>
                <w:sz w:val="17"/>
              </w:rPr>
              <w:t>Hybrid</w:t>
            </w:r>
          </w:p>
        </w:tc>
        <w:tc>
          <w:tcPr>
            <w:tcW w:type="dxa" w:w="3389"/>
            <w:vAlign w:val="top"/>
          </w:tcPr>
          <w:p>
            <w:r/>
            <w:r>
              <w:rPr>
                <w:b w:val="0"/>
                <w:sz w:val="17"/>
              </w:rPr>
              <w:t>BM25 + E5</w:t>
            </w:r>
          </w:p>
        </w:tc>
      </w:tr>
      <w:tr>
        <w:tc>
          <w:tcPr>
            <w:tcW w:type="dxa" w:w="3389"/>
            <w:vAlign w:val="top"/>
          </w:tcPr>
          <w:p>
            <w:r/>
            <w:r>
              <w:rPr>
                <w:b w:val="0"/>
                <w:sz w:val="17"/>
              </w:rPr>
              <w:t>I</w:t>
            </w:r>
          </w:p>
        </w:tc>
        <w:tc>
          <w:tcPr>
            <w:tcW w:type="dxa" w:w="3389"/>
            <w:vAlign w:val="top"/>
          </w:tcPr>
          <w:p>
            <w:r/>
            <w:r>
              <w:rPr>
                <w:b w:val="0"/>
                <w:sz w:val="17"/>
              </w:rPr>
              <w:t>Hybrid</w:t>
            </w:r>
          </w:p>
        </w:tc>
        <w:tc>
          <w:tcPr>
            <w:tcW w:type="dxa" w:w="3389"/>
            <w:vAlign w:val="top"/>
          </w:tcPr>
          <w:p>
            <w:r/>
            <w:r>
              <w:rPr>
                <w:b w:val="0"/>
                <w:sz w:val="17"/>
              </w:rPr>
              <w:t>BM25 + BGE</w:t>
            </w:r>
          </w:p>
        </w:tc>
      </w:tr>
      <w:tr>
        <w:tc>
          <w:tcPr>
            <w:tcW w:type="dxa" w:w="3389"/>
            <w:vAlign w:val="top"/>
          </w:tcPr>
          <w:p>
            <w:r/>
            <w:r>
              <w:rPr>
                <w:b w:val="0"/>
                <w:sz w:val="17"/>
              </w:rPr>
              <w:t>J</w:t>
            </w:r>
          </w:p>
        </w:tc>
        <w:tc>
          <w:tcPr>
            <w:tcW w:type="dxa" w:w="3389"/>
            <w:vAlign w:val="top"/>
          </w:tcPr>
          <w:p>
            <w:r/>
            <w:r>
              <w:rPr>
                <w:b w:val="0"/>
                <w:sz w:val="17"/>
              </w:rPr>
              <w:t>Hybrid RRF</w:t>
            </w:r>
          </w:p>
        </w:tc>
        <w:tc>
          <w:tcPr>
            <w:tcW w:type="dxa" w:w="3389"/>
            <w:vAlign w:val="top"/>
          </w:tcPr>
          <w:p>
            <w:r/>
            <w:r>
              <w:rPr>
                <w:b w:val="0"/>
                <w:sz w:val="17"/>
              </w:rPr>
              <w:t>BM25 + best dense model + Reciprocal Rank Fusion</w:t>
            </w:r>
          </w:p>
        </w:tc>
      </w:tr>
      <w:tr>
        <w:tc>
          <w:tcPr>
            <w:tcW w:type="dxa" w:w="3389"/>
            <w:vAlign w:val="top"/>
          </w:tcPr>
          <w:p>
            <w:r/>
            <w:r>
              <w:rPr>
                <w:b w:val="0"/>
                <w:sz w:val="17"/>
              </w:rPr>
              <w:t>K</w:t>
            </w:r>
          </w:p>
        </w:tc>
        <w:tc>
          <w:tcPr>
            <w:tcW w:type="dxa" w:w="3389"/>
            <w:vAlign w:val="top"/>
          </w:tcPr>
          <w:p>
            <w:r/>
            <w:r>
              <w:rPr>
                <w:b w:val="0"/>
                <w:sz w:val="17"/>
              </w:rPr>
              <w:t>Weighted hybrid</w:t>
            </w:r>
          </w:p>
        </w:tc>
        <w:tc>
          <w:tcPr>
            <w:tcW w:type="dxa" w:w="3389"/>
            <w:vAlign w:val="top"/>
          </w:tcPr>
          <w:p>
            <w:r/>
            <w:r>
              <w:rPr>
                <w:b w:val="0"/>
                <w:sz w:val="17"/>
              </w:rPr>
              <w:t>BM25 + dense retrieval with optimised weights</w:t>
            </w:r>
          </w:p>
        </w:tc>
      </w:tr>
      <w:tr>
        <w:tc>
          <w:tcPr>
            <w:tcW w:type="dxa" w:w="3389"/>
            <w:vAlign w:val="top"/>
          </w:tcPr>
          <w:p>
            <w:r/>
            <w:r>
              <w:rPr>
                <w:b w:val="0"/>
                <w:sz w:val="17"/>
              </w:rPr>
              <w:t>L</w:t>
            </w:r>
          </w:p>
        </w:tc>
        <w:tc>
          <w:tcPr>
            <w:tcW w:type="dxa" w:w="3389"/>
            <w:vAlign w:val="top"/>
          </w:tcPr>
          <w:p>
            <w:r/>
            <w:r>
              <w:rPr>
                <w:b w:val="0"/>
                <w:sz w:val="17"/>
              </w:rPr>
              <w:t>Hybrid + reranker</w:t>
            </w:r>
          </w:p>
        </w:tc>
        <w:tc>
          <w:tcPr>
            <w:tcW w:type="dxa" w:w="3389"/>
            <w:vAlign w:val="top"/>
          </w:tcPr>
          <w:p>
            <w:r/>
            <w:r>
              <w:rPr>
                <w:b w:val="0"/>
                <w:sz w:val="17"/>
              </w:rPr>
              <w:t>BM25 + dense candidates → cross-encoder/LLM reranking</w:t>
            </w:r>
          </w:p>
        </w:tc>
      </w:tr>
      <w:tr>
        <w:tc>
          <w:tcPr>
            <w:tcW w:type="dxa" w:w="3389"/>
            <w:vAlign w:val="top"/>
          </w:tcPr>
          <w:p>
            <w:r/>
            <w:r>
              <w:rPr>
                <w:b w:val="0"/>
                <w:sz w:val="17"/>
              </w:rPr>
              <w:t>M</w:t>
            </w:r>
          </w:p>
        </w:tc>
        <w:tc>
          <w:tcPr>
            <w:tcW w:type="dxa" w:w="3389"/>
            <w:vAlign w:val="top"/>
          </w:tcPr>
          <w:p>
            <w:r/>
            <w:r>
              <w:rPr>
                <w:b w:val="0"/>
                <w:sz w:val="17"/>
              </w:rPr>
              <w:t>Hybrid + metadata</w:t>
            </w:r>
          </w:p>
        </w:tc>
        <w:tc>
          <w:tcPr>
            <w:tcW w:type="dxa" w:w="3389"/>
            <w:vAlign w:val="top"/>
          </w:tcPr>
          <w:p>
            <w:r/>
            <w:r>
              <w:rPr>
                <w:b w:val="0"/>
                <w:sz w:val="17"/>
              </w:rPr>
              <w:t>Lexical + dense + language/topic/location/type signals</w:t>
            </w:r>
          </w:p>
        </w:tc>
      </w:tr>
      <w:tr>
        <w:tc>
          <w:tcPr>
            <w:tcW w:type="dxa" w:w="3389"/>
            <w:vAlign w:val="top"/>
          </w:tcPr>
          <w:p>
            <w:r/>
            <w:r>
              <w:rPr>
                <w:b w:val="0"/>
                <w:sz w:val="17"/>
              </w:rPr>
              <w:t>N</w:t>
            </w:r>
          </w:p>
        </w:tc>
        <w:tc>
          <w:tcPr>
            <w:tcW w:type="dxa" w:w="3389"/>
            <w:vAlign w:val="top"/>
          </w:tcPr>
          <w:p>
            <w:r/>
            <w:r>
              <w:rPr>
                <w:b w:val="0"/>
                <w:sz w:val="17"/>
              </w:rPr>
              <w:t>Learned ranking</w:t>
            </w:r>
          </w:p>
        </w:tc>
        <w:tc>
          <w:tcPr>
            <w:tcW w:type="dxa" w:w="3389"/>
            <w:vAlign w:val="top"/>
          </w:tcPr>
          <w:p>
            <w:r/>
            <w:r>
              <w:rPr>
                <w:b w:val="0"/>
                <w:sz w:val="17"/>
              </w:rPr>
              <w:t>Candidate retrieval → Learning to Rank</w:t>
            </w:r>
          </w:p>
        </w:tc>
      </w:tr>
    </w:tbl>
    <w:p/>
    <w:p>
      <w:r>
        <w:t>RRF is an especially useful baseline because BM25 and vector-similarity scores exist on different numerical scales. Note that fusion is not free: when one arm is confidently wrong it still contributes candidates and can displace correct results, so fusion should be gated on retrieval confidence rather than applied unconditionally.  Rather than directly comparing those raw scores, RRF combines ranked lists using rank position. Score-normalised hybrid fusion should also be benchmarked.</w:t>
      </w:r>
    </w:p>
    <w:p>
      <w:pPr>
        <w:pStyle w:val="Heading1"/>
      </w:pPr>
      <w:r>
        <w:t>3. Build a representative query benchmark</w:t>
      </w:r>
    </w:p>
    <w:p>
      <w:r>
        <w:t>Random queries are insufficient. The benchmark should contain approximately 300–1,000 representative queries spanning the major search behaviours expected on EU-FarmBook.</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Query class</w:t>
            </w:r>
          </w:p>
        </w:tc>
        <w:tc>
          <w:tcPr>
            <w:tcW w:type="dxa" w:w="5083"/>
            <w:shd w:fill="D9EAF7"/>
            <w:vAlign w:val="center"/>
          </w:tcPr>
          <w:p>
            <w:r/>
            <w:r>
              <w:rPr>
                <w:b/>
                <w:sz w:val="17"/>
              </w:rPr>
              <w:t>Example</w:t>
            </w:r>
          </w:p>
        </w:tc>
      </w:tr>
      <w:tr>
        <w:tc>
          <w:tcPr>
            <w:tcW w:type="dxa" w:w="5083"/>
            <w:vAlign w:val="top"/>
          </w:tcPr>
          <w:p>
            <w:r/>
            <w:r>
              <w:rPr>
                <w:b w:val="0"/>
                <w:sz w:val="17"/>
              </w:rPr>
              <w:t>Exact / lexical</w:t>
            </w:r>
          </w:p>
        </w:tc>
        <w:tc>
          <w:tcPr>
            <w:tcW w:type="dxa" w:w="5083"/>
            <w:vAlign w:val="top"/>
          </w:tcPr>
          <w:p>
            <w:r/>
            <w:r>
              <w:rPr>
                <w:b w:val="0"/>
                <w:sz w:val="17"/>
              </w:rPr>
              <w:t>CAP Strategic Plan 2023 Netherlands</w:t>
            </w:r>
          </w:p>
        </w:tc>
      </w:tr>
      <w:tr>
        <w:tc>
          <w:tcPr>
            <w:tcW w:type="dxa" w:w="5083"/>
            <w:vAlign w:val="top"/>
          </w:tcPr>
          <w:p>
            <w:r/>
            <w:r>
              <w:rPr>
                <w:b w:val="0"/>
                <w:sz w:val="17"/>
              </w:rPr>
              <w:t>Conceptual</w:t>
            </w:r>
          </w:p>
        </w:tc>
        <w:tc>
          <w:tcPr>
            <w:tcW w:type="dxa" w:w="5083"/>
            <w:vAlign w:val="top"/>
          </w:tcPr>
          <w:p>
            <w:r/>
            <w:r>
              <w:rPr>
                <w:b w:val="0"/>
                <w:sz w:val="17"/>
              </w:rPr>
              <w:t>How can farmers reduce nitrogen losses from dairy farms?</w:t>
            </w:r>
          </w:p>
        </w:tc>
      </w:tr>
      <w:tr>
        <w:tc>
          <w:tcPr>
            <w:tcW w:type="dxa" w:w="5083"/>
            <w:vAlign w:val="top"/>
          </w:tcPr>
          <w:p>
            <w:r/>
            <w:r>
              <w:rPr>
                <w:b w:val="0"/>
                <w:sz w:val="17"/>
              </w:rPr>
              <w:t>Problem / solution</w:t>
            </w:r>
          </w:p>
        </w:tc>
        <w:tc>
          <w:tcPr>
            <w:tcW w:type="dxa" w:w="5083"/>
            <w:vAlign w:val="top"/>
          </w:tcPr>
          <w:p>
            <w:r/>
            <w:r>
              <w:rPr>
                <w:b w:val="0"/>
                <w:sz w:val="17"/>
              </w:rPr>
              <w:t>My wheat leaves have yellow spots. What could cause this?</w:t>
            </w:r>
          </w:p>
        </w:tc>
      </w:tr>
      <w:tr>
        <w:tc>
          <w:tcPr>
            <w:tcW w:type="dxa" w:w="5083"/>
            <w:vAlign w:val="top"/>
          </w:tcPr>
          <w:p>
            <w:r/>
            <w:r>
              <w:rPr>
                <w:b w:val="0"/>
                <w:sz w:val="17"/>
              </w:rPr>
              <w:t>Natural language</w:t>
            </w:r>
          </w:p>
        </w:tc>
        <w:tc>
          <w:tcPr>
            <w:tcW w:type="dxa" w:w="5083"/>
            <w:vAlign w:val="top"/>
          </w:tcPr>
          <w:p>
            <w:r/>
            <w:r>
              <w:rPr>
                <w:b w:val="0"/>
                <w:sz w:val="17"/>
              </w:rPr>
              <w:t>What can I do to improve soil water retention during drought?</w:t>
            </w:r>
          </w:p>
        </w:tc>
      </w:tr>
      <w:tr>
        <w:tc>
          <w:tcPr>
            <w:tcW w:type="dxa" w:w="5083"/>
            <w:vAlign w:val="top"/>
          </w:tcPr>
          <w:p>
            <w:r/>
            <w:r>
              <w:rPr>
                <w:b w:val="0"/>
                <w:sz w:val="17"/>
              </w:rPr>
              <w:t>Technical</w:t>
            </w:r>
          </w:p>
        </w:tc>
        <w:tc>
          <w:tcPr>
            <w:tcW w:type="dxa" w:w="5083"/>
            <w:vAlign w:val="top"/>
          </w:tcPr>
          <w:p>
            <w:r/>
            <w:r>
              <w:rPr>
                <w:b w:val="0"/>
                <w:sz w:val="17"/>
              </w:rPr>
              <w:t>integrated pest management for Phytophthora infestans</w:t>
            </w:r>
          </w:p>
        </w:tc>
      </w:tr>
      <w:tr>
        <w:tc>
          <w:tcPr>
            <w:tcW w:type="dxa" w:w="5083"/>
            <w:vAlign w:val="top"/>
          </w:tcPr>
          <w:p>
            <w:r/>
            <w:r>
              <w:rPr>
                <w:b w:val="0"/>
                <w:sz w:val="17"/>
              </w:rPr>
              <w:t>Multilingual</w:t>
            </w:r>
          </w:p>
        </w:tc>
        <w:tc>
          <w:tcPr>
            <w:tcW w:type="dxa" w:w="5083"/>
            <w:vAlign w:val="top"/>
          </w:tcPr>
          <w:p>
            <w:r/>
            <w:r>
              <w:rPr>
                <w:b w:val="0"/>
                <w:sz w:val="17"/>
              </w:rPr>
              <w:t>biologische bestrijding bladluizen</w:t>
            </w:r>
          </w:p>
        </w:tc>
      </w:tr>
      <w:tr>
        <w:tc>
          <w:tcPr>
            <w:tcW w:type="dxa" w:w="5083"/>
            <w:vAlign w:val="top"/>
          </w:tcPr>
          <w:p>
            <w:r/>
            <w:r>
              <w:rPr>
                <w:b w:val="0"/>
                <w:sz w:val="17"/>
              </w:rPr>
              <w:t>Location-sensitive</w:t>
            </w:r>
          </w:p>
        </w:tc>
        <w:tc>
          <w:tcPr>
            <w:tcW w:type="dxa" w:w="5083"/>
            <w:vAlign w:val="top"/>
          </w:tcPr>
          <w:p>
            <w:r/>
            <w:r>
              <w:rPr>
                <w:b w:val="0"/>
                <w:sz w:val="17"/>
              </w:rPr>
              <w:t>cover crops suitable for Mediterranean vineyards</w:t>
            </w:r>
          </w:p>
        </w:tc>
      </w:tr>
      <w:tr>
        <w:tc>
          <w:tcPr>
            <w:tcW w:type="dxa" w:w="5083"/>
            <w:vAlign w:val="top"/>
          </w:tcPr>
          <w:p>
            <w:r/>
            <w:r>
              <w:rPr>
                <w:b w:val="0"/>
                <w:sz w:val="17"/>
              </w:rPr>
              <w:t>Broad exploratory</w:t>
            </w:r>
          </w:p>
        </w:tc>
        <w:tc>
          <w:tcPr>
            <w:tcW w:type="dxa" w:w="5083"/>
            <w:vAlign w:val="top"/>
          </w:tcPr>
          <w:p>
            <w:r/>
            <w:r>
              <w:rPr>
                <w:b w:val="0"/>
                <w:sz w:val="17"/>
              </w:rPr>
              <w:t>regenerative agriculture</w:t>
            </w:r>
          </w:p>
        </w:tc>
      </w:tr>
      <w:tr>
        <w:tc>
          <w:tcPr>
            <w:tcW w:type="dxa" w:w="5083"/>
            <w:vAlign w:val="top"/>
          </w:tcPr>
          <w:p>
            <w:r/>
            <w:r>
              <w:rPr>
                <w:b w:val="0"/>
                <w:sz w:val="17"/>
              </w:rPr>
              <w:t>Metadata-heavy</w:t>
            </w:r>
          </w:p>
        </w:tc>
        <w:tc>
          <w:tcPr>
            <w:tcW w:type="dxa" w:w="5083"/>
            <w:vAlign w:val="top"/>
          </w:tcPr>
          <w:p>
            <w:r/>
            <w:r>
              <w:rPr>
                <w:b w:val="0"/>
                <w:sz w:val="17"/>
              </w:rPr>
              <w:t>EIP-AGRI publications about soil health in France</w:t>
            </w:r>
          </w:p>
        </w:tc>
      </w:tr>
    </w:tbl>
    <w:p/>
    <w:p>
      <w:r>
        <w:t>Different systems may dominate different query classes. Exact terminology often favours lexical retrieval, whereas semantic retrieval can recover relevant material whose vocabulary differs substantially from the query. The research question should therefore become: which retrieval configuration performs best for which class of EU-FarmBook query?</w:t>
      </w:r>
    </w:p>
    <w:p>
      <w:pPr>
        <w:pStyle w:val="Heading1"/>
      </w:pPr>
      <w:r>
        <w:t>4. Establish relevance ground truth</w:t>
      </w:r>
    </w:p>
    <w:p>
      <w:r>
        <w:t>Each benchmark query should have a relevance judgement set. A graded relevance scheme is preferable because it distinguishes highly relevant results from merely related material.</w:t>
      </w:r>
    </w:p>
    <w:p>
      <w:pPr>
        <w:pStyle w:val="Code"/>
      </w:pPr>
      <w:r>
        <w:t>qᵢ → {(d₁, r₁), (d₂, r₂),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Document</w:t>
            </w:r>
          </w:p>
        </w:tc>
        <w:tc>
          <w:tcPr>
            <w:tcW w:type="dxa" w:w="5083"/>
            <w:shd w:fill="D9EAF7"/>
            <w:vAlign w:val="center"/>
          </w:tcPr>
          <w:p>
            <w:r/>
            <w:r>
              <w:rPr>
                <w:b/>
                <w:sz w:val="17"/>
              </w:rPr>
              <w:t>Relevance</w:t>
            </w:r>
          </w:p>
        </w:tc>
      </w:tr>
      <w:tr>
        <w:tc>
          <w:tcPr>
            <w:tcW w:type="dxa" w:w="5083"/>
            <w:vAlign w:val="top"/>
          </w:tcPr>
          <w:p>
            <w:r/>
            <w:r>
              <w:rPr>
                <w:b w:val="0"/>
                <w:sz w:val="17"/>
              </w:rPr>
              <w:t>Document A</w:t>
            </w:r>
          </w:p>
        </w:tc>
        <w:tc>
          <w:tcPr>
            <w:tcW w:type="dxa" w:w="5083"/>
            <w:vAlign w:val="top"/>
          </w:tcPr>
          <w:p>
            <w:r/>
            <w:r>
              <w:rPr>
                <w:b w:val="0"/>
                <w:sz w:val="17"/>
              </w:rPr>
              <w:t>3 – highly relevant</w:t>
            </w:r>
          </w:p>
        </w:tc>
      </w:tr>
      <w:tr>
        <w:tc>
          <w:tcPr>
            <w:tcW w:type="dxa" w:w="5083"/>
            <w:vAlign w:val="top"/>
          </w:tcPr>
          <w:p>
            <w:r/>
            <w:r>
              <w:rPr>
                <w:b w:val="0"/>
                <w:sz w:val="17"/>
              </w:rPr>
              <w:t>Document B</w:t>
            </w:r>
          </w:p>
        </w:tc>
        <w:tc>
          <w:tcPr>
            <w:tcW w:type="dxa" w:w="5083"/>
            <w:vAlign w:val="top"/>
          </w:tcPr>
          <w:p>
            <w:r/>
            <w:r>
              <w:rPr>
                <w:b w:val="0"/>
                <w:sz w:val="17"/>
              </w:rPr>
              <w:t>2 – relevant</w:t>
            </w:r>
          </w:p>
        </w:tc>
      </w:tr>
      <w:tr>
        <w:tc>
          <w:tcPr>
            <w:tcW w:type="dxa" w:w="5083"/>
            <w:vAlign w:val="top"/>
          </w:tcPr>
          <w:p>
            <w:r/>
            <w:r>
              <w:rPr>
                <w:b w:val="0"/>
                <w:sz w:val="17"/>
              </w:rPr>
              <w:t>Document C</w:t>
            </w:r>
          </w:p>
        </w:tc>
        <w:tc>
          <w:tcPr>
            <w:tcW w:type="dxa" w:w="5083"/>
            <w:vAlign w:val="top"/>
          </w:tcPr>
          <w:p>
            <w:r/>
            <w:r>
              <w:rPr>
                <w:b w:val="0"/>
                <w:sz w:val="17"/>
              </w:rPr>
              <w:t>1 – partially relevant</w:t>
            </w:r>
          </w:p>
        </w:tc>
      </w:tr>
      <w:tr>
        <w:tc>
          <w:tcPr>
            <w:tcW w:type="dxa" w:w="5083"/>
            <w:vAlign w:val="top"/>
          </w:tcPr>
          <w:p>
            <w:r/>
            <w:r>
              <w:rPr>
                <w:b w:val="0"/>
                <w:sz w:val="17"/>
              </w:rPr>
              <w:t>Document D</w:t>
            </w:r>
          </w:p>
        </w:tc>
        <w:tc>
          <w:tcPr>
            <w:tcW w:type="dxa" w:w="5083"/>
            <w:vAlign w:val="top"/>
          </w:tcPr>
          <w:p>
            <w:r/>
            <w:r>
              <w:rPr>
                <w:b w:val="0"/>
                <w:sz w:val="17"/>
              </w:rPr>
              <w:t>0 – irrelevant</w:t>
            </w:r>
          </w:p>
        </w:tc>
      </w:tr>
    </w:tbl>
    <w:p/>
    <w:p>
      <w:r>
        <w:t>Ideally, domain experts such as agronomists provide or validate these judgements. A scalable workflow can combine LLM-as-a-Judge with expert validation and later production behaviour. The LLM should assist judgement generation, not be treated as unquestionable ground truth.</w:t>
      </w:r>
    </w:p>
    <w:p>
      <w:pPr>
        <w:pStyle w:val="Heading1"/>
      </w:pPr>
      <w:r>
        <w:t>5. Evaluate with established information-retrieval metrics</w:t>
      </w:r>
    </w:p>
    <w:p>
      <w:pPr>
        <w:pStyle w:val="Heading2"/>
      </w:pPr>
      <w:r>
        <w:t>5.1 nDCG@10</w:t>
      </w:r>
    </w:p>
    <w:p>
      <w:r>
        <w:t>Normalised Discounted Cumulative Gain is particularly useful because it rewards systems that place highly relevant documents near the top of the ranking.</w:t>
      </w:r>
    </w:p>
    <w:p>
      <w:pPr>
        <w:pStyle w:val="Code"/>
      </w:pPr>
      <w:r>
        <w:t>DCG@k = Σᵢ₌₁ᵏ (2^relᵢ − 1) / log₂(i + 1)</w:t>
        <w:br/>
        <w:br/>
        <w:t>nDCG@k = DCG@k / IDCG@k</w:t>
      </w:r>
    </w:p>
    <w:p>
      <w:pPr>
        <w:pStyle w:val="Heading2"/>
      </w:pPr>
      <w:r>
        <w:t>5.2 Additional metrics</w:t>
      </w:r>
    </w:p>
    <w:p>
      <w:pPr>
        <w:pStyle w:val="ListBullet"/>
        <w:spacing w:after="40"/>
      </w:pPr>
      <w:r>
        <w:t>Recall@10 / Recall@20 / Recall@50 — how many known relevant documents were retrieved. Report the ceiling k / |relevant| alongside it: when the judgement set is broad, Recall@10 is capped well below 1.0 and the raw figure is not interpretable on its own.</w:t>
      </w:r>
    </w:p>
    <w:p>
      <w:pPr>
        <w:pStyle w:val="ListBullet"/>
        <w:spacing w:after="40"/>
      </w:pPr>
      <w:r>
        <w:t>Precision@10 — how many of the first ten results are relevant.</w:t>
      </w:r>
    </w:p>
    <w:p>
      <w:pPr>
        <w:pStyle w:val="ListBullet"/>
        <w:spacing w:after="40"/>
      </w:pPr>
      <w:r>
        <w:t>MRR — Mean Reciprocal Rank, useful when finding one strong answer quickly matters.</w:t>
      </w:r>
    </w:p>
    <w:p>
      <w:pPr>
        <w:pStyle w:val="Code"/>
      </w:pPr>
      <w:r>
        <w:t>MRR = (1 / N) × Σᵩ₌₁ᴺ (1 / rankᵩ)</w:t>
      </w:r>
    </w:p>
    <w:p>
      <w:pPr>
        <w:pStyle w:val="ListBullet"/>
        <w:spacing w:after="40"/>
      </w:pPr>
      <w:r>
        <w:t>MAP — Mean Average Precision, useful for evaluating ranking quality across multiple relevant documents.</w:t>
      </w:r>
    </w:p>
    <w:p>
      <w:pPr>
        <w:pStyle w:val="ListBullet"/>
        <w:spacing w:after="40"/>
      </w:pPr>
      <w:r>
        <w:t>P50/P95 latency and computational cost — relevance improvements must be weighed against production cost.</w:t>
      </w:r>
    </w:p>
    <w:p>
      <w:pPr>
        <w:pStyle w:val="Heading1"/>
      </w:pPr>
      <w:r>
        <w:t>6. Search-configuration optimisation</w:t>
      </w:r>
    </w:p>
    <w:p>
      <w:r>
        <w:t>Once the query set, relevance judgements and metrics exist, the search configuration can be treated as an optimisation space rather than a matter of preference.</w:t>
      </w:r>
    </w:p>
    <w:p>
      <w:pPr>
        <w:pStyle w:val="Code"/>
      </w:pPr>
      <w:r>
        <w:t>BM25</w:t>
        <w:br/>
        <w:t>BM25 title^2</w:t>
        <w:br/>
        <w:t>BM25 title^5</w:t>
        <w:br/>
        <w:t>BM25 title^10</w:t>
        <w:br/>
        <w:br/>
        <w:t>MPNet</w:t>
        <w:br/>
        <w:t>E5</w:t>
        <w:br/>
        <w:t>BGE</w:t>
        <w:br/>
        <w:br/>
        <w:t>BM25 + MPNet</w:t>
        <w:br/>
        <w:t>BM25 + E5</w:t>
        <w:br/>
        <w:t>BM25 + BGE</w:t>
        <w:br/>
        <w:br/>
        <w:t>RRF(k=1, 5, 10, 20, 60)</w:t>
        <w:br/>
        <w:br/>
        <w:t>Hybrid lexical weight:</w:t>
        <w:br/>
        <w:t>0.1, 0.2, …, 0.9</w:t>
        <w:br/>
        <w:br/>
        <w:t>Normalisation:</w:t>
        <w:br/>
        <w:t>min-max, L2, z-score</w:t>
        <w:br/>
        <w:br/>
        <w:t>Combination:</w:t>
        <w:br/>
        <w:t>arithmetic mean, geometric mean, harmonic mean</w:t>
      </w:r>
    </w:p>
    <w:p>
      <w:pPr>
        <w:pStyle w:val="Heading1"/>
      </w:pPr>
      <w:r>
        <w:t>7. Separate retrieval from reranking</w:t>
      </w:r>
    </w:p>
    <w:p>
      <w:r>
        <w:t>A strong architecture should distinguish candidate retrieval from final ranking. The first stage should maximise recall; the second stage should improve precision.</w:t>
      </w:r>
    </w:p>
    <w:p>
      <w:pPr>
        <w:pStyle w:val="Code"/>
      </w:pPr>
      <w:r>
        <w:t xml:space="preserve">                         User query</w:t>
        <w:br/>
        <w:t xml:space="preserve">                             │</w:t>
        <w:br/>
        <w:t xml:space="preserve">                    Query understanding</w:t>
        <w:br/>
        <w:t xml:space="preserve">                             │</w:t>
        <w:br/>
        <w:t xml:space="preserve">              ┌──────────────┴──────────────┐</w:t>
        <w:br/>
        <w:t xml:space="preserve">              │                             │</w:t>
        <w:br/>
        <w:t xml:space="preserve">            BM25                      Dense retrieval</w:t>
        <w:br/>
        <w:t xml:space="preserve">              │                             │</w:t>
        <w:br/>
        <w:t xml:space="preserve">            Top 100                       Top 100</w:t>
        <w:br/>
        <w:t xml:space="preserve">              │                             │</w:t>
        <w:br/>
        <w:t xml:space="preserve">              └──────────────┬──────────────┘</w:t>
        <w:br/>
        <w:t xml:space="preserve">                             │</w:t>
        <w:br/>
        <w:t xml:space="preserve">                       RRF / Fusion</w:t>
        <w:br/>
        <w:t xml:space="preserve">                             │</w:t>
        <w:br/>
        <w:t xml:space="preserve">                          Top 50</w:t>
        <w:br/>
        <w:t xml:space="preserve">                             │</w:t>
        <w:br/>
        <w:t xml:space="preserve">                    Cross-encoder / LLM</w:t>
        <w:br/>
        <w:t xml:space="preserve">                         reranking</w:t>
        <w:br/>
        <w:t xml:space="preserve">                             │</w:t>
        <w:br/>
        <w:t xml:space="preserve">                          Top 10</w:t>
        <w:br/>
        <w:t xml:space="preserve">                             │</w:t>
        <w:br/>
        <w:t xml:space="preserve">                   metadata / business rules</w:t>
        <w:br/>
        <w:t xml:space="preserve">                             │</w:t>
        <w:br/>
        <w:t xml:space="preserve">                       final results</w:t>
      </w:r>
    </w:p>
    <w:p>
      <w:r>
        <w:t>Consequently, BM25 + semantic retrieval → RRF/fusion → reranker should be benchmarked rather than assuming that dense vector retrieval alone is the final search architecture.</w:t>
      </w:r>
    </w:p>
    <w:p>
      <w:pPr>
        <w:pStyle w:val="Heading1"/>
      </w:pPr>
      <w:r>
        <w:t>8. Learning to Rank as a later-stage capability</w:t>
      </w:r>
    </w:p>
    <w:p>
      <w:r>
        <w:t>Once sufficient real usage data exists, ranking can move beyond manually selected weights. A Learning-to-Rank model can use lexical, semantic, metadata, quality and behavioural features.</w:t>
      </w:r>
    </w:p>
    <w:p>
      <w:pPr>
        <w:pStyle w:val="Code"/>
      </w:pPr>
      <w:r>
        <w:t>BM25 score</w:t>
        <w:br/>
        <w:t>dense similarity</w:t>
        <w:br/>
        <w:t>title BM25</w:t>
        <w:br/>
        <w:t>description BM25</w:t>
        <w:br/>
        <w:t>keyword overlap</w:t>
        <w:br/>
        <w:t>language match</w:t>
        <w:br/>
        <w:t>country match</w:t>
        <w:br/>
        <w:t>topic match</w:t>
        <w:br/>
        <w:t>theme match</w:t>
        <w:br/>
        <w:t>document freshness</w:t>
        <w:br/>
        <w:t>document quality score</w:t>
        <w:br/>
        <w:t>project relevance</w:t>
        <w:br/>
        <w:t>click-through rate</w:t>
        <w:br/>
        <w:t>dwell time</w:t>
        <w:br/>
        <w:t>historical usefulness</w:t>
      </w:r>
    </w:p>
    <w:p>
      <w:pPr>
        <w:pStyle w:val="Code"/>
      </w:pPr>
      <w:r>
        <w:t>Rank(d, q) = f(BM25, semantic, topic, language, location, quality, behaviour, …)</w:t>
      </w:r>
    </w:p>
    <w:p>
      <w:pPr>
        <w:pStyle w:val="Heading1"/>
      </w:pPr>
      <w:r>
        <w:t>9. The semantic-only failure mode: nearest neighbours are not evidence</w:t>
      </w:r>
    </w:p>
    <w:p>
      <w:r>
        <w:t>The second part of the discussion addressed a crucial practical problem. Suppose a user types the name of a town or farm in Germany. If matching knowledge objects exist, they should be shown. If they do not exist, the system should say so, and only then offer nearby or semantically related material.</w:t>
      </w:r>
    </w:p>
    <w:p>
      <w:r>
        <w:t>Semantic-only retrieval makes this difficult because a nearest-neighbour search will normally return something even when the corpus contains no genuine match. The embedding model is answering 'which indexed vectors are closest to this query?', not 'does the corpus contain evidence about this exact entity?'.</w:t>
      </w:r>
    </w:p>
    <w:p>
      <w:pPr>
        <w:pStyle w:val="Heading1"/>
      </w:pPr>
      <w:r>
        <w:t>10. Introduce two result tiers: Matches and Related results</w:t>
      </w:r>
    </w:p>
    <w:p>
      <w:pPr>
        <w:pStyle w:val="Heading2"/>
      </w:pPr>
      <w:r>
        <w:t>10.1 Tier 1 — Matches</w:t>
      </w:r>
    </w:p>
    <w:p>
      <w:r>
        <w:t>These are documents for which the system has sufficient evidence that they answer the query. They may originate from lexical, semantic or hybrid retrieval; they do not necessarily have to contain every query term.</w:t>
      </w:r>
    </w:p>
    <w:p>
      <w:pPr>
        <w:pStyle w:val="Heading2"/>
      </w:pPr>
      <w:r>
        <w:t>10.2 Tier 2 — Related results</w:t>
      </w:r>
    </w:p>
    <w:p>
      <w:r>
        <w:t>If the system cannot establish a sufficiently confident match, the UI should explicitly state that no matching knowledge objects were found and then offer semantically related material.</w:t>
      </w:r>
    </w:p>
    <w:p>
      <w:pPr>
        <w:pStyle w:val="Code"/>
      </w:pPr>
      <w:r>
        <w:t>We couldn't find knowledge objects matching "Waldhof Farm Göttingen".</w:t>
        <w:br/>
        <w:br/>
        <w:t>Related knowledge objects that may be useful:</w:t>
        <w:br/>
        <w:t>• Organic dairy farming in Lower Saxony</w:t>
        <w:br/>
        <w:t>• Sustainable agriculture around Göttingen</w:t>
        <w:br/>
        <w:t>• German livestock management</w:t>
      </w:r>
    </w:p>
    <w:p>
      <w:r>
        <w:t>This makes semantic retrieval a useful fallback/recommendation mechanism without presenting semantic proximity as evidence that the requested entity exists in the corpus.</w:t>
      </w:r>
    </w:p>
    <w:p>
      <w:pPr>
        <w:pStyle w:val="Heading1"/>
      </w:pPr>
      <w:r>
        <w:t>11. Do not use 'BM25 = zero → semantic fallback' as the only rule</w:t>
      </w:r>
    </w:p>
    <w:p>
      <w:r>
        <w:t>That rule would be too crude. A natural-language query such as 'How do I prevent my tomatoes getting fungal disease?' may have an excellent semantically relevant document titled 'Integrated management of late blight in Solanaceae', despite weak lexical overlap. Therefore the retrieval policy should depend partly on query intent.</w:t>
      </w:r>
    </w:p>
    <w:p>
      <w:pPr>
        <w:pStyle w:val="Heading1"/>
      </w:pPr>
      <w:r>
        <w:t>12. Query understanding and adaptive retrieval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Query</w:t>
            </w:r>
          </w:p>
        </w:tc>
        <w:tc>
          <w:tcPr>
            <w:tcW w:type="dxa" w:w="3389"/>
            <w:shd w:fill="D9EAF7"/>
            <w:vAlign w:val="center"/>
          </w:tcPr>
          <w:p>
            <w:r/>
            <w:r>
              <w:rPr>
                <w:b/>
                <w:sz w:val="17"/>
              </w:rPr>
              <w:t>Likely intent</w:t>
            </w:r>
          </w:p>
        </w:tc>
        <w:tc>
          <w:tcPr>
            <w:tcW w:type="dxa" w:w="3389"/>
            <w:shd w:fill="D9EAF7"/>
            <w:vAlign w:val="center"/>
          </w:tcPr>
          <w:p>
            <w:r/>
            <w:r>
              <w:rPr>
                <w:b/>
                <w:sz w:val="17"/>
              </w:rPr>
              <w:t>Retrieval priority</w:t>
            </w:r>
          </w:p>
        </w:tc>
      </w:tr>
      <w:tr>
        <w:tc>
          <w:tcPr>
            <w:tcW w:type="dxa" w:w="3389"/>
            <w:vAlign w:val="top"/>
          </w:tcPr>
          <w:p>
            <w:r/>
            <w:r>
              <w:rPr>
                <w:b w:val="0"/>
                <w:sz w:val="17"/>
              </w:rPr>
              <w:t>Waldhof Farm</w:t>
            </w:r>
          </w:p>
        </w:tc>
        <w:tc>
          <w:tcPr>
            <w:tcW w:type="dxa" w:w="3389"/>
            <w:vAlign w:val="top"/>
          </w:tcPr>
          <w:p>
            <w:r/>
            <w:r>
              <w:rPr>
                <w:b w:val="0"/>
                <w:sz w:val="17"/>
              </w:rPr>
              <w:t>Named entity</w:t>
            </w:r>
          </w:p>
        </w:tc>
        <w:tc>
          <w:tcPr>
            <w:tcW w:type="dxa" w:w="3389"/>
            <w:vAlign w:val="top"/>
          </w:tcPr>
          <w:p>
            <w:r/>
            <w:r>
              <w:rPr>
                <w:b w:val="0"/>
                <w:sz w:val="17"/>
              </w:rPr>
              <w:t>Exact → BM25 → semantic fallback</w:t>
            </w:r>
          </w:p>
        </w:tc>
      </w:tr>
      <w:tr>
        <w:tc>
          <w:tcPr>
            <w:tcW w:type="dxa" w:w="3389"/>
            <w:vAlign w:val="top"/>
          </w:tcPr>
          <w:p>
            <w:r/>
            <w:r>
              <w:rPr>
                <w:b w:val="0"/>
                <w:sz w:val="17"/>
              </w:rPr>
              <w:t>Arnhem</w:t>
            </w:r>
          </w:p>
        </w:tc>
        <w:tc>
          <w:tcPr>
            <w:tcW w:type="dxa" w:w="3389"/>
            <w:vAlign w:val="top"/>
          </w:tcPr>
          <w:p>
            <w:r/>
            <w:r>
              <w:rPr>
                <w:b w:val="0"/>
                <w:sz w:val="17"/>
              </w:rPr>
              <w:t>Location/entity</w:t>
            </w:r>
          </w:p>
        </w:tc>
        <w:tc>
          <w:tcPr>
            <w:tcW w:type="dxa" w:w="3389"/>
            <w:vAlign w:val="top"/>
          </w:tcPr>
          <w:p>
            <w:r/>
            <w:r>
              <w:rPr>
                <w:b w:val="0"/>
                <w:sz w:val="17"/>
              </w:rPr>
              <w:t>Exact/location metadata → BM25 → semantic fallback</w:t>
            </w:r>
          </w:p>
        </w:tc>
      </w:tr>
      <w:tr>
        <w:tc>
          <w:tcPr>
            <w:tcW w:type="dxa" w:w="3389"/>
            <w:vAlign w:val="top"/>
          </w:tcPr>
          <w:p>
            <w:r/>
            <w:r>
              <w:rPr>
                <w:b w:val="0"/>
                <w:sz w:val="17"/>
              </w:rPr>
              <w:t>EIP-AGRI Focus Group 44</w:t>
            </w:r>
          </w:p>
        </w:tc>
        <w:tc>
          <w:tcPr>
            <w:tcW w:type="dxa" w:w="3389"/>
            <w:vAlign w:val="top"/>
          </w:tcPr>
          <w:p>
            <w:r/>
            <w:r>
              <w:rPr>
                <w:b w:val="0"/>
                <w:sz w:val="17"/>
              </w:rPr>
              <w:t>Identifier/entity</w:t>
            </w:r>
          </w:p>
        </w:tc>
        <w:tc>
          <w:tcPr>
            <w:tcW w:type="dxa" w:w="3389"/>
            <w:vAlign w:val="top"/>
          </w:tcPr>
          <w:p>
            <w:r/>
            <w:r>
              <w:rPr>
                <w:b w:val="0"/>
                <w:sz w:val="17"/>
              </w:rPr>
              <w:t>Exact/phrase → BM25</w:t>
            </w:r>
          </w:p>
        </w:tc>
      </w:tr>
      <w:tr>
        <w:tc>
          <w:tcPr>
            <w:tcW w:type="dxa" w:w="3389"/>
            <w:vAlign w:val="top"/>
          </w:tcPr>
          <w:p>
            <w:r/>
            <w:r>
              <w:rPr>
                <w:b w:val="0"/>
                <w:sz w:val="17"/>
              </w:rPr>
              <w:t>Phytophthora infestans</w:t>
            </w:r>
          </w:p>
        </w:tc>
        <w:tc>
          <w:tcPr>
            <w:tcW w:type="dxa" w:w="3389"/>
            <w:vAlign w:val="top"/>
          </w:tcPr>
          <w:p>
            <w:r/>
            <w:r>
              <w:rPr>
                <w:b w:val="0"/>
                <w:sz w:val="17"/>
              </w:rPr>
              <w:t>Technical entity</w:t>
            </w:r>
          </w:p>
        </w:tc>
        <w:tc>
          <w:tcPr>
            <w:tcW w:type="dxa" w:w="3389"/>
            <w:vAlign w:val="top"/>
          </w:tcPr>
          <w:p>
            <w:r/>
            <w:r>
              <w:rPr>
                <w:b w:val="0"/>
                <w:sz w:val="17"/>
              </w:rPr>
              <w:t>Exact + BM25 + semantic</w:t>
            </w:r>
          </w:p>
        </w:tc>
      </w:tr>
      <w:tr>
        <w:tc>
          <w:tcPr>
            <w:tcW w:type="dxa" w:w="3389"/>
            <w:vAlign w:val="top"/>
          </w:tcPr>
          <w:p>
            <w:r/>
            <w:r>
              <w:rPr>
                <w:b w:val="0"/>
                <w:sz w:val="17"/>
              </w:rPr>
              <w:t>reduce nitrogen loss</w:t>
            </w:r>
          </w:p>
        </w:tc>
        <w:tc>
          <w:tcPr>
            <w:tcW w:type="dxa" w:w="3389"/>
            <w:vAlign w:val="top"/>
          </w:tcPr>
          <w:p>
            <w:r/>
            <w:r>
              <w:rPr>
                <w:b w:val="0"/>
                <w:sz w:val="17"/>
              </w:rPr>
              <w:t>Conceptual</w:t>
            </w:r>
          </w:p>
        </w:tc>
        <w:tc>
          <w:tcPr>
            <w:tcW w:type="dxa" w:w="3389"/>
            <w:vAlign w:val="top"/>
          </w:tcPr>
          <w:p>
            <w:r/>
            <w:r>
              <w:rPr>
                <w:b w:val="0"/>
                <w:sz w:val="17"/>
              </w:rPr>
              <w:t>Hybrid</w:t>
            </w:r>
          </w:p>
        </w:tc>
      </w:tr>
      <w:tr>
        <w:tc>
          <w:tcPr>
            <w:tcW w:type="dxa" w:w="3389"/>
            <w:vAlign w:val="top"/>
          </w:tcPr>
          <w:p>
            <w:r/>
            <w:r>
              <w:rPr>
                <w:b w:val="0"/>
                <w:sz w:val="17"/>
              </w:rPr>
              <w:t>How can I improve soil health?</w:t>
            </w:r>
          </w:p>
        </w:tc>
        <w:tc>
          <w:tcPr>
            <w:tcW w:type="dxa" w:w="3389"/>
            <w:vAlign w:val="top"/>
          </w:tcPr>
          <w:p>
            <w:r/>
            <w:r>
              <w:rPr>
                <w:b w:val="0"/>
                <w:sz w:val="17"/>
              </w:rPr>
              <w:t>Conceptual</w:t>
            </w:r>
          </w:p>
        </w:tc>
        <w:tc>
          <w:tcPr>
            <w:tcW w:type="dxa" w:w="3389"/>
            <w:vAlign w:val="top"/>
          </w:tcPr>
          <w:p>
            <w:r/>
            <w:r>
              <w:rPr>
                <w:b w:val="0"/>
                <w:sz w:val="17"/>
              </w:rPr>
              <w:t>Hybrid / semantic</w:t>
            </w:r>
          </w:p>
        </w:tc>
      </w:tr>
      <w:tr>
        <w:tc>
          <w:tcPr>
            <w:tcW w:type="dxa" w:w="3389"/>
            <w:vAlign w:val="top"/>
          </w:tcPr>
          <w:p>
            <w:r/>
            <w:r>
              <w:rPr>
                <w:b w:val="0"/>
                <w:sz w:val="17"/>
              </w:rPr>
              <w:t>organic potato farming Germany</w:t>
            </w:r>
          </w:p>
        </w:tc>
        <w:tc>
          <w:tcPr>
            <w:tcW w:type="dxa" w:w="3389"/>
            <w:vAlign w:val="top"/>
          </w:tcPr>
          <w:p>
            <w:r/>
            <w:r>
              <w:rPr>
                <w:b w:val="0"/>
                <w:sz w:val="17"/>
              </w:rPr>
              <w:t>Mixed entity + concept</w:t>
            </w:r>
          </w:p>
        </w:tc>
        <w:tc>
          <w:tcPr>
            <w:tcW w:type="dxa" w:w="3389"/>
            <w:vAlign w:val="top"/>
          </w:tcPr>
          <w:p>
            <w:r/>
            <w:r>
              <w:rPr>
                <w:b w:val="0"/>
                <w:sz w:val="17"/>
              </w:rPr>
              <w:t>Hybrid + metadata</w:t>
            </w:r>
          </w:p>
        </w:tc>
      </w:tr>
      <w:tr>
        <w:tc>
          <w:tcPr>
            <w:tcW w:type="dxa" w:w="3389"/>
            <w:vAlign w:val="top"/>
          </w:tcPr>
          <w:p>
            <w:r/>
            <w:r>
              <w:rPr>
                <w:b w:val="0"/>
                <w:sz w:val="17"/>
              </w:rPr>
              <w:t>farms near Göttingen dealing with drought</w:t>
            </w:r>
          </w:p>
        </w:tc>
        <w:tc>
          <w:tcPr>
            <w:tcW w:type="dxa" w:w="3389"/>
            <w:vAlign w:val="top"/>
          </w:tcPr>
          <w:p>
            <w:r/>
            <w:r>
              <w:rPr>
                <w:b w:val="0"/>
                <w:sz w:val="17"/>
              </w:rPr>
              <w:t>Location + conceptual</w:t>
            </w:r>
          </w:p>
        </w:tc>
        <w:tc>
          <w:tcPr>
            <w:tcW w:type="dxa" w:w="3389"/>
            <w:vAlign w:val="top"/>
          </w:tcPr>
          <w:p>
            <w:r/>
            <w:r>
              <w:rPr>
                <w:b w:val="0"/>
                <w:sz w:val="17"/>
              </w:rPr>
              <w:t>Filtered hybrid</w:t>
            </w:r>
          </w:p>
        </w:tc>
      </w:tr>
    </w:tbl>
    <w:p/>
    <w:p>
      <w:r>
        <w:t>This leads to query-dependent retrieval policies rather than one global BM25/semantic weight. Entity recognition, heuristics, dictionaries, metadata and a lightweight classifier or LLM can jointly identify the query type.</w:t>
      </w:r>
    </w:p>
    <w:p>
      <w:pPr>
        <w:pStyle w:val="Heading1"/>
      </w:pPr>
      <w:r>
        <w:t>13. Add a relevance/confidence gate</w:t>
      </w:r>
    </w:p>
    <w:p>
      <w:r>
        <w:t>The system should not equate 'k nearest neighbours returned' with 'k valid results'. Instead, candidate retrieval should be followed by a calibrated relevance or confidence assessment.</w:t>
      </w:r>
    </w:p>
    <w:p>
      <w:pPr>
        <w:pStyle w:val="Code"/>
      </w:pPr>
      <w:r>
        <w:t>candidates = retrieve(query)</w:t>
        <w:br/>
        <w:t>confidence = assess_relevance(query, candidates)</w:t>
        <w:br/>
        <w:br/>
        <w:t>if confidence &gt;= calibrated_threshold:</w:t>
        <w:br/>
        <w:t xml:space="preserve">    return MATCHES(candidates)</w:t>
        <w:br/>
        <w:t>else:</w:t>
        <w:br/>
        <w:t xml:space="preserve">    return NO_MATCH + RELATED(candidates)</w:t>
      </w:r>
    </w:p>
    <w:p>
      <w:r>
        <w:t>A fixed cosine-similarity threshold should not be chosen arbitrarily. Similarity distributions vary by embedding model, query type, corpus and content type. Thresholds should be calibrated against the relevance benchmark.</w:t>
      </w:r>
    </w:p>
    <w:p>
      <w:pPr>
        <w:pStyle w:val="Code"/>
      </w:pPr>
      <w:r>
        <w:t>Illustrative calibration concept:</w:t>
        <w:br/>
        <w:br/>
        <w:t>high similarity range    → high observed probability of relevance</w:t>
        <w:br/>
        <w:t>middle similarity range  → uncertain / partial relevance</w:t>
        <w:br/>
        <w:t>low similarity range     → low observed probability of relevance</w:t>
        <w:br/>
        <w:br/>
        <w:t>The actual boundaries must be learned from EU-FarmBook evaluation data.</w:t>
      </w:r>
    </w:p>
    <w:p>
      <w:pPr>
        <w:pStyle w:val="Heading1"/>
      </w:pPr>
      <w:r>
        <w:t xml:space="preserve">13b. Measured rejection thresholds for this corpus</w:t>
      </w:r>
    </w:p>
    <w:p>
      <w:pPr/>
      <w:r>
        <w:t xml:space="preserve">Section 13 correctly refuses to pick a similarity threshold arbitrarily. These are the measured boundaries, obtained by joining retrieval scores to 5,925 LLM relevance grades over 260 judged queries on the full 10,468-document export. They are properties of the multilingual MiniLM model on this corpus and must be recomputed whenever the model, the index or the corpus changes.</w:t>
      </w:r>
    </w:p>
    <w:p>
      <w:pPr>
        <w:pStyle w:val="Heading2"/>
      </w:pPr>
      <w:r>
        <w:t xml:space="preserve">Probability that a retrieved result is relevant, by cosine band</w:t>
      </w:r>
    </w:p>
    <w:p>
      <w:pPr>
        <w:pStyle w:val="ListBullet"/>
      </w:pPr>
      <w:r>
        <w:t xml:space="preserve">0.20 to 0.41: relevant 38 percent, strongly relevant 17 percent</w:t>
      </w:r>
    </w:p>
    <w:p>
      <w:pPr>
        <w:pStyle w:val="ListBullet"/>
      </w:pPr>
      <w:r>
        <w:t xml:space="preserve">0.41 to 0.61: relevant 40 to 51 percent, strongly relevant about 17 percent</w:t>
      </w:r>
    </w:p>
    <w:p>
      <w:pPr>
        <w:pStyle w:val="ListBullet"/>
      </w:pPr>
      <w:r>
        <w:t xml:space="preserve">0.61 to 0.66: relevant 58 percent, strongly relevant 28 percent</w:t>
      </w:r>
    </w:p>
    <w:p>
      <w:pPr>
        <w:pStyle w:val="ListBullet"/>
      </w:pPr>
      <w:r>
        <w:t xml:space="preserve">0.66 to 0.73: relevant 76 percent, strongly relevant 45 percent</w:t>
      </w:r>
    </w:p>
    <w:p>
      <w:pPr>
        <w:pStyle w:val="ListBullet"/>
      </w:pPr>
      <w:r>
        <w:t xml:space="preserve">0.73 to 0.91: relevant 92 percent, strongly relevant 61 percent</w:t>
      </w:r>
    </w:p>
    <w:p>
      <w:pPr>
        <w:pStyle w:val="Heading2"/>
      </w:pPr>
      <w:r>
        <w:t xml:space="preserve">Probability that a result set contains a usable answer, by its top score</w:t>
      </w:r>
    </w:p>
    <w:p>
      <w:pPr>
        <w:pStyle w:val="ListBullet"/>
      </w:pPr>
      <w:r>
        <w:t xml:space="preserve">below 0.62: 44 to 50 percent, and the three bands from 0.27 to 0.62 are indistinguishable</w:t>
      </w:r>
    </w:p>
    <w:p>
      <w:pPr>
        <w:pStyle w:val="ListBullet"/>
      </w:pPr>
      <w:r>
        <w:t xml:space="preserve">0.62 to 0.67: 72 percent</w:t>
      </w:r>
    </w:p>
    <w:p>
      <w:pPr>
        <w:pStyle w:val="ListBullet"/>
      </w:pPr>
      <w:r>
        <w:t xml:space="preserve">0.67 to 0.71: 78 percent</w:t>
      </w:r>
    </w:p>
    <w:p>
      <w:pPr>
        <w:pStyle w:val="ListBullet"/>
      </w:pPr>
      <w:r>
        <w:t xml:space="preserve">above 0.71: 88 to 97 percent</w:t>
      </w:r>
    </w:p>
    <w:p>
      <w:pPr>
        <w:pStyle w:val="Heading2"/>
      </w:pPr>
      <w:r>
        <w:t xml:space="preserve">Recommended tiers</w:t>
      </w:r>
    </w:p>
    <w:p>
      <w:pPr/>
      <w:r>
        <w:t xml:space="preserve">MATCHES at cosine 0.73 and above. NORMAL RESULTS from 0.62 to 0.73. RELATED, explicitly labelled as such, from 0.50 to 0.62. SUPPRESS below 0.50. Show the no-matching-knowledge-objects message when the top result of the whole set falls below 0.62, the point at which fewer than half of result sets contain anything usable.</w:t>
      </w:r>
    </w:p>
    <w:p>
      <w:pPr>
        <w:pStyle w:val="Heading2"/>
      </w:pPr>
      <w:r>
        <w:t xml:space="preserve">Three constraints on using these numbers</w:t>
      </w:r>
    </w:p>
    <w:p>
      <w:pPr>
        <w:pStyle w:val="ListBullet"/>
      </w:pPr>
      <w:r>
        <w:t xml:space="preserve">The BM25 score cannot be used as a gate. Its calibration curve is non-monotone, running 0.39, 0.46, 0.50, 0.57, 0.60 and then back down to 0.55, 0.49, 0.48, because BM25 scores are not comparable across queries. Only the semantic score carries usable confidence.</w:t>
      </w:r>
    </w:p>
    <w:p>
      <w:pPr>
        <w:pStyle w:val="ListBullet"/>
      </w:pPr>
      <w:r>
        <w:t xml:space="preserve">Below 0.61 cosine barely discriminates: the probability of relevance moves only from 0.38 to 0.51 across a wide score range. The signal lives at the top of the scale.</w:t>
      </w:r>
    </w:p>
    <w:p>
      <w:pPr>
        <w:pStyle w:val="ListBullet"/>
      </w:pPr>
      <w:r>
        <w:t xml:space="preserve">A score gate is weaker than a reranker. If a cross-encoder is added as section 7 proposes, calibrate the gate on its score instead, because it separates relevant from merely related far better than raw similarity does.</w:t>
      </w:r>
    </w:p>
    <w:p>
      <w:pPr/>
      <w:r>
        <w:t xml:space="preserve">A no-match gate already exists in scout, controlled by SEARCH_NO_MATCH_GATE and disabled by default. It is binary and lexical: it suppresses results only when no query term matches anything at all. The bands above give it a graded replacement, and the same threshold should also govern scout's attempt cascade, which currently advances on any hits rather than on any good hits.</w:t>
      </w:r>
    </w:p>
    <w:p>
      <w:pPr/>
      <w:r>
        <w:t xml:space="preserve">Reproduce with semantic_vs_search/calibrate_rejection.py; full output in reports/rejection_calibration_2026-09-20_01-13-38.txt.</w:t>
      </w:r>
    </w:p>
    <w:p>
      <w:pPr>
        <w:pStyle w:val="Heading1"/>
      </w:pPr>
      <w:r>
        <w:t>14. Entity-aware retrieval</w:t>
      </w:r>
    </w:p>
    <w:p>
      <w:r>
        <w:t>Locations, farms, organisations, projects, crops, pathogens and identifiers should not be treated merely as strings or vectors when structured evidence is available.</w:t>
      </w:r>
    </w:p>
    <w:p>
      <w:pPr>
        <w:pStyle w:val="Code"/>
      </w:pPr>
      <w:r>
        <w:t>Query: "Arnhem"</w:t>
        <w:br/>
        <w:br/>
        <w:t>Entity interpretation:</w:t>
        <w:br/>
        <w:t>type: LOCATION</w:t>
        <w:br/>
        <w:t>value: Arnhem</w:t>
        <w:br/>
        <w:t>country: Netherlands</w:t>
        <w:br/>
        <w:br/>
        <w:t>Candidate evidence:</w:t>
        <w:br/>
        <w:t>location.keyword = "Arnhem"</w:t>
        <w:br/>
        <w:t>OR location hierarchy contains "Arnhem"</w:t>
        <w:br/>
        <w:t>OR title/name contains "Arnhem"</w:t>
        <w:br/>
        <w:t>OR BM25("Arnhem")</w:t>
      </w:r>
    </w:p>
    <w:p>
      <w:r>
        <w:t>If those checks produce no credible match, semantic retrieval can still supply related material, but the interface should label it accordingly. This prevents vector search from silently turning an exact location request into a vaguely related regional search.</w:t>
      </w:r>
    </w:p>
    <w:p>
      <w:pPr>
        <w:pStyle w:val="Heading1"/>
      </w:pPr>
      <w:r>
        <w:t>15. Recommended end-to-end architecture</w:t>
      </w:r>
    </w:p>
    <w:p>
      <w:pPr>
        <w:pStyle w:val="Code"/>
      </w:pPr>
      <w:r>
        <w:t xml:space="preserve">                     QUERY</w:t>
        <w:br/>
        <w:t xml:space="preserve">                       │</w:t>
        <w:br/>
        <w:t xml:space="preserve">                       ▼</w:t>
        <w:br/>
        <w:t xml:space="preserve">              Query Understanding</w:t>
        <w:br/>
        <w:t xml:space="preserve">                       │</w:t>
        <w:br/>
        <w:t xml:space="preserve">          ┌────────────┼─────────────┐</w:t>
        <w:br/>
        <w:t xml:space="preserve">          │            │             │</w:t>
        <w:br/>
        <w:t xml:space="preserve">       Entity       Lexical      Conceptual</w:t>
        <w:br/>
        <w:t xml:space="preserve">      detection      intent        intent</w:t>
        <w:br/>
        <w:t xml:space="preserve">          │            │             │</w:t>
        <w:br/>
        <w:t xml:space="preserve">          └────────────┼─────────────┘</w:t>
        <w:br/>
        <w:t xml:space="preserve">                       ▼</w:t>
        <w:br/>
        <w:t xml:space="preserve">               Candidate Retrieval</w:t>
        <w:br/>
        <w:t xml:space="preserve">                       │</w:t>
        <w:br/>
        <w:t xml:space="preserve">        ┌──────────────┼──────────────┐</w:t>
        <w:br/>
        <w:t xml:space="preserve">        │              │              │</w:t>
        <w:br/>
        <w:t xml:space="preserve">      Exact          BM25          Semantic</w:t>
        <w:br/>
        <w:t xml:space="preserve">        │              │              │</w:t>
        <w:br/>
        <w:t xml:space="preserve">        └──────────────┼──────────────┘</w:t>
        <w:br/>
        <w:t xml:space="preserve">                       ▼</w:t>
        <w:br/>
        <w:t xml:space="preserve">                 Fusion / RRF</w:t>
        <w:br/>
        <w:t xml:space="preserve">                       │</w:t>
        <w:br/>
        <w:t xml:space="preserve">                       ▼</w:t>
        <w:br/>
        <w:t xml:space="preserve">               Optional reranker</w:t>
        <w:br/>
        <w:t xml:space="preserve">                       │</w:t>
        <w:br/>
        <w:t xml:space="preserve">                       ▼</w:t>
        <w:br/>
        <w:t xml:space="preserve">                 Relevance Gate</w:t>
        <w:br/>
        <w:t xml:space="preserve">                       │</w:t>
        <w:br/>
        <w:t xml:space="preserve">             ┌─────────┴─────────┐</w:t>
        <w:br/>
        <w:t xml:space="preserve">             │                   │</w:t>
        <w:br/>
        <w:t xml:space="preserve">          MATCH                NO MATCH</w:t>
        <w:br/>
        <w:t xml:space="preserve">             │                   │</w:t>
        <w:br/>
        <w:t xml:space="preserve">             ▼                   ▼</w:t>
        <w:br/>
        <w:t xml:space="preserve">       Search results      "Nothing matching</w:t>
        <w:br/>
        <w:t xml:space="preserve">                            X was found."</w:t>
        <w:br/>
        <w:t xml:space="preserve">                                  │</w:t>
        <w:br/>
        <w:t xml:space="preserve">                                  ▼</w:t>
        <w:br/>
        <w:t xml:space="preserve">                         Semantic fallback</w:t>
        <w:br/>
        <w:t xml:space="preserve">                                  │</w:t>
        <w:br/>
        <w:t xml:space="preserve">                                  ▼</w:t>
        <w:br/>
        <w:t xml:space="preserve">                          Related results</w:t>
      </w:r>
    </w:p>
    <w:p>
      <w:pPr>
        <w:pStyle w:val="Heading1"/>
      </w:pPr>
      <w:r>
        <w:t xml:space="preserve">15b. The multilingual case, which decides the argument</w:t>
      </w:r>
    </w:p>
    <w:p>
      <w:pPr/>
      <w:r>
        <w:t xml:space="preserve">The document treats multilingual retrieval as one query class among nine. On this corpus it is closer to the deciding factor. Because 53.8 percent of content is not in English, and because users search in their own language, a large share of searches are cross-lingual: the query is in one language and the answering document in another.</w:t>
      </w:r>
    </w:p>
    <w:p>
      <w:pPr/>
      <w:r>
        <w:t xml:space="preserve">Translated metadata narrows this but does not close it. The platform now translates title, subtitle, description, keywords and the content summary into 23 languages for 55.7 percent of records, indexed as per-language i18n subfields, and scout queries those fields with heavy boosts when the caller supplies ui_locale. Measured on 141 cross-language queries restricted to targets that do carry translations, which is the most favourable case for lexical retrieval, semantic retrieval still scored 0.334 MRR@10 against the deployed system's 0.125, a gap of 0.209 at p below 0.001. Two reasons it survives: 44.3 percent of records have no translations at all and are unreachable lexically across a language boundary, and on 140 of those 141 queries the router still selected a lexical attempt, so the translated leg was working alone.</w:t>
      </w:r>
    </w:p>
    <w:p>
      <w:pPr/>
      <w:r>
        <w:t xml:space="preserve">Three consequences follow for the benchmark in sections 2 and 3:</w:t>
      </w:r>
    </w:p>
    <w:p>
      <w:pPr>
        <w:pStyle w:val="ListBullet"/>
      </w:pPr>
      <w:r>
        <w:t xml:space="preserve">Every dense configuration benchmarked must be multilingual. An English-only embedder cannot be a serious candidate for a corpus that is majority non-English, whatever it scores on the English subset.</w:t>
      </w:r>
    </w:p>
    <w:p>
      <w:pPr>
        <w:pStyle w:val="ListBullet"/>
      </w:pPr>
      <w:r>
        <w:t xml:space="preserve">The query set needs an explicit cross-lingual class, with the query language recorded and results reported per language pair, not a single Multilingual example row.</w:t>
      </w:r>
    </w:p>
    <w:p>
      <w:pPr>
        <w:pStyle w:val="ListBullet"/>
      </w:pPr>
      <w:r>
        <w:t xml:space="preserve">Query pre-processing must be language-aware before any lexical configuration is benchmarked, or configuration B is measuring the English-stopword defect rather than tuned lexical retrieval. ui_locale is what switches the translated-field leg on, and it is load-bearing rather than optional: measured on real logged queries, a Spanish search returns 10 results with the locale and 0 without, and rebuilding a 50-query sample with it made the result count match the production log for 50 of 50 queries. An earlier draft of this note called it a regression on the strength of a known-item ranking test over LLM-written sentences; that test was blind to whether anything was returned at all. The api-core path already sends it, so a search made without it is the anomaly.</w:t>
      </w:r>
    </w:p>
    <w:p>
      <w:pPr/>
      <w:r>
        <w:t xml:space="preserve">Chunking is part of this. The multilingual model's 128-token limit forces 120-token chunks, against 480 for the English model. The majority language path therefore runs on the smaller model and the shorter chunk. Any comparison that ignores chunk size will attribute a chunking artefact to the embedding model.</w:t>
      </w:r>
    </w:p>
    <w:p>
      <w:pPr>
        <w:pStyle w:val="Heading1"/>
      </w:pPr>
      <w:r>
        <w:t>16. Evaluation should include deliberate no-answer queries</w:t>
      </w:r>
    </w:p>
    <w:p>
      <w:r>
        <w:t>The benchmark should contain 50–100 deliberate queries for farms, locations, projects, organisations or topics that are known not to exist in the index. This allows the system's ability to abstain to be measured explicitly.</w:t>
      </w:r>
    </w:p>
    <w:p>
      <w:pPr>
        <w:pStyle w:val="ListBullet"/>
        <w:spacing w:after="40"/>
      </w:pPr>
      <w:r>
        <w:t>False-positive / false-match rate on no-answer queries.</w:t>
      </w:r>
    </w:p>
    <w:p>
      <w:pPr>
        <w:pStyle w:val="ListBullet"/>
        <w:spacing w:after="40"/>
      </w:pPr>
      <w:r>
        <w:t>Correct rejection rate: how often the system correctly reports that no match exists.</w:t>
      </w:r>
    </w:p>
    <w:p>
      <w:pPr>
        <w:pStyle w:val="ListBullet"/>
        <w:spacing w:after="40"/>
      </w:pPr>
      <w:r>
        <w:t>Quality of fallback recommendations after rejection.</w:t>
      </w:r>
    </w:p>
    <w:p>
      <w:pPr>
        <w:pStyle w:val="ListBullet"/>
        <w:spacing w:after="40"/>
      </w:pPr>
      <w:r>
        <w:t>Standard ranking metrics on answerable queries.</w:t>
      </w:r>
    </w:p>
    <w:p>
      <w:r>
        <w:t>This changes the debate from 'is semantic search better than BM25?' to two measurable questions: how well does the system retrieve relevant knowledge, and how well does it recognise when the corpus does not contain an answer?</w:t>
      </w:r>
    </w:p>
    <w:p>
      <w:pPr>
        <w:pStyle w:val="Heading1"/>
      </w:pPr>
      <w:r>
        <w:t>17. Proposed experimental comparison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System</w:t>
            </w:r>
          </w:p>
        </w:tc>
        <w:tc>
          <w:tcPr>
            <w:tcW w:type="dxa" w:w="5083"/>
            <w:shd w:fill="D9EAF7"/>
            <w:vAlign w:val="center"/>
          </w:tcPr>
          <w:p>
            <w:r/>
            <w:r>
              <w:rPr>
                <w:b/>
                <w:sz w:val="17"/>
              </w:rPr>
              <w:t>Purpose</w:t>
            </w:r>
          </w:p>
        </w:tc>
      </w:tr>
      <w:tr>
        <w:tc>
          <w:tcPr>
            <w:tcW w:type="dxa" w:w="5083"/>
            <w:vAlign w:val="top"/>
          </w:tcPr>
          <w:p>
            <w:r/>
            <w:r>
              <w:rPr>
                <w:b w:val="0"/>
                <w:sz w:val="17"/>
              </w:rPr>
              <w:t>BM25-only</w:t>
            </w:r>
          </w:p>
        </w:tc>
        <w:tc>
          <w:tcPr>
            <w:tcW w:type="dxa" w:w="5083"/>
            <w:vAlign w:val="top"/>
          </w:tcPr>
          <w:p>
            <w:r/>
            <w:r>
              <w:rPr>
                <w:b w:val="0"/>
                <w:sz w:val="17"/>
              </w:rPr>
              <w:t>Strong lexical baseline</w:t>
            </w:r>
          </w:p>
        </w:tc>
      </w:tr>
      <w:tr>
        <w:tc>
          <w:tcPr>
            <w:tcW w:type="dxa" w:w="5083"/>
            <w:vAlign w:val="top"/>
          </w:tcPr>
          <w:p>
            <w:r/>
            <w:r>
              <w:rPr>
                <w:b w:val="0"/>
                <w:sz w:val="17"/>
              </w:rPr>
              <w:t>Semantic-only</w:t>
            </w:r>
          </w:p>
        </w:tc>
        <w:tc>
          <w:tcPr>
            <w:tcW w:type="dxa" w:w="5083"/>
            <w:vAlign w:val="top"/>
          </w:tcPr>
          <w:p>
            <w:r/>
            <w:r>
              <w:rPr>
                <w:b w:val="0"/>
                <w:sz w:val="17"/>
              </w:rPr>
              <w:t>Current semantic baseline and failure-mode reference</w:t>
            </w:r>
          </w:p>
        </w:tc>
      </w:tr>
      <w:tr>
        <w:tc>
          <w:tcPr>
            <w:tcW w:type="dxa" w:w="5083"/>
            <w:vAlign w:val="top"/>
          </w:tcPr>
          <w:p>
            <w:r/>
            <w:r>
              <w:rPr>
                <w:b w:val="0"/>
                <w:sz w:val="17"/>
              </w:rPr>
              <w:t>Fixed weighted hybrid</w:t>
            </w:r>
          </w:p>
        </w:tc>
        <w:tc>
          <w:tcPr>
            <w:tcW w:type="dxa" w:w="5083"/>
            <w:vAlign w:val="top"/>
          </w:tcPr>
          <w:p>
            <w:r/>
            <w:r>
              <w:rPr>
                <w:b w:val="0"/>
                <w:sz w:val="17"/>
              </w:rPr>
              <w:t>Test conventional lexical + semantic fusion</w:t>
            </w:r>
          </w:p>
        </w:tc>
      </w:tr>
      <w:tr>
        <w:tc>
          <w:tcPr>
            <w:tcW w:type="dxa" w:w="5083"/>
            <w:vAlign w:val="top"/>
          </w:tcPr>
          <w:p>
            <w:r/>
            <w:r>
              <w:rPr>
                <w:b w:val="0"/>
                <w:sz w:val="17"/>
              </w:rPr>
              <w:t>RRF hybrid</w:t>
            </w:r>
          </w:p>
        </w:tc>
        <w:tc>
          <w:tcPr>
            <w:tcW w:type="dxa" w:w="5083"/>
            <w:vAlign w:val="top"/>
          </w:tcPr>
          <w:p>
            <w:r/>
            <w:r>
              <w:rPr>
                <w:b w:val="0"/>
                <w:sz w:val="17"/>
              </w:rPr>
              <w:t>Combine rankings without directly comparing raw scores</w:t>
            </w:r>
          </w:p>
        </w:tc>
      </w:tr>
      <w:tr>
        <w:tc>
          <w:tcPr>
            <w:tcW w:type="dxa" w:w="5083"/>
            <w:vAlign w:val="top"/>
          </w:tcPr>
          <w:p>
            <w:r/>
            <w:r>
              <w:rPr>
                <w:b w:val="0"/>
                <w:sz w:val="17"/>
              </w:rPr>
              <w:t>Query-routed hybrid</w:t>
            </w:r>
          </w:p>
        </w:tc>
        <w:tc>
          <w:tcPr>
            <w:tcW w:type="dxa" w:w="5083"/>
            <w:vAlign w:val="top"/>
          </w:tcPr>
          <w:p>
            <w:r/>
            <w:r>
              <w:rPr>
                <w:b w:val="0"/>
                <w:sz w:val="17"/>
              </w:rPr>
              <w:t>Change retrieval policy according to query intent</w:t>
            </w:r>
          </w:p>
        </w:tc>
      </w:tr>
      <w:tr>
        <w:tc>
          <w:tcPr>
            <w:tcW w:type="dxa" w:w="5083"/>
            <w:vAlign w:val="top"/>
          </w:tcPr>
          <w:p>
            <w:r/>
            <w:r>
              <w:rPr>
                <w:b w:val="0"/>
                <w:sz w:val="17"/>
              </w:rPr>
              <w:t>Query-routed hybrid + rejection</w:t>
            </w:r>
          </w:p>
        </w:tc>
        <w:tc>
          <w:tcPr>
            <w:tcW w:type="dxa" w:w="5083"/>
            <w:vAlign w:val="top"/>
          </w:tcPr>
          <w:p>
            <w:r/>
            <w:r>
              <w:rPr>
                <w:b w:val="0"/>
                <w:sz w:val="17"/>
              </w:rPr>
              <w:t>Add calibrated no-match/related-results behaviour</w:t>
            </w:r>
          </w:p>
        </w:tc>
      </w:tr>
      <w:tr>
        <w:tc>
          <w:tcPr>
            <w:tcW w:type="dxa" w:w="5083"/>
            <w:vAlign w:val="top"/>
          </w:tcPr>
          <w:p>
            <w:r/>
            <w:r>
              <w:rPr>
                <w:b w:val="0"/>
                <w:sz w:val="17"/>
              </w:rPr>
              <w:t>Hybrid + reranker + rejection</w:t>
            </w:r>
          </w:p>
        </w:tc>
        <w:tc>
          <w:tcPr>
            <w:tcW w:type="dxa" w:w="5083"/>
            <w:vAlign w:val="top"/>
          </w:tcPr>
          <w:p>
            <w:r/>
            <w:r>
              <w:rPr>
                <w:b w:val="0"/>
                <w:sz w:val="17"/>
              </w:rPr>
              <w:t>Higher-precision production candidate</w:t>
            </w:r>
          </w:p>
        </w:tc>
      </w:tr>
    </w:tbl>
    <w:p/>
    <w:p>
      <w:r>
        <w:t>Report results globally and per query class. A useful final report should include nDCG@10, Recall@K, Precision@K, MRR/MAP where appropriate, no-answer false-positive rate, rejection quality, P95 latency and computational cost.</w:t>
      </w:r>
    </w:p>
    <w:p>
      <w:pPr>
        <w:pStyle w:val="Heading1"/>
      </w:pPr>
      <w:r>
        <w:t>18. Overall recommendation</w:t>
      </w:r>
    </w:p>
    <w:p>
      <w:r>
        <w:t>Do not force EU-FarmBook to choose between keyword search and semantic search as mutually exclusive philosophies. Use lexical/exact/entity-aware retrieval to establish strong evidence, semantic retrieval to recover conceptual matches, hybrid fusion to combine complementary signals, reranking to improve precision, and a calibrated relevance gate to distinguish genuine matches from merely related material.</w:t>
      </w:r>
    </w:p>
    <w:p>
      <w:r>
        <w:t>The most important product-level distinction is therefore between 'Matches' and 'Related results'. The most important research-level distinction is between retrieval quality and the ability to abstain when the corpus has no answer. Once these are benchmarked systematically, the choice of production retrieval strategy becomes an empirical decision rather than an opinion.</w:t>
      </w:r>
    </w:p>
    <w:p>
      <w:pPr>
        <w:pStyle w:val="Heading1"/>
      </w:pPr>
      <w:r>
        <w:t>19. OpenSearch capabilities referenced in the discussion</w:t>
      </w:r>
    </w:p>
    <w:p>
      <w:r>
        <w:t>The discussion referenced OpenSearch capabilities including Search Relevance Workbench, judgement lists and search-quality evaluation, hybrid search, RRF, score normalisation, hybrid-search optimisation, neural sparse search and Learning to Rank. These should be validated against the exact OpenSearch version deployed before implementation.</w:t>
      </w:r>
    </w:p>
    <w:p>
      <w:pPr>
        <w:pStyle w:val="ListBullet"/>
      </w:pPr>
      <w:r>
        <w:rPr>
          <w:b/>
        </w:rPr>
        <w:t xml:space="preserve">Search Relevance Workbench: </w:t>
      </w:r>
      <w:r>
        <w:t>https://docs.opensearch.org/latest/search-plugins/search-relevance/using-search-relevance-workbench/</w:t>
      </w:r>
    </w:p>
    <w:p>
      <w:pPr>
        <w:pStyle w:val="ListBullet"/>
      </w:pPr>
      <w:r>
        <w:rPr>
          <w:b/>
        </w:rPr>
        <w:t xml:space="preserve">Search quality evaluation: </w:t>
      </w:r>
      <w:r>
        <w:t>https://docs.opensearch.org/latest/search-plugins/search-relevance/evaluate-search-quality/</w:t>
      </w:r>
    </w:p>
    <w:p>
      <w:pPr>
        <w:pStyle w:val="ListBullet"/>
      </w:pPr>
      <w:r>
        <w:rPr>
          <w:b/>
        </w:rPr>
        <w:t xml:space="preserve">Relevance judgements: </w:t>
      </w:r>
      <w:r>
        <w:t>https://docs.opensearch.org/latest/search-plugins/search-relevance/judgments/</w:t>
      </w:r>
    </w:p>
    <w:p>
      <w:pPr>
        <w:pStyle w:val="ListBullet"/>
      </w:pPr>
      <w:r>
        <w:rPr>
          <w:b/>
        </w:rPr>
        <w:t xml:space="preserve">Hybrid search: </w:t>
      </w:r>
      <w:r>
        <w:t>https://docs.opensearch.org/latest/vector-search/ai-search/hybrid-search/index/</w:t>
      </w:r>
    </w:p>
    <w:p>
      <w:pPr>
        <w:pStyle w:val="ListBullet"/>
      </w:pPr>
      <w:r>
        <w:rPr>
          <w:b/>
        </w:rPr>
        <w:t xml:space="preserve">RRF: </w:t>
      </w:r>
      <w:r>
        <w:t>https://docs.opensearch.org/latest/vector-search/ai-search/hybrid-search/rrf/</w:t>
      </w:r>
    </w:p>
    <w:p>
      <w:pPr>
        <w:pStyle w:val="ListBullet"/>
      </w:pPr>
      <w:r>
        <w:rPr>
          <w:b/>
        </w:rPr>
        <w:t xml:space="preserve">Normalisation processor: </w:t>
      </w:r>
      <w:r>
        <w:t>https://docs.opensearch.org/latest/search-plugins/search-pipelines/normalization-processor/</w:t>
      </w:r>
    </w:p>
    <w:p>
      <w:pPr>
        <w:pStyle w:val="ListBullet"/>
      </w:pPr>
      <w:r>
        <w:rPr>
          <w:b/>
        </w:rPr>
        <w:t xml:space="preserve">Hybrid search optimisation: </w:t>
      </w:r>
      <w:r>
        <w:t>https://docs.opensearch.org/latest/search-plugins/search-relevance/optimize-hybrid-search/</w:t>
      </w:r>
    </w:p>
    <w:p>
      <w:pPr>
        <w:pStyle w:val="ListBullet"/>
      </w:pPr>
      <w:r>
        <w:rPr>
          <w:b/>
        </w:rPr>
        <w:t xml:space="preserve">Neural sparse search: </w:t>
      </w:r>
      <w:r>
        <w:t>https://docs.opensearch.org/latest/vector-search/ai-search/neural-sparse-search/</w:t>
      </w:r>
    </w:p>
    <w:p>
      <w:pPr>
        <w:pStyle w:val="ListBullet"/>
      </w:pPr>
      <w:r>
        <w:rPr>
          <w:b/>
        </w:rPr>
        <w:t xml:space="preserve">Learning to Rank: </w:t>
      </w:r>
      <w:r>
        <w:t>https://docs.opensearch.org/latest/search-plugins/ltr/index/</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EU-FarmBook — OpenSearch Retrieval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16"/>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