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i w:val="0"/>
          <w:color w:val="1F5C4D"/>
          <w:sz w:val="21"/>
        </w:rPr>
        <w:t>EU-FarmBook</w:t>
      </w:r>
    </w:p>
    <w:p>
      <w:pPr>
        <w:spacing w:after="40" w:before="0"/>
      </w:pPr>
      <w:r>
        <w:rPr>
          <w:b/>
          <w:i w:val="0"/>
          <w:sz w:val="50"/>
        </w:rPr>
        <w:t>How the KO Quality Pipeline Works</w:t>
      </w:r>
    </w:p>
    <w:p>
      <w:pPr>
        <w:spacing w:after="200" w:before="0"/>
      </w:pPr>
      <w:r>
        <w:rPr>
          <w:b w:val="0"/>
          <w:i w:val="0"/>
          <w:sz w:val="24"/>
        </w:rPr>
        <w:t>A plain-language guide to assess_ko_quality</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2600"/>
        <w:gridCol w:w="6426"/>
      </w:tblGrid>
      <w:tr>
        <w:tc>
          <w:tcPr>
            <w:tcW w:type="dxa" w:w="2600"/>
            <w:shd w:fill="1F5C4D" w:val="clear"/>
            <w:tcMar>
              <w:top w:type="dxa" w:w="90"/>
              <w:left w:type="dxa" w:w="130"/>
              <w:bottom w:type="dxa" w:w="90"/>
              <w:right w:type="dxa" w:w="130"/>
            </w:tcMar>
          </w:tcPr>
          <w:p>
            <w:pPr>
              <w:spacing w:after="0"/>
            </w:pPr>
            <w:r/>
            <w:r>
              <w:rPr>
                <w:b/>
                <w:color w:val="FFFFFF"/>
                <w:sz w:val="19"/>
              </w:rPr>
              <w:t>About this guide</w:t>
            </w:r>
          </w:p>
        </w:tc>
        <w:tc>
          <w:tcPr>
            <w:tcW w:type="dxa" w:w="6426"/>
            <w:shd w:fill="1F5C4D" w:val="clear"/>
            <w:tcMar>
              <w:top w:type="dxa" w:w="90"/>
              <w:left w:type="dxa" w:w="130"/>
              <w:bottom w:type="dxa" w:w="90"/>
              <w:right w:type="dxa" w:w="130"/>
            </w:tcMar>
          </w:tcPr>
          <w:p>
            <w:pPr>
              <w:spacing w:after="0"/>
            </w:pPr>
            <w:r/>
            <w:r>
              <w:rPr>
                <w:b w:val="0"/>
                <w:sz w:val="19"/>
              </w:rPr>
            </w:r>
          </w:p>
        </w:tc>
      </w:tr>
      <w:tr>
        <w:tc>
          <w:tcPr>
            <w:tcW w:type="dxa" w:w="2600"/>
            <w:tcMar>
              <w:top w:type="dxa" w:w="90"/>
              <w:left w:type="dxa" w:w="130"/>
              <w:bottom w:type="dxa" w:w="90"/>
              <w:right w:type="dxa" w:w="130"/>
            </w:tcMar>
          </w:tcPr>
          <w:p>
            <w:pPr>
              <w:spacing w:after="0"/>
            </w:pPr>
            <w:r/>
            <w:r>
              <w:rPr>
                <w:b/>
                <w:sz w:val="19"/>
              </w:rPr>
              <w:t>Explains</w:t>
            </w:r>
          </w:p>
        </w:tc>
        <w:tc>
          <w:tcPr>
            <w:tcW w:type="dxa" w:w="6426"/>
            <w:tcMar>
              <w:top w:type="dxa" w:w="90"/>
              <w:left w:type="dxa" w:w="130"/>
              <w:bottom w:type="dxa" w:w="90"/>
              <w:right w:type="dxa" w:w="130"/>
            </w:tcMar>
          </w:tcPr>
          <w:p>
            <w:pPr>
              <w:spacing w:after="0"/>
            </w:pPr>
            <w:r/>
            <w:r>
              <w:rPr>
                <w:b w:val="0"/>
                <w:sz w:val="19"/>
              </w:rPr>
              <w:t>assess_ko_quality/pipeline.py — the four stages that assess a knowledge object</w:t>
            </w:r>
          </w:p>
        </w:tc>
      </w:tr>
      <w:tr>
        <w:tc>
          <w:tcPr>
            <w:tcW w:type="dxa" w:w="2600"/>
            <w:tcMar>
              <w:top w:type="dxa" w:w="90"/>
              <w:left w:type="dxa" w:w="130"/>
              <w:bottom w:type="dxa" w:w="90"/>
              <w:right w:type="dxa" w:w="130"/>
            </w:tcMar>
          </w:tcPr>
          <w:p>
            <w:pPr>
              <w:spacing w:after="0"/>
            </w:pPr>
            <w:r/>
            <w:r>
              <w:rPr>
                <w:b/>
                <w:sz w:val="19"/>
              </w:rPr>
              <w:t>Produced by</w:t>
            </w:r>
          </w:p>
        </w:tc>
        <w:tc>
          <w:tcPr>
            <w:tcW w:type="dxa" w:w="6426"/>
            <w:tcMar>
              <w:top w:type="dxa" w:w="90"/>
              <w:left w:type="dxa" w:w="130"/>
              <w:bottom w:type="dxa" w:w="90"/>
              <w:right w:type="dxa" w:w="130"/>
            </w:tcMar>
          </w:tcPr>
          <w:p>
            <w:pPr>
              <w:spacing w:after="0"/>
            </w:pPr>
            <w:r/>
            <w:r>
              <w:rPr>
                <w:b w:val="0"/>
                <w:sz w:val="19"/>
              </w:rPr>
              <w:t>ko_quality_assessor/assess_ko_quality</w:t>
            </w:r>
          </w:p>
        </w:tc>
      </w:tr>
      <w:tr>
        <w:tc>
          <w:tcPr>
            <w:tcW w:type="dxa" w:w="2600"/>
            <w:tcMar>
              <w:top w:type="dxa" w:w="90"/>
              <w:left w:type="dxa" w:w="130"/>
              <w:bottom w:type="dxa" w:w="90"/>
              <w:right w:type="dxa" w:w="130"/>
            </w:tcMar>
          </w:tcPr>
          <w:p>
            <w:pPr>
              <w:spacing w:after="0"/>
            </w:pPr>
            <w:r/>
            <w:r>
              <w:rPr>
                <w:b/>
                <w:sz w:val="19"/>
              </w:rPr>
              <w:t>Data analysed</w:t>
            </w:r>
          </w:p>
        </w:tc>
        <w:tc>
          <w:tcPr>
            <w:tcW w:type="dxa" w:w="6426"/>
            <w:tcMar>
              <w:top w:type="dxa" w:w="90"/>
              <w:left w:type="dxa" w:w="130"/>
              <w:bottom w:type="dxa" w:w="90"/>
              <w:right w:type="dxa" w:w="130"/>
            </w:tcMar>
          </w:tcPr>
          <w:p>
            <w:pPr>
              <w:spacing w:after="0"/>
            </w:pPr>
            <w:r/>
            <w:r>
              <w:rPr>
                <w:b w:val="0"/>
                <w:sz w:val="19"/>
              </w:rPr>
              <w:t>10,468 knowledge objects (June 2026 MySQL export)</w:t>
            </w:r>
          </w:p>
        </w:tc>
      </w:tr>
      <w:tr>
        <w:tc>
          <w:tcPr>
            <w:tcW w:type="dxa" w:w="2600"/>
            <w:tcMar>
              <w:top w:type="dxa" w:w="90"/>
              <w:left w:type="dxa" w:w="130"/>
              <w:bottom w:type="dxa" w:w="90"/>
              <w:right w:type="dxa" w:w="130"/>
            </w:tcMar>
          </w:tcPr>
          <w:p>
            <w:pPr>
              <w:spacing w:after="0"/>
            </w:pPr>
            <w:r/>
            <w:r>
              <w:rPr>
                <w:b/>
                <w:sz w:val="19"/>
              </w:rPr>
              <w:t>Validated against</w:t>
            </w:r>
          </w:p>
        </w:tc>
        <w:tc>
          <w:tcPr>
            <w:tcW w:type="dxa" w:w="6426"/>
            <w:tcMar>
              <w:top w:type="dxa" w:w="90"/>
              <w:left w:type="dxa" w:w="130"/>
              <w:bottom w:type="dxa" w:w="90"/>
              <w:right w:type="dxa" w:w="130"/>
            </w:tcMar>
          </w:tcPr>
          <w:p>
            <w:pPr>
              <w:spacing w:after="0"/>
            </w:pPr>
            <w:r/>
            <w:r>
              <w:rPr>
                <w:b w:val="0"/>
                <w:sz w:val="19"/>
              </w:rPr>
              <w:t>The 2024 KO review: 101 knowledge objects, 199 reviews, 12 reviewer organisations</w:t>
            </w:r>
          </w:p>
        </w:tc>
      </w:tr>
      <w:tr>
        <w:tc>
          <w:tcPr>
            <w:tcW w:type="dxa" w:w="2600"/>
            <w:tcMar>
              <w:top w:type="dxa" w:w="90"/>
              <w:left w:type="dxa" w:w="130"/>
              <w:bottom w:type="dxa" w:w="90"/>
              <w:right w:type="dxa" w:w="130"/>
            </w:tcMar>
          </w:tcPr>
          <w:p>
            <w:pPr>
              <w:spacing w:after="0"/>
            </w:pPr>
            <w:r/>
            <w:r>
              <w:rPr>
                <w:b/>
                <w:sz w:val="19"/>
              </w:rPr>
              <w:t>Audience</w:t>
            </w:r>
          </w:p>
        </w:tc>
        <w:tc>
          <w:tcPr>
            <w:tcW w:type="dxa" w:w="6426"/>
            <w:tcMar>
              <w:top w:type="dxa" w:w="90"/>
              <w:left w:type="dxa" w:w="130"/>
              <w:bottom w:type="dxa" w:w="90"/>
              <w:right w:type="dxa" w:w="130"/>
            </w:tcMar>
          </w:tcPr>
          <w:p>
            <w:pPr>
              <w:spacing w:after="0"/>
            </w:pPr>
            <w:r/>
            <w:r>
              <w:rPr>
                <w:b w:val="0"/>
                <w:sz w:val="19"/>
              </w:rPr>
              <w:t>Anyone who needs to act on a KO quality score — no statistics background assumed</w:t>
            </w:r>
          </w:p>
        </w:tc>
      </w:tr>
      <w:tr>
        <w:tc>
          <w:tcPr>
            <w:tcW w:type="dxa" w:w="2600"/>
            <w:tcMar>
              <w:top w:type="dxa" w:w="90"/>
              <w:left w:type="dxa" w:w="130"/>
              <w:bottom w:type="dxa" w:w="90"/>
              <w:right w:type="dxa" w:w="130"/>
            </w:tcMar>
          </w:tcPr>
          <w:p>
            <w:pPr>
              <w:spacing w:after="0"/>
            </w:pPr>
            <w:r/>
            <w:r>
              <w:rPr>
                <w:b/>
                <w:sz w:val="19"/>
              </w:rPr>
              <w:t>Written</w:t>
            </w:r>
          </w:p>
        </w:tc>
        <w:tc>
          <w:tcPr>
            <w:tcW w:type="dxa" w:w="6426"/>
            <w:tcMar>
              <w:top w:type="dxa" w:w="90"/>
              <w:left w:type="dxa" w:w="130"/>
              <w:bottom w:type="dxa" w:w="90"/>
              <w:right w:type="dxa" w:w="130"/>
            </w:tcMar>
          </w:tcPr>
          <w:p>
            <w:pPr>
              <w:spacing w:after="0"/>
            </w:pPr>
            <w:r/>
            <w:r>
              <w:rPr>
                <w:b w:val="0"/>
                <w:sz w:val="19"/>
              </w:rPr>
              <w:t>21 September 2026</w:t>
            </w:r>
          </w:p>
        </w:tc>
      </w:tr>
    </w:tbl>
    <w:p>
      <w:pPr>
        <w:spacing w:after="120" w:before="0"/>
      </w:pPr>
    </w:p>
    <w:p>
      <w:pPr>
        <w:pStyle w:val="Heading1"/>
        <w:spacing w:before="320" w:after="120"/>
      </w:pPr>
      <w:r>
        <w:rPr>
          <w:b/>
          <w:color w:val="1F5C4D"/>
          <w:sz w:val="30"/>
        </w:rPr>
        <w:t>1. What question does this pipeline answer?</w:t>
      </w:r>
    </w:p>
    <w:p>
      <w:pPr>
        <w:spacing w:after="120" w:before="0"/>
      </w:pPr>
      <w:r>
        <w:rPr>
          <w:b w:val="0"/>
          <w:i w:val="0"/>
          <w:sz w:val="21"/>
        </w:rPr>
        <w:t>Every knowledge object uploaded to EU-FarmBook is a document, video or dataset with metadata attached: a title, a description, keywords, a licence, the project it came from. Some are excellent. Some have a title that does not describe the content, or a file whose text never extracted, or no licence at all.</w:t>
      </w:r>
    </w:p>
    <w:p>
      <w:pPr>
        <w:spacing w:after="120" w:before="0"/>
      </w:pPr>
      <w:r>
        <w:rPr>
          <w:b w:val="0"/>
          <w:i w:val="0"/>
          <w:sz w:val="21"/>
        </w:rPr>
        <w:t>This pipeline answers three separate questions about each one, and it keeps them separate on purpose:</w:t>
      </w:r>
    </w:p>
    <w:p>
      <w:pPr>
        <w:pStyle w:val="ListParagraph"/>
        <w:spacing w:after="60"/>
        <w:ind w:left="360"/>
      </w:pPr>
      <w:r>
        <w:rPr>
          <w:sz w:val="21"/>
        </w:rPr>
        <w:t>•   Does this belong on the platform at all?</w:t>
      </w:r>
    </w:p>
    <w:p>
      <w:pPr>
        <w:pStyle w:val="ListParagraph"/>
        <w:spacing w:after="60"/>
        <w:ind w:left="360"/>
      </w:pPr>
      <w:r>
        <w:rPr>
          <w:sz w:val="21"/>
        </w:rPr>
        <w:t>•   Does the record meet the obligations we place on contributors?</w:t>
      </w:r>
    </w:p>
    <w:p>
      <w:pPr>
        <w:pStyle w:val="ListParagraph"/>
        <w:spacing w:after="60"/>
        <w:ind w:left="360"/>
      </w:pPr>
      <w:r>
        <w:rPr>
          <w:sz w:val="21"/>
        </w:rPr>
        <w:t>•   How good is it, compared with what reviewers actually value?</w:t>
      </w:r>
    </w:p>
    <w:tbl>
      <w:tblPr>
        <w:tblW w:type="dxa" w:w="9026"/>
        <w:tblBorders>
          <w:top w:val="single" w:color="D8DEDC" w:sz="2"/>
          <w:left w:val="single" w:color="1F5C4D" w:sz="18"/>
          <w:bottom w:val="single" w:color="D8DEDC" w:sz="2"/>
          <w:right w:val="single" w:color="D8DEDC" w:sz="2"/>
          <w:insideH w:val="none"/>
          <w:insideV w:val="none"/>
        </w:tblBorders>
        <w:tblLayout w:type="fixed"/>
        <w:tblLook w:firstColumn="1" w:firstRow="1" w:lastColumn="0" w:lastRow="0" w:noHBand="0" w:noVBand="1" w:val="04A0"/>
      </w:tblPr>
      <w:tblGrid>
        <w:gridCol w:w="9026"/>
      </w:tblGrid>
      <w:tr>
        <w:tc>
          <w:tcPr>
            <w:tcW w:type="dxa" w:w="9026"/>
            <w:tcMar>
              <w:top w:type="dxa" w:w="140"/>
              <w:left w:type="dxa" w:w="200"/>
              <w:bottom w:type="dxa" w:w="140"/>
              <w:right w:type="dxa" w:w="200"/>
            </w:tcMar>
          </w:tcPr>
          <w:p>
            <w:pPr>
              <w:spacing w:after="60"/>
            </w:pPr>
            <w:r/>
            <w:r>
              <w:rPr>
                <w:b/>
                <w:color w:val="1F5C4D"/>
                <w:sz w:val="21"/>
              </w:rPr>
              <w:t>The single most important thing to understand</w:t>
            </w:r>
          </w:p>
          <w:p>
            <w:pPr>
              <w:spacing w:after="0"/>
            </w:pPr>
            <w:r>
              <w:rPr>
                <w:sz w:val="21"/>
              </w:rPr>
              <w:t>These three questions have different kinds of answers, so they must not be combined into one number. Relevance is a yes-or-no precondition. Compliance is a checklist of obligations. Quality is a matter of degree. The previous version of this tool averaged all three into a single 0–100 score, and section 2 shows what that produced.</w:t>
            </w:r>
          </w:p>
        </w:tc>
      </w:tr>
    </w:tbl>
    <w:p>
      <w:pPr>
        <w:spacing w:after="120" w:before="0"/>
      </w:pPr>
    </w:p>
    <w:p>
      <w:pPr>
        <w:pStyle w:val="Heading1"/>
        <w:spacing w:before="320" w:after="120"/>
      </w:pPr>
      <w:r>
        <w:rPr>
          <w:b/>
          <w:color w:val="1F5C4D"/>
          <w:sz w:val="30"/>
        </w:rPr>
        <w:t>2. Why the previous version had to be rebuilt</w:t>
      </w:r>
    </w:p>
    <w:p>
      <w:pPr>
        <w:spacing w:after="120" w:before="0"/>
      </w:pPr>
      <w:r>
        <w:rPr>
          <w:b w:val="0"/>
          <w:i w:val="0"/>
          <w:sz w:val="21"/>
        </w:rPr>
        <w:t>The earlier assessor scored four 'pillars' — Structural, Semantic, Functional and Domain — and combined them with fixed weights of 30, 35, 25 and 10 percent. It was never checked against human judgement. When it finally was, three things came out.</w:t>
      </w:r>
    </w:p>
    <w:p>
      <w:pPr>
        <w:pStyle w:val="Heading2"/>
        <w:spacing w:before="220" w:after="80"/>
      </w:pPr>
      <w:r>
        <w:rPr>
          <w:b/>
          <w:color w:val="1F5C4D"/>
          <w:sz w:val="24"/>
        </w:rPr>
        <w:t>It ranked off-topic documents above real farm advice</w:t>
      </w:r>
    </w:p>
    <w:p>
      <w:pPr>
        <w:spacing w:after="120" w:before="0"/>
      </w:pPr>
      <w:r>
        <w:rPr>
          <w:b w:val="0"/>
          <w:i w:val="0"/>
          <w:sz w:val="21"/>
        </w:rPr>
        <w:t>Three documents with no connection to agriculture were written to be well structured and well described, then scored by the old assessor alongside genuine knowledge objects. Every one of them beat every real KO in the run — with the Domain pillar switched on.</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3000"/>
        <w:gridCol w:w="1200"/>
        <w:gridCol w:w="1200"/>
        <w:gridCol w:w="1250"/>
        <w:gridCol w:w="1100"/>
        <w:gridCol w:w="1276"/>
      </w:tblGrid>
      <w:tr>
        <w:trPr>
          <w:tblHeader w:val="true"/>
        </w:trPr>
        <w:tc>
          <w:tcPr>
            <w:tcW w:type="dxa" w:w="3000"/>
            <w:shd w:fill="1F5C4D" w:val="clear"/>
            <w:tcMar>
              <w:top w:type="dxa" w:w="90"/>
              <w:left w:type="dxa" w:w="130"/>
              <w:bottom w:type="dxa" w:w="90"/>
              <w:right w:type="dxa" w:w="130"/>
            </w:tcMar>
          </w:tcPr>
          <w:p>
            <w:pPr>
              <w:spacing w:after="0"/>
            </w:pPr>
            <w:r/>
            <w:r>
              <w:rPr>
                <w:b/>
                <w:color w:val="FFFFFF"/>
                <w:sz w:val="19"/>
              </w:rPr>
              <w:t>Document</w:t>
            </w:r>
          </w:p>
        </w:tc>
        <w:tc>
          <w:tcPr>
            <w:tcW w:type="dxa" w:w="1200"/>
            <w:shd w:fill="1F5C4D" w:val="clear"/>
            <w:tcMar>
              <w:top w:type="dxa" w:w="90"/>
              <w:left w:type="dxa" w:w="130"/>
              <w:bottom w:type="dxa" w:w="90"/>
              <w:right w:type="dxa" w:w="130"/>
            </w:tcMar>
          </w:tcPr>
          <w:p>
            <w:pPr>
              <w:spacing w:after="0"/>
            </w:pPr>
            <w:r/>
            <w:r>
              <w:rPr>
                <w:b/>
                <w:color w:val="FFFFFF"/>
                <w:sz w:val="19"/>
              </w:rPr>
              <w:t>Structural</w:t>
            </w:r>
          </w:p>
        </w:tc>
        <w:tc>
          <w:tcPr>
            <w:tcW w:type="dxa" w:w="1200"/>
            <w:shd w:fill="1F5C4D" w:val="clear"/>
            <w:tcMar>
              <w:top w:type="dxa" w:w="90"/>
              <w:left w:type="dxa" w:w="130"/>
              <w:bottom w:type="dxa" w:w="90"/>
              <w:right w:type="dxa" w:w="130"/>
            </w:tcMar>
          </w:tcPr>
          <w:p>
            <w:pPr>
              <w:spacing w:after="0"/>
            </w:pPr>
            <w:r/>
            <w:r>
              <w:rPr>
                <w:b/>
                <w:color w:val="FFFFFF"/>
                <w:sz w:val="19"/>
              </w:rPr>
              <w:t>Semantic</w:t>
            </w:r>
          </w:p>
        </w:tc>
        <w:tc>
          <w:tcPr>
            <w:tcW w:type="dxa" w:w="1250"/>
            <w:shd w:fill="1F5C4D" w:val="clear"/>
            <w:tcMar>
              <w:top w:type="dxa" w:w="90"/>
              <w:left w:type="dxa" w:w="130"/>
              <w:bottom w:type="dxa" w:w="90"/>
              <w:right w:type="dxa" w:w="130"/>
            </w:tcMar>
          </w:tcPr>
          <w:p>
            <w:pPr>
              <w:spacing w:after="0"/>
            </w:pPr>
            <w:r/>
            <w:r>
              <w:rPr>
                <w:b/>
                <w:color w:val="FFFFFF"/>
                <w:sz w:val="19"/>
              </w:rPr>
              <w:t>Functional</w:t>
            </w:r>
          </w:p>
        </w:tc>
        <w:tc>
          <w:tcPr>
            <w:tcW w:type="dxa" w:w="1100"/>
            <w:shd w:fill="1F5C4D" w:val="clear"/>
            <w:tcMar>
              <w:top w:type="dxa" w:w="90"/>
              <w:left w:type="dxa" w:w="130"/>
              <w:bottom w:type="dxa" w:w="90"/>
              <w:right w:type="dxa" w:w="130"/>
            </w:tcMar>
          </w:tcPr>
          <w:p>
            <w:pPr>
              <w:spacing w:after="0"/>
            </w:pPr>
            <w:r/>
            <w:r>
              <w:rPr>
                <w:b/>
                <w:color w:val="FFFFFF"/>
                <w:sz w:val="19"/>
              </w:rPr>
              <w:t>Domain</w:t>
            </w:r>
          </w:p>
        </w:tc>
        <w:tc>
          <w:tcPr>
            <w:tcW w:type="dxa" w:w="1276"/>
            <w:shd w:fill="1F5C4D" w:val="clear"/>
            <w:tcMar>
              <w:top w:type="dxa" w:w="90"/>
              <w:left w:type="dxa" w:w="130"/>
              <w:bottom w:type="dxa" w:w="90"/>
              <w:right w:type="dxa" w:w="130"/>
            </w:tcMar>
          </w:tcPr>
          <w:p>
            <w:pPr>
              <w:spacing w:after="0"/>
            </w:pPr>
            <w:r/>
            <w:r>
              <w:rPr>
                <w:b/>
                <w:color w:val="FFFFFF"/>
                <w:sz w:val="19"/>
              </w:rPr>
              <w:t>Total</w:t>
            </w:r>
          </w:p>
        </w:tc>
      </w:tr>
      <w:tr>
        <w:tc>
          <w:tcPr>
            <w:tcW w:type="dxa" w:w="3000"/>
            <w:tcMar>
              <w:top w:type="dxa" w:w="90"/>
              <w:left w:type="dxa" w:w="130"/>
              <w:bottom w:type="dxa" w:w="90"/>
              <w:right w:type="dxa" w:w="130"/>
            </w:tcMar>
          </w:tcPr>
          <w:p>
            <w:pPr>
              <w:spacing w:after="0"/>
            </w:pPr>
            <w:r/>
            <w:r>
              <w:rPr>
                <w:b w:val="0"/>
                <w:sz w:val="19"/>
              </w:rPr>
              <w:t>Bach's Brandenburg Concertos</w:t>
            </w:r>
          </w:p>
        </w:tc>
        <w:tc>
          <w:tcPr>
            <w:tcW w:type="dxa" w:w="1200"/>
            <w:tcMar>
              <w:top w:type="dxa" w:w="90"/>
              <w:left w:type="dxa" w:w="130"/>
              <w:bottom w:type="dxa" w:w="90"/>
              <w:right w:type="dxa" w:w="130"/>
            </w:tcMar>
          </w:tcPr>
          <w:p>
            <w:pPr>
              <w:spacing w:after="0"/>
            </w:pPr>
            <w:r/>
            <w:r>
              <w:rPr>
                <w:b w:val="0"/>
                <w:sz w:val="19"/>
              </w:rPr>
              <w:t>24</w:t>
            </w:r>
          </w:p>
        </w:tc>
        <w:tc>
          <w:tcPr>
            <w:tcW w:type="dxa" w:w="1200"/>
            <w:tcMar>
              <w:top w:type="dxa" w:w="90"/>
              <w:left w:type="dxa" w:w="130"/>
              <w:bottom w:type="dxa" w:w="90"/>
              <w:right w:type="dxa" w:w="130"/>
            </w:tcMar>
          </w:tcPr>
          <w:p>
            <w:pPr>
              <w:spacing w:after="0"/>
            </w:pPr>
            <w:r/>
            <w:r>
              <w:rPr>
                <w:b w:val="0"/>
                <w:sz w:val="19"/>
              </w:rPr>
              <w:t>15</w:t>
            </w:r>
          </w:p>
        </w:tc>
        <w:tc>
          <w:tcPr>
            <w:tcW w:type="dxa" w:w="1250"/>
            <w:tcMar>
              <w:top w:type="dxa" w:w="90"/>
              <w:left w:type="dxa" w:w="130"/>
              <w:bottom w:type="dxa" w:w="90"/>
              <w:right w:type="dxa" w:w="130"/>
            </w:tcMar>
          </w:tcPr>
          <w:p>
            <w:pPr>
              <w:spacing w:after="0"/>
            </w:pPr>
            <w:r/>
            <w:r>
              <w:rPr>
                <w:b w:val="0"/>
                <w:sz w:val="19"/>
              </w:rPr>
              <w:t>20</w:t>
            </w:r>
          </w:p>
        </w:tc>
        <w:tc>
          <w:tcPr>
            <w:tcW w:type="dxa" w:w="1100"/>
            <w:tcMar>
              <w:top w:type="dxa" w:w="90"/>
              <w:left w:type="dxa" w:w="130"/>
              <w:bottom w:type="dxa" w:w="90"/>
              <w:right w:type="dxa" w:w="130"/>
            </w:tcMar>
          </w:tcPr>
          <w:p>
            <w:pPr>
              <w:spacing w:after="0"/>
            </w:pPr>
            <w:r/>
            <w:r>
              <w:rPr>
                <w:b w:val="0"/>
                <w:sz w:val="19"/>
              </w:rPr>
              <w:t>15</w:t>
            </w:r>
          </w:p>
        </w:tc>
        <w:tc>
          <w:tcPr>
            <w:tcW w:type="dxa" w:w="1276"/>
            <w:tcMar>
              <w:top w:type="dxa" w:w="90"/>
              <w:left w:type="dxa" w:w="130"/>
              <w:bottom w:type="dxa" w:w="90"/>
              <w:right w:type="dxa" w:w="130"/>
            </w:tcMar>
          </w:tcPr>
          <w:p>
            <w:pPr>
              <w:spacing w:after="0"/>
            </w:pPr>
            <w:r/>
            <w:r>
              <w:rPr>
                <w:b w:val="0"/>
                <w:sz w:val="19"/>
              </w:rPr>
              <w:t>75.8</w:t>
            </w:r>
          </w:p>
        </w:tc>
      </w:tr>
      <w:tr>
        <w:tc>
          <w:tcPr>
            <w:tcW w:type="dxa" w:w="3000"/>
            <w:tcMar>
              <w:top w:type="dxa" w:w="90"/>
              <w:left w:type="dxa" w:w="130"/>
              <w:bottom w:type="dxa" w:w="90"/>
              <w:right w:type="dxa" w:w="130"/>
            </w:tcMar>
          </w:tcPr>
          <w:p>
            <w:pPr>
              <w:spacing w:after="0"/>
            </w:pPr>
            <w:r/>
            <w:r>
              <w:rPr>
                <w:b w:val="0"/>
                <w:sz w:val="19"/>
              </w:rPr>
              <w:t>Asynchronous server handlers</w:t>
            </w:r>
          </w:p>
        </w:tc>
        <w:tc>
          <w:tcPr>
            <w:tcW w:type="dxa" w:w="1200"/>
            <w:tcMar>
              <w:top w:type="dxa" w:w="90"/>
              <w:left w:type="dxa" w:w="130"/>
              <w:bottom w:type="dxa" w:w="90"/>
              <w:right w:type="dxa" w:w="130"/>
            </w:tcMar>
          </w:tcPr>
          <w:p>
            <w:pPr>
              <w:spacing w:after="0"/>
            </w:pPr>
            <w:r/>
            <w:r>
              <w:rPr>
                <w:b w:val="0"/>
                <w:sz w:val="19"/>
              </w:rPr>
              <w:t>24</w:t>
            </w:r>
          </w:p>
        </w:tc>
        <w:tc>
          <w:tcPr>
            <w:tcW w:type="dxa" w:w="1200"/>
            <w:tcMar>
              <w:top w:type="dxa" w:w="90"/>
              <w:left w:type="dxa" w:w="130"/>
              <w:bottom w:type="dxa" w:w="90"/>
              <w:right w:type="dxa" w:w="130"/>
            </w:tcMar>
          </w:tcPr>
          <w:p>
            <w:pPr>
              <w:spacing w:after="0"/>
            </w:pPr>
            <w:r/>
            <w:r>
              <w:rPr>
                <w:b w:val="0"/>
                <w:sz w:val="19"/>
              </w:rPr>
              <w:t>16</w:t>
            </w:r>
          </w:p>
        </w:tc>
        <w:tc>
          <w:tcPr>
            <w:tcW w:type="dxa" w:w="1250"/>
            <w:tcMar>
              <w:top w:type="dxa" w:w="90"/>
              <w:left w:type="dxa" w:w="130"/>
              <w:bottom w:type="dxa" w:w="90"/>
              <w:right w:type="dxa" w:w="130"/>
            </w:tcMar>
          </w:tcPr>
          <w:p>
            <w:pPr>
              <w:spacing w:after="0"/>
            </w:pPr>
            <w:r/>
            <w:r>
              <w:rPr>
                <w:b w:val="0"/>
                <w:sz w:val="19"/>
              </w:rPr>
              <w:t>18</w:t>
            </w:r>
          </w:p>
        </w:tc>
        <w:tc>
          <w:tcPr>
            <w:tcW w:type="dxa" w:w="1100"/>
            <w:tcMar>
              <w:top w:type="dxa" w:w="90"/>
              <w:left w:type="dxa" w:w="130"/>
              <w:bottom w:type="dxa" w:w="90"/>
              <w:right w:type="dxa" w:w="130"/>
            </w:tcMar>
          </w:tcPr>
          <w:p>
            <w:pPr>
              <w:spacing w:after="0"/>
            </w:pPr>
            <w:r/>
            <w:r>
              <w:rPr>
                <w:b w:val="0"/>
                <w:sz w:val="19"/>
              </w:rPr>
              <w:t>15</w:t>
            </w:r>
          </w:p>
        </w:tc>
        <w:tc>
          <w:tcPr>
            <w:tcW w:type="dxa" w:w="1276"/>
            <w:tcMar>
              <w:top w:type="dxa" w:w="90"/>
              <w:left w:type="dxa" w:w="130"/>
              <w:bottom w:type="dxa" w:w="90"/>
              <w:right w:type="dxa" w:w="130"/>
            </w:tcMar>
          </w:tcPr>
          <w:p>
            <w:pPr>
              <w:spacing w:after="0"/>
            </w:pPr>
            <w:r/>
            <w:r>
              <w:rPr>
                <w:b w:val="0"/>
                <w:sz w:val="19"/>
              </w:rPr>
              <w:t>75.2</w:t>
            </w:r>
          </w:p>
        </w:tc>
      </w:tr>
      <w:tr>
        <w:tc>
          <w:tcPr>
            <w:tcW w:type="dxa" w:w="3000"/>
            <w:tcMar>
              <w:top w:type="dxa" w:w="90"/>
              <w:left w:type="dxa" w:w="130"/>
              <w:bottom w:type="dxa" w:w="90"/>
              <w:right w:type="dxa" w:w="130"/>
            </w:tcMar>
          </w:tcPr>
          <w:p>
            <w:pPr>
              <w:spacing w:after="0"/>
            </w:pPr>
            <w:r/>
            <w:r>
              <w:rPr>
                <w:b w:val="0"/>
                <w:sz w:val="19"/>
              </w:rPr>
              <w:t>Atrial fibrillation treatment</w:t>
            </w:r>
          </w:p>
        </w:tc>
        <w:tc>
          <w:tcPr>
            <w:tcW w:type="dxa" w:w="1200"/>
            <w:tcMar>
              <w:top w:type="dxa" w:w="90"/>
              <w:left w:type="dxa" w:w="130"/>
              <w:bottom w:type="dxa" w:w="90"/>
              <w:right w:type="dxa" w:w="130"/>
            </w:tcMar>
          </w:tcPr>
          <w:p>
            <w:pPr>
              <w:spacing w:after="0"/>
            </w:pPr>
            <w:r/>
            <w:r>
              <w:rPr>
                <w:b w:val="0"/>
                <w:sz w:val="19"/>
              </w:rPr>
              <w:t>24</w:t>
            </w:r>
          </w:p>
        </w:tc>
        <w:tc>
          <w:tcPr>
            <w:tcW w:type="dxa" w:w="1200"/>
            <w:tcMar>
              <w:top w:type="dxa" w:w="90"/>
              <w:left w:type="dxa" w:w="130"/>
              <w:bottom w:type="dxa" w:w="90"/>
              <w:right w:type="dxa" w:w="130"/>
            </w:tcMar>
          </w:tcPr>
          <w:p>
            <w:pPr>
              <w:spacing w:after="0"/>
            </w:pPr>
            <w:r/>
            <w:r>
              <w:rPr>
                <w:b w:val="0"/>
                <w:sz w:val="19"/>
              </w:rPr>
              <w:t>16</w:t>
            </w:r>
          </w:p>
        </w:tc>
        <w:tc>
          <w:tcPr>
            <w:tcW w:type="dxa" w:w="1250"/>
            <w:tcMar>
              <w:top w:type="dxa" w:w="90"/>
              <w:left w:type="dxa" w:w="130"/>
              <w:bottom w:type="dxa" w:w="90"/>
              <w:right w:type="dxa" w:w="130"/>
            </w:tcMar>
          </w:tcPr>
          <w:p>
            <w:pPr>
              <w:spacing w:after="0"/>
            </w:pPr>
            <w:r/>
            <w:r>
              <w:rPr>
                <w:b w:val="0"/>
                <w:sz w:val="19"/>
              </w:rPr>
              <w:t>18</w:t>
            </w:r>
          </w:p>
        </w:tc>
        <w:tc>
          <w:tcPr>
            <w:tcW w:type="dxa" w:w="1100"/>
            <w:tcMar>
              <w:top w:type="dxa" w:w="90"/>
              <w:left w:type="dxa" w:w="130"/>
              <w:bottom w:type="dxa" w:w="90"/>
              <w:right w:type="dxa" w:w="130"/>
            </w:tcMar>
          </w:tcPr>
          <w:p>
            <w:pPr>
              <w:spacing w:after="0"/>
            </w:pPr>
            <w:r/>
            <w:r>
              <w:rPr>
                <w:b w:val="0"/>
                <w:sz w:val="19"/>
              </w:rPr>
              <w:t>15</w:t>
            </w:r>
          </w:p>
        </w:tc>
        <w:tc>
          <w:tcPr>
            <w:tcW w:type="dxa" w:w="1276"/>
            <w:tcMar>
              <w:top w:type="dxa" w:w="90"/>
              <w:left w:type="dxa" w:w="130"/>
              <w:bottom w:type="dxa" w:w="90"/>
              <w:right w:type="dxa" w:w="130"/>
            </w:tcMar>
          </w:tcPr>
          <w:p>
            <w:pPr>
              <w:spacing w:after="0"/>
            </w:pPr>
            <w:r/>
            <w:r>
              <w:rPr>
                <w:b w:val="0"/>
                <w:sz w:val="19"/>
              </w:rPr>
              <w:t>75.2</w:t>
            </w:r>
          </w:p>
        </w:tc>
      </w:tr>
      <w:tr>
        <w:tc>
          <w:tcPr>
            <w:tcW w:type="dxa" w:w="3000"/>
            <w:tcMar>
              <w:top w:type="dxa" w:w="90"/>
              <w:left w:type="dxa" w:w="130"/>
              <w:bottom w:type="dxa" w:w="90"/>
              <w:right w:type="dxa" w:w="130"/>
            </w:tcMar>
          </w:tcPr>
          <w:p>
            <w:pPr>
              <w:spacing w:after="0"/>
            </w:pPr>
            <w:r/>
            <w:r>
              <w:rPr>
                <w:b w:val="0"/>
                <w:sz w:val="19"/>
              </w:rPr>
              <w:t>Real agricultural KO (best of run)</w:t>
            </w:r>
          </w:p>
        </w:tc>
        <w:tc>
          <w:tcPr>
            <w:tcW w:type="dxa" w:w="1200"/>
            <w:tcMar>
              <w:top w:type="dxa" w:w="90"/>
              <w:left w:type="dxa" w:w="130"/>
              <w:bottom w:type="dxa" w:w="90"/>
              <w:right w:type="dxa" w:w="130"/>
            </w:tcMar>
          </w:tcPr>
          <w:p>
            <w:pPr>
              <w:spacing w:after="0"/>
            </w:pPr>
            <w:r/>
            <w:r>
              <w:rPr>
                <w:b w:val="0"/>
                <w:sz w:val="19"/>
              </w:rPr>
              <w:t>21</w:t>
            </w:r>
          </w:p>
        </w:tc>
        <w:tc>
          <w:tcPr>
            <w:tcW w:type="dxa" w:w="1200"/>
            <w:tcMar>
              <w:top w:type="dxa" w:w="90"/>
              <w:left w:type="dxa" w:w="130"/>
              <w:bottom w:type="dxa" w:w="90"/>
              <w:right w:type="dxa" w:w="130"/>
            </w:tcMar>
          </w:tcPr>
          <w:p>
            <w:pPr>
              <w:spacing w:after="0"/>
            </w:pPr>
            <w:r/>
            <w:r>
              <w:rPr>
                <w:b w:val="0"/>
                <w:sz w:val="19"/>
              </w:rPr>
              <w:t>11</w:t>
            </w:r>
          </w:p>
        </w:tc>
        <w:tc>
          <w:tcPr>
            <w:tcW w:type="dxa" w:w="1250"/>
            <w:tcMar>
              <w:top w:type="dxa" w:w="90"/>
              <w:left w:type="dxa" w:w="130"/>
              <w:bottom w:type="dxa" w:w="90"/>
              <w:right w:type="dxa" w:w="130"/>
            </w:tcMar>
          </w:tcPr>
          <w:p>
            <w:pPr>
              <w:spacing w:after="0"/>
            </w:pPr>
            <w:r/>
            <w:r>
              <w:rPr>
                <w:b w:val="0"/>
                <w:sz w:val="19"/>
              </w:rPr>
              <w:t>18</w:t>
            </w:r>
          </w:p>
        </w:tc>
        <w:tc>
          <w:tcPr>
            <w:tcW w:type="dxa" w:w="1100"/>
            <w:tcMar>
              <w:top w:type="dxa" w:w="90"/>
              <w:left w:type="dxa" w:w="130"/>
              <w:bottom w:type="dxa" w:w="90"/>
              <w:right w:type="dxa" w:w="130"/>
            </w:tcMar>
          </w:tcPr>
          <w:p>
            <w:pPr>
              <w:spacing w:after="0"/>
            </w:pPr>
            <w:r/>
            <w:r>
              <w:rPr>
                <w:b w:val="0"/>
                <w:sz w:val="19"/>
              </w:rPr>
              <w:t>19</w:t>
            </w:r>
          </w:p>
        </w:tc>
        <w:tc>
          <w:tcPr>
            <w:tcW w:type="dxa" w:w="1276"/>
            <w:tcMar>
              <w:top w:type="dxa" w:w="90"/>
              <w:left w:type="dxa" w:w="130"/>
              <w:bottom w:type="dxa" w:w="90"/>
              <w:right w:type="dxa" w:w="130"/>
            </w:tcMar>
          </w:tcPr>
          <w:p>
            <w:pPr>
              <w:spacing w:after="0"/>
            </w:pPr>
            <w:r/>
            <w:r>
              <w:rPr>
                <w:b w:val="0"/>
                <w:sz w:val="19"/>
              </w:rPr>
              <w:t>66.2</w:t>
            </w:r>
          </w:p>
        </w:tc>
      </w:tr>
      <w:tr>
        <w:tc>
          <w:tcPr>
            <w:tcW w:type="dxa" w:w="3000"/>
            <w:tcMar>
              <w:top w:type="dxa" w:w="90"/>
              <w:left w:type="dxa" w:w="130"/>
              <w:bottom w:type="dxa" w:w="90"/>
              <w:right w:type="dxa" w:w="130"/>
            </w:tcMar>
          </w:tcPr>
          <w:p>
            <w:pPr>
              <w:spacing w:after="0"/>
            </w:pPr>
            <w:r/>
            <w:r>
              <w:rPr>
                <w:b w:val="0"/>
                <w:sz w:val="19"/>
              </w:rPr>
              <w:t>Real agricultural KO (worst of run)</w:t>
            </w:r>
          </w:p>
        </w:tc>
        <w:tc>
          <w:tcPr>
            <w:tcW w:type="dxa" w:w="1200"/>
            <w:tcMar>
              <w:top w:type="dxa" w:w="90"/>
              <w:left w:type="dxa" w:w="130"/>
              <w:bottom w:type="dxa" w:w="90"/>
              <w:right w:type="dxa" w:w="130"/>
            </w:tcMar>
          </w:tcPr>
          <w:p>
            <w:pPr>
              <w:spacing w:after="0"/>
            </w:pPr>
            <w:r/>
            <w:r>
              <w:rPr>
                <w:b w:val="0"/>
                <w:sz w:val="19"/>
              </w:rPr>
              <w:t>20</w:t>
            </w:r>
          </w:p>
        </w:tc>
        <w:tc>
          <w:tcPr>
            <w:tcW w:type="dxa" w:w="1200"/>
            <w:tcMar>
              <w:top w:type="dxa" w:w="90"/>
              <w:left w:type="dxa" w:w="130"/>
              <w:bottom w:type="dxa" w:w="90"/>
              <w:right w:type="dxa" w:w="130"/>
            </w:tcMar>
          </w:tcPr>
          <w:p>
            <w:pPr>
              <w:spacing w:after="0"/>
            </w:pPr>
            <w:r/>
            <w:r>
              <w:rPr>
                <w:b w:val="0"/>
                <w:sz w:val="19"/>
              </w:rPr>
              <w:t>8</w:t>
            </w:r>
          </w:p>
        </w:tc>
        <w:tc>
          <w:tcPr>
            <w:tcW w:type="dxa" w:w="1250"/>
            <w:tcMar>
              <w:top w:type="dxa" w:w="90"/>
              <w:left w:type="dxa" w:w="130"/>
              <w:bottom w:type="dxa" w:w="90"/>
              <w:right w:type="dxa" w:w="130"/>
            </w:tcMar>
          </w:tcPr>
          <w:p>
            <w:pPr>
              <w:spacing w:after="0"/>
            </w:pPr>
            <w:r/>
            <w:r>
              <w:rPr>
                <w:b w:val="0"/>
                <w:sz w:val="19"/>
              </w:rPr>
              <w:t>8</w:t>
            </w:r>
          </w:p>
        </w:tc>
        <w:tc>
          <w:tcPr>
            <w:tcW w:type="dxa" w:w="1100"/>
            <w:tcMar>
              <w:top w:type="dxa" w:w="90"/>
              <w:left w:type="dxa" w:w="130"/>
              <w:bottom w:type="dxa" w:w="90"/>
              <w:right w:type="dxa" w:w="130"/>
            </w:tcMar>
          </w:tcPr>
          <w:p>
            <w:pPr>
              <w:spacing w:after="0"/>
            </w:pPr>
            <w:r/>
            <w:r>
              <w:rPr>
                <w:b w:val="0"/>
                <w:sz w:val="19"/>
              </w:rPr>
              <w:t>19</w:t>
            </w:r>
          </w:p>
        </w:tc>
        <w:tc>
          <w:tcPr>
            <w:tcW w:type="dxa" w:w="1276"/>
            <w:tcMar>
              <w:top w:type="dxa" w:w="90"/>
              <w:left w:type="dxa" w:w="130"/>
              <w:bottom w:type="dxa" w:w="90"/>
              <w:right w:type="dxa" w:w="130"/>
            </w:tcMar>
          </w:tcPr>
          <w:p>
            <w:pPr>
              <w:spacing w:after="0"/>
            </w:pPr>
            <w:r/>
            <w:r>
              <w:rPr>
                <w:b w:val="0"/>
                <w:sz w:val="19"/>
              </w:rPr>
              <w:t>50.8</w:t>
            </w:r>
          </w:p>
        </w:tc>
      </w:tr>
    </w:tbl>
    <w:p>
      <w:pPr>
        <w:spacing w:after="120" w:before="0"/>
      </w:pPr>
    </w:p>
    <w:p>
      <w:pPr>
        <w:spacing w:after="120" w:before="0"/>
      </w:pPr>
      <w:r>
        <w:rPr>
          <w:b w:val="0"/>
          <w:i w:val="0"/>
          <w:sz w:val="21"/>
        </w:rPr>
        <w:t>The Domain pillar could not have stopped this. Asked how agricultural a text is, it gave a crop-rotation guide 0.071 and literal gibberish 0.069. It compared each document against the average of 96,691 agricultural thesaurus concepts, and the average of that many different ideas points nowhere in particular.</w:t>
      </w:r>
    </w:p>
    <w:p>
      <w:pPr>
        <w:spacing w:after="120" w:before="0"/>
      </w:pPr>
      <w:r>
        <w:rPr>
          <w:b w:val="0"/>
          <w:i w:val="0"/>
          <w:sz w:val="21"/>
        </w:rPr>
        <w:t>Even a perfect relevance detector would not have stopped it either. At 10 percent weight, the most an irrelevant upload can lose is 10 points out of 100.</w:t>
      </w:r>
    </w:p>
    <w:p>
      <w:pPr>
        <w:pStyle w:val="Heading2"/>
        <w:spacing w:before="220" w:after="80"/>
      </w:pPr>
      <w:r>
        <w:rPr>
          <w:b/>
          <w:color w:val="1F5C4D"/>
          <w:sz w:val="24"/>
        </w:rPr>
        <w:t>The score barely tracked what reviewers thought</w:t>
      </w:r>
    </w:p>
    <w:p>
      <w:pPr>
        <w:spacing w:after="120" w:before="0"/>
      </w:pPr>
      <w:r>
        <w:rPr>
          <w:b w:val="0"/>
          <w:i w:val="0"/>
          <w:sz w:val="21"/>
        </w:rPr>
        <w:t>Compared against the 2024 human review, the old total agreed with reviewers at a rank correlation of 0.174 — not statistically significant. A single measurement, how much text the document contains, did nearly three times better at 0.484.</w:t>
      </w:r>
    </w:p>
    <w:p>
      <w:pPr>
        <w:pStyle w:val="Heading2"/>
        <w:spacing w:before="220" w:after="80"/>
      </w:pPr>
      <w:r>
        <w:rPr>
          <w:b/>
          <w:color w:val="1F5C4D"/>
          <w:sz w:val="24"/>
        </w:rPr>
        <w:t>It was not the weights</w:t>
      </w:r>
    </w:p>
    <w:p>
      <w:pPr>
        <w:spacing w:after="120" w:before="0"/>
      </w:pPr>
      <w:r>
        <w:rPr>
          <w:b w:val="0"/>
          <w:i w:val="0"/>
          <w:sz w:val="21"/>
        </w:rPr>
        <w:t>Given complete freedom to choose its own weights for the four pillars, a statistical model scored −0.170 out of sample: worse than guessing, and pointing the wrong way. If the best possible weighting of four numbers cannot beat chance, the problem is the four numbers, not the percentages applied to them.</w:t>
      </w:r>
    </w:p>
    <w:tbl>
      <w:tblPr>
        <w:tblW w:type="dxa" w:w="9026"/>
        <w:tblBorders>
          <w:top w:val="single" w:color="D8DEDC" w:sz="2"/>
          <w:left w:val="single" w:color="1F5C4D" w:sz="18"/>
          <w:bottom w:val="single" w:color="D8DEDC" w:sz="2"/>
          <w:right w:val="single" w:color="D8DEDC" w:sz="2"/>
          <w:insideH w:val="none"/>
          <w:insideV w:val="none"/>
        </w:tblBorders>
        <w:tblLayout w:type="fixed"/>
        <w:tblLook w:firstColumn="1" w:firstRow="1" w:lastColumn="0" w:lastRow="0" w:noHBand="0" w:noVBand="1" w:val="04A0"/>
      </w:tblPr>
      <w:tblGrid>
        <w:gridCol w:w="9026"/>
      </w:tblGrid>
      <w:tr>
        <w:tc>
          <w:tcPr>
            <w:tcW w:type="dxa" w:w="9026"/>
            <w:tcMar>
              <w:top w:type="dxa" w:w="140"/>
              <w:left w:type="dxa" w:w="200"/>
              <w:bottom w:type="dxa" w:w="140"/>
              <w:right w:type="dxa" w:w="200"/>
            </w:tcMar>
          </w:tcPr>
          <w:p>
            <w:pPr>
              <w:spacing w:after="60"/>
            </w:pPr>
            <w:r/>
            <w:r>
              <w:rPr>
                <w:b/>
                <w:color w:val="1F5C4D"/>
                <w:sz w:val="21"/>
              </w:rPr>
              <w:t>What that means in practice</w:t>
            </w:r>
          </w:p>
          <w:p>
            <w:pPr>
              <w:spacing w:after="0"/>
            </w:pPr>
            <w:r>
              <w:rPr>
                <w:sz w:val="21"/>
              </w:rPr>
              <w:t>Individual measurements inside the old score were actively misleading. Metadata completeness correlated with reviewer judgement at −0.217 — more complete records were rated slightly worse. Lexical variety, as it was measured, was inverted: 93.7 percent of the whole corpus scored full marks, and documents whose text had failed to extract scored best of all.</w:t>
            </w:r>
          </w:p>
        </w:tc>
      </w:tr>
    </w:tbl>
    <w:p>
      <w:pPr>
        <w:spacing w:after="120" w:before="0"/>
      </w:pPr>
    </w:p>
    <w:p>
      <w:pPr>
        <w:pStyle w:val="Heading1"/>
        <w:spacing w:before="320" w:after="120"/>
      </w:pPr>
      <w:r>
        <w:rPr>
          <w:b/>
          <w:color w:val="1F5C4D"/>
          <w:sz w:val="30"/>
        </w:rPr>
        <w:t>3. The four stages</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1500"/>
        <w:gridCol w:w="2900"/>
        <w:gridCol w:w="2200"/>
        <w:gridCol w:w="2426"/>
      </w:tblGrid>
      <w:tr>
        <w:trPr>
          <w:tblHeader w:val="true"/>
        </w:trPr>
        <w:tc>
          <w:tcPr>
            <w:tcW w:type="dxa" w:w="1500"/>
            <w:shd w:fill="1F5C4D" w:val="clear"/>
            <w:tcMar>
              <w:top w:type="dxa" w:w="90"/>
              <w:left w:type="dxa" w:w="130"/>
              <w:bottom w:type="dxa" w:w="90"/>
              <w:right w:type="dxa" w:w="130"/>
            </w:tcMar>
          </w:tcPr>
          <w:p>
            <w:pPr>
              <w:spacing w:after="0"/>
            </w:pPr>
            <w:r/>
            <w:r>
              <w:rPr>
                <w:b/>
                <w:color w:val="FFFFFF"/>
                <w:sz w:val="19"/>
              </w:rPr>
              <w:t>Stage</w:t>
            </w:r>
          </w:p>
        </w:tc>
        <w:tc>
          <w:tcPr>
            <w:tcW w:type="dxa" w:w="2900"/>
            <w:shd w:fill="1F5C4D" w:val="clear"/>
            <w:tcMar>
              <w:top w:type="dxa" w:w="90"/>
              <w:left w:type="dxa" w:w="130"/>
              <w:bottom w:type="dxa" w:w="90"/>
              <w:right w:type="dxa" w:w="130"/>
            </w:tcMar>
          </w:tcPr>
          <w:p>
            <w:pPr>
              <w:spacing w:after="0"/>
            </w:pPr>
            <w:r/>
            <w:r>
              <w:rPr>
                <w:b/>
                <w:color w:val="FFFFFF"/>
                <w:sz w:val="19"/>
              </w:rPr>
              <w:t>Question</w:t>
            </w:r>
          </w:p>
        </w:tc>
        <w:tc>
          <w:tcPr>
            <w:tcW w:type="dxa" w:w="2200"/>
            <w:shd w:fill="1F5C4D" w:val="clear"/>
            <w:tcMar>
              <w:top w:type="dxa" w:w="90"/>
              <w:left w:type="dxa" w:w="130"/>
              <w:bottom w:type="dxa" w:w="90"/>
              <w:right w:type="dxa" w:w="130"/>
            </w:tcMar>
          </w:tcPr>
          <w:p>
            <w:pPr>
              <w:spacing w:after="0"/>
            </w:pPr>
            <w:r/>
            <w:r>
              <w:rPr>
                <w:b/>
                <w:color w:val="FFFFFF"/>
                <w:sz w:val="19"/>
              </w:rPr>
              <w:t>Output</w:t>
            </w:r>
          </w:p>
        </w:tc>
        <w:tc>
          <w:tcPr>
            <w:tcW w:type="dxa" w:w="2426"/>
            <w:shd w:fill="1F5C4D" w:val="clear"/>
            <w:tcMar>
              <w:top w:type="dxa" w:w="90"/>
              <w:left w:type="dxa" w:w="130"/>
              <w:bottom w:type="dxa" w:w="90"/>
              <w:right w:type="dxa" w:w="130"/>
            </w:tcMar>
          </w:tcPr>
          <w:p>
            <w:pPr>
              <w:spacing w:after="0"/>
            </w:pPr>
            <w:r/>
            <w:r>
              <w:rPr>
                <w:b/>
                <w:color w:val="FFFFFF"/>
                <w:sz w:val="19"/>
              </w:rPr>
              <w:t>In the score?</w:t>
            </w:r>
          </w:p>
        </w:tc>
      </w:tr>
      <w:tr>
        <w:tc>
          <w:tcPr>
            <w:tcW w:type="dxa" w:w="1500"/>
            <w:tcMar>
              <w:top w:type="dxa" w:w="90"/>
              <w:left w:type="dxa" w:w="130"/>
              <w:bottom w:type="dxa" w:w="90"/>
              <w:right w:type="dxa" w:w="130"/>
            </w:tcMar>
          </w:tcPr>
          <w:p>
            <w:pPr>
              <w:spacing w:after="0"/>
            </w:pPr>
            <w:r/>
            <w:r>
              <w:rPr>
                <w:b w:val="0"/>
                <w:sz w:val="19"/>
              </w:rPr>
              <w:t>0. Gate</w:t>
            </w:r>
          </w:p>
        </w:tc>
        <w:tc>
          <w:tcPr>
            <w:tcW w:type="dxa" w:w="2900"/>
            <w:tcMar>
              <w:top w:type="dxa" w:w="90"/>
              <w:left w:type="dxa" w:w="130"/>
              <w:bottom w:type="dxa" w:w="90"/>
              <w:right w:type="dxa" w:w="130"/>
            </w:tcMar>
          </w:tcPr>
          <w:p>
            <w:pPr>
              <w:spacing w:after="0"/>
            </w:pPr>
            <w:r/>
            <w:r>
              <w:rPr>
                <w:b w:val="0"/>
                <w:sz w:val="19"/>
              </w:rPr>
              <w:t>Is this in scope for EU-FarmBook?</w:t>
            </w:r>
          </w:p>
        </w:tc>
        <w:tc>
          <w:tcPr>
            <w:tcW w:type="dxa" w:w="2200"/>
            <w:tcMar>
              <w:top w:type="dxa" w:w="90"/>
              <w:left w:type="dxa" w:w="130"/>
              <w:bottom w:type="dxa" w:w="90"/>
              <w:right w:type="dxa" w:w="130"/>
            </w:tcMar>
          </w:tcPr>
          <w:p>
            <w:pPr>
              <w:spacing w:after="0"/>
            </w:pPr>
            <w:r/>
            <w:r>
              <w:rPr>
                <w:b w:val="0"/>
                <w:sz w:val="19"/>
              </w:rPr>
              <w:t>accept / review / reject</w:t>
            </w:r>
          </w:p>
        </w:tc>
        <w:tc>
          <w:tcPr>
            <w:tcW w:type="dxa" w:w="2426"/>
            <w:tcMar>
              <w:top w:type="dxa" w:w="90"/>
              <w:left w:type="dxa" w:w="130"/>
              <w:bottom w:type="dxa" w:w="90"/>
              <w:right w:type="dxa" w:w="130"/>
            </w:tcMar>
          </w:tcPr>
          <w:p>
            <w:pPr>
              <w:spacing w:after="0"/>
            </w:pPr>
            <w:r/>
            <w:r>
              <w:rPr>
                <w:b w:val="0"/>
                <w:sz w:val="19"/>
              </w:rPr>
              <w:t>No — decides whether scoring happens</w:t>
            </w:r>
          </w:p>
        </w:tc>
      </w:tr>
      <w:tr>
        <w:tc>
          <w:tcPr>
            <w:tcW w:type="dxa" w:w="1500"/>
            <w:tcMar>
              <w:top w:type="dxa" w:w="90"/>
              <w:left w:type="dxa" w:w="130"/>
              <w:bottom w:type="dxa" w:w="90"/>
              <w:right w:type="dxa" w:w="130"/>
            </w:tcMar>
          </w:tcPr>
          <w:p>
            <w:pPr>
              <w:spacing w:after="0"/>
            </w:pPr>
            <w:r/>
            <w:r>
              <w:rPr>
                <w:b w:val="0"/>
                <w:sz w:val="19"/>
              </w:rPr>
              <w:t>1. Compliance</w:t>
            </w:r>
          </w:p>
        </w:tc>
        <w:tc>
          <w:tcPr>
            <w:tcW w:type="dxa" w:w="2900"/>
            <w:tcMar>
              <w:top w:type="dxa" w:w="90"/>
              <w:left w:type="dxa" w:w="130"/>
              <w:bottom w:type="dxa" w:w="90"/>
              <w:right w:type="dxa" w:w="130"/>
            </w:tcMar>
          </w:tcPr>
          <w:p>
            <w:pPr>
              <w:spacing w:after="0"/>
            </w:pPr>
            <w:r/>
            <w:r>
              <w:rPr>
                <w:b w:val="0"/>
                <w:sz w:val="19"/>
              </w:rPr>
              <w:t>Does the record meet its obligations?</w:t>
            </w:r>
          </w:p>
        </w:tc>
        <w:tc>
          <w:tcPr>
            <w:tcW w:type="dxa" w:w="2200"/>
            <w:tcMar>
              <w:top w:type="dxa" w:w="90"/>
              <w:left w:type="dxa" w:w="130"/>
              <w:bottom w:type="dxa" w:w="90"/>
              <w:right w:type="dxa" w:w="130"/>
            </w:tcMar>
          </w:tcPr>
          <w:p>
            <w:pPr>
              <w:spacing w:after="0"/>
            </w:pPr>
            <w:r/>
            <w:r>
              <w:rPr>
                <w:b w:val="0"/>
                <w:sz w:val="19"/>
              </w:rPr>
              <w:t>Pass or fail per obligation</w:t>
            </w:r>
          </w:p>
        </w:tc>
        <w:tc>
          <w:tcPr>
            <w:tcW w:type="dxa" w:w="2426"/>
            <w:tcMar>
              <w:top w:type="dxa" w:w="90"/>
              <w:left w:type="dxa" w:w="130"/>
              <w:bottom w:type="dxa" w:w="90"/>
              <w:right w:type="dxa" w:w="130"/>
            </w:tcMar>
          </w:tcPr>
          <w:p>
            <w:pPr>
              <w:spacing w:after="0"/>
            </w:pPr>
            <w:r/>
            <w:r>
              <w:rPr>
                <w:b w:val="0"/>
                <w:sz w:val="19"/>
              </w:rPr>
              <w:t>No — reported as a checklist</w:t>
            </w:r>
          </w:p>
        </w:tc>
      </w:tr>
      <w:tr>
        <w:tc>
          <w:tcPr>
            <w:tcW w:type="dxa" w:w="1500"/>
            <w:tcMar>
              <w:top w:type="dxa" w:w="90"/>
              <w:left w:type="dxa" w:w="130"/>
              <w:bottom w:type="dxa" w:w="90"/>
              <w:right w:type="dxa" w:w="130"/>
            </w:tcMar>
          </w:tcPr>
          <w:p>
            <w:pPr>
              <w:spacing w:after="0"/>
            </w:pPr>
            <w:r/>
            <w:r>
              <w:rPr>
                <w:b w:val="0"/>
                <w:sz w:val="19"/>
              </w:rPr>
              <w:t>2. Score</w:t>
            </w:r>
          </w:p>
        </w:tc>
        <w:tc>
          <w:tcPr>
            <w:tcW w:type="dxa" w:w="2900"/>
            <w:tcMar>
              <w:top w:type="dxa" w:w="90"/>
              <w:left w:type="dxa" w:w="130"/>
              <w:bottom w:type="dxa" w:w="90"/>
              <w:right w:type="dxa" w:w="130"/>
            </w:tcMar>
          </w:tcPr>
          <w:p>
            <w:pPr>
              <w:spacing w:after="0"/>
            </w:pPr>
            <w:r/>
            <w:r>
              <w:rPr>
                <w:b w:val="0"/>
                <w:sz w:val="19"/>
              </w:rPr>
              <w:t>How good is it?</w:t>
            </w:r>
          </w:p>
        </w:tc>
        <w:tc>
          <w:tcPr>
            <w:tcW w:type="dxa" w:w="2200"/>
            <w:tcMar>
              <w:top w:type="dxa" w:w="90"/>
              <w:left w:type="dxa" w:w="130"/>
              <w:bottom w:type="dxa" w:w="90"/>
              <w:right w:type="dxa" w:w="130"/>
            </w:tcMar>
          </w:tcPr>
          <w:p>
            <w:pPr>
              <w:spacing w:after="0"/>
            </w:pPr>
            <w:r/>
            <w:r>
              <w:rPr>
                <w:b w:val="0"/>
                <w:sz w:val="19"/>
              </w:rPr>
              <w:t>0–100</w:t>
            </w:r>
          </w:p>
        </w:tc>
        <w:tc>
          <w:tcPr>
            <w:tcW w:type="dxa" w:w="2426"/>
            <w:tcMar>
              <w:top w:type="dxa" w:w="90"/>
              <w:left w:type="dxa" w:w="130"/>
              <w:bottom w:type="dxa" w:w="90"/>
              <w:right w:type="dxa" w:w="130"/>
            </w:tcMar>
          </w:tcPr>
          <w:p>
            <w:pPr>
              <w:spacing w:after="0"/>
            </w:pPr>
            <w:r/>
            <w:r>
              <w:rPr>
                <w:b w:val="0"/>
                <w:sz w:val="19"/>
              </w:rPr>
              <w:t>Yes — this is the score</w:t>
            </w:r>
          </w:p>
        </w:tc>
      </w:tr>
      <w:tr>
        <w:tc>
          <w:tcPr>
            <w:tcW w:type="dxa" w:w="1500"/>
            <w:tcMar>
              <w:top w:type="dxa" w:w="90"/>
              <w:left w:type="dxa" w:w="130"/>
              <w:bottom w:type="dxa" w:w="90"/>
              <w:right w:type="dxa" w:w="130"/>
            </w:tcMar>
          </w:tcPr>
          <w:p>
            <w:pPr>
              <w:spacing w:after="0"/>
            </w:pPr>
            <w:r/>
            <w:r>
              <w:rPr>
                <w:b w:val="0"/>
                <w:sz w:val="19"/>
              </w:rPr>
              <w:t>3. Diagnostics</w:t>
            </w:r>
          </w:p>
        </w:tc>
        <w:tc>
          <w:tcPr>
            <w:tcW w:type="dxa" w:w="2900"/>
            <w:tcMar>
              <w:top w:type="dxa" w:w="90"/>
              <w:left w:type="dxa" w:w="130"/>
              <w:bottom w:type="dxa" w:w="90"/>
              <w:right w:type="dxa" w:w="130"/>
            </w:tcMar>
          </w:tcPr>
          <w:p>
            <w:pPr>
              <w:spacing w:after="0"/>
            </w:pPr>
            <w:r/>
            <w:r>
              <w:rPr>
                <w:b w:val="0"/>
                <w:sz w:val="19"/>
              </w:rPr>
              <w:t>What is unusual or actionable here?</w:t>
            </w:r>
          </w:p>
        </w:tc>
        <w:tc>
          <w:tcPr>
            <w:tcW w:type="dxa" w:w="2200"/>
            <w:tcMar>
              <w:top w:type="dxa" w:w="90"/>
              <w:left w:type="dxa" w:w="130"/>
              <w:bottom w:type="dxa" w:w="90"/>
              <w:right w:type="dxa" w:w="130"/>
            </w:tcMar>
          </w:tcPr>
          <w:p>
            <w:pPr>
              <w:spacing w:after="0"/>
            </w:pPr>
            <w:r/>
            <w:r>
              <w:rPr>
                <w:b w:val="0"/>
                <w:sz w:val="19"/>
              </w:rPr>
              <w:t>Flags and written notes</w:t>
            </w:r>
          </w:p>
        </w:tc>
        <w:tc>
          <w:tcPr>
            <w:tcW w:type="dxa" w:w="2426"/>
            <w:tcMar>
              <w:top w:type="dxa" w:w="90"/>
              <w:left w:type="dxa" w:w="130"/>
              <w:bottom w:type="dxa" w:w="90"/>
              <w:right w:type="dxa" w:w="130"/>
            </w:tcMar>
          </w:tcPr>
          <w:p>
            <w:pPr>
              <w:spacing w:after="0"/>
            </w:pPr>
            <w:r/>
            <w:r>
              <w:rPr>
                <w:b w:val="0"/>
                <w:sz w:val="19"/>
              </w:rPr>
              <w:t>No — explanatory only</w:t>
            </w:r>
          </w:p>
        </w:tc>
      </w:tr>
    </w:tbl>
    <w:p>
      <w:pPr>
        <w:spacing w:after="120" w:before="0"/>
      </w:pPr>
    </w:p>
    <w:p>
      <w:pPr>
        <w:spacing w:after="120" w:before="0"/>
      </w:pPr>
      <w:r>
        <w:rPr>
          <w:b w:val="0"/>
          <w:i w:val="0"/>
          <w:sz w:val="21"/>
        </w:rPr>
        <w:t>A knowledge object the gate rejects is never scored. Scoring an off-topic document invites exactly the comparison the gate exists to prevent.</w:t>
      </w:r>
    </w:p>
    <w:p>
      <w:pPr>
        <w:pStyle w:val="Heading1"/>
        <w:spacing w:before="320" w:after="120"/>
      </w:pPr>
      <w:r>
        <w:rPr>
          <w:b/>
          <w:color w:val="1F5C4D"/>
          <w:sz w:val="30"/>
        </w:rPr>
        <w:t>4. Stage 0 — Is it in scope?</w:t>
      </w:r>
    </w:p>
    <w:p>
      <w:pPr>
        <w:spacing w:after="120" w:before="0"/>
      </w:pPr>
      <w:r>
        <w:rPr>
          <w:b w:val="0"/>
          <w:i w:val="0"/>
          <w:sz w:val="21"/>
        </w:rPr>
        <w:t>The gate decides whether a knowledge object belongs on the platform before anything else happens. EU-FarmBook's own topic vocabulary defines the scope, and it is broader than 'farming': Forestry, Livestock, Crop farming, Economics, Environment and Society. Thirteen and a half percent of the corpus carries only the last three.</w:t>
      </w:r>
    </w:p>
    <w:p>
      <w:pPr>
        <w:pStyle w:val="Heading2"/>
        <w:spacing w:before="220" w:after="80"/>
      </w:pPr>
      <w:r>
        <w:rPr>
          <w:b/>
          <w:color w:val="1F5C4D"/>
          <w:sz w:val="24"/>
        </w:rPr>
        <w:t>How it decides</w:t>
      </w:r>
    </w:p>
    <w:p>
      <w:pPr>
        <w:spacing w:after="120" w:before="0"/>
      </w:pPr>
      <w:r>
        <w:rPr>
          <w:b w:val="0"/>
          <w:i w:val="0"/>
          <w:sz w:val="21"/>
        </w:rPr>
        <w:t>The 10,468 knowledge objects already on the platform define the domain better than any thesaurus does — they are the domain. The gate compares a new object against them rather than against a word list.</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5600"/>
        <w:gridCol w:w="3426"/>
      </w:tblGrid>
      <w:tr>
        <w:trPr>
          <w:tblHeader w:val="true"/>
        </w:trPr>
        <w:tc>
          <w:tcPr>
            <w:tcW w:type="dxa" w:w="5600"/>
            <w:shd w:fill="1F5C4D" w:val="clear"/>
            <w:tcMar>
              <w:top w:type="dxa" w:w="90"/>
              <w:left w:type="dxa" w:w="130"/>
              <w:bottom w:type="dxa" w:w="90"/>
              <w:right w:type="dxa" w:w="130"/>
            </w:tcMar>
          </w:tcPr>
          <w:p>
            <w:pPr>
              <w:spacing w:after="0"/>
            </w:pPr>
            <w:r/>
            <w:r>
              <w:rPr>
                <w:b/>
                <w:color w:val="FFFFFF"/>
                <w:sz w:val="19"/>
              </w:rPr>
              <w:t>Method</w:t>
            </w:r>
          </w:p>
        </w:tc>
        <w:tc>
          <w:tcPr>
            <w:tcW w:type="dxa" w:w="3426"/>
            <w:shd w:fill="1F5C4D" w:val="clear"/>
            <w:tcMar>
              <w:top w:type="dxa" w:w="90"/>
              <w:left w:type="dxa" w:w="130"/>
              <w:bottom w:type="dxa" w:w="90"/>
              <w:right w:type="dxa" w:w="130"/>
            </w:tcMar>
          </w:tcPr>
          <w:p>
            <w:pPr>
              <w:spacing w:after="0"/>
            </w:pPr>
            <w:r/>
            <w:r>
              <w:rPr>
                <w:b/>
                <w:color w:val="FFFFFF"/>
                <w:sz w:val="19"/>
              </w:rPr>
              <w:t>How well it separates in-scope from off-scope</w:t>
            </w:r>
          </w:p>
        </w:tc>
      </w:tr>
      <w:tr>
        <w:tc>
          <w:tcPr>
            <w:tcW w:type="dxa" w:w="5600"/>
            <w:tcMar>
              <w:top w:type="dxa" w:w="90"/>
              <w:left w:type="dxa" w:w="130"/>
              <w:bottom w:type="dxa" w:w="90"/>
              <w:right w:type="dxa" w:w="130"/>
            </w:tcMar>
          </w:tcPr>
          <w:p>
            <w:pPr>
              <w:spacing w:after="0"/>
            </w:pPr>
            <w:r/>
            <w:r>
              <w:rPr>
                <w:b w:val="0"/>
                <w:sz w:val="19"/>
              </w:rPr>
              <w:t>Average similarity to thesaurus concepts (the old Domain pillar)</w:t>
            </w:r>
          </w:p>
        </w:tc>
        <w:tc>
          <w:tcPr>
            <w:tcW w:type="dxa" w:w="3426"/>
            <w:tcMar>
              <w:top w:type="dxa" w:w="90"/>
              <w:left w:type="dxa" w:w="130"/>
              <w:bottom w:type="dxa" w:w="90"/>
              <w:right w:type="dxa" w:w="130"/>
            </w:tcMar>
          </w:tcPr>
          <w:p>
            <w:pPr>
              <w:spacing w:after="0"/>
            </w:pPr>
            <w:r/>
            <w:r>
              <w:rPr>
                <w:b w:val="0"/>
                <w:sz w:val="19"/>
              </w:rPr>
              <w:t>0.647</w:t>
            </w:r>
          </w:p>
        </w:tc>
      </w:tr>
      <w:tr>
        <w:tc>
          <w:tcPr>
            <w:tcW w:type="dxa" w:w="5600"/>
            <w:tcMar>
              <w:top w:type="dxa" w:w="90"/>
              <w:left w:type="dxa" w:w="130"/>
              <w:bottom w:type="dxa" w:w="90"/>
              <w:right w:type="dxa" w:w="130"/>
            </w:tcMar>
          </w:tcPr>
          <w:p>
            <w:pPr>
              <w:spacing w:after="0"/>
            </w:pPr>
            <w:r/>
            <w:r>
              <w:rPr>
                <w:b w:val="0"/>
                <w:sz w:val="19"/>
              </w:rPr>
              <w:t>Similarity to the closest 10 thesaurus concepts</w:t>
            </w:r>
          </w:p>
        </w:tc>
        <w:tc>
          <w:tcPr>
            <w:tcW w:type="dxa" w:w="3426"/>
            <w:tcMar>
              <w:top w:type="dxa" w:w="90"/>
              <w:left w:type="dxa" w:w="130"/>
              <w:bottom w:type="dxa" w:w="90"/>
              <w:right w:type="dxa" w:w="130"/>
            </w:tcMar>
          </w:tcPr>
          <w:p>
            <w:pPr>
              <w:spacing w:after="0"/>
            </w:pPr>
            <w:r/>
            <w:r>
              <w:rPr>
                <w:b w:val="0"/>
                <w:sz w:val="19"/>
              </w:rPr>
              <w:t>0.768</w:t>
            </w:r>
          </w:p>
        </w:tc>
      </w:tr>
      <w:tr>
        <w:tc>
          <w:tcPr>
            <w:tcW w:type="dxa" w:w="5600"/>
            <w:tcMar>
              <w:top w:type="dxa" w:w="90"/>
              <w:left w:type="dxa" w:w="130"/>
              <w:bottom w:type="dxa" w:w="90"/>
              <w:right w:type="dxa" w:w="130"/>
            </w:tcMar>
          </w:tcPr>
          <w:p>
            <w:pPr>
              <w:spacing w:after="0"/>
            </w:pPr>
            <w:r/>
            <w:r>
              <w:rPr>
                <w:b w:val="0"/>
                <w:sz w:val="19"/>
              </w:rPr>
              <w:t>Learned comparison against real knowledge objects (current)</w:t>
            </w:r>
          </w:p>
        </w:tc>
        <w:tc>
          <w:tcPr>
            <w:tcW w:type="dxa" w:w="3426"/>
            <w:tcMar>
              <w:top w:type="dxa" w:w="90"/>
              <w:left w:type="dxa" w:w="130"/>
              <w:bottom w:type="dxa" w:w="90"/>
              <w:right w:type="dxa" w:w="130"/>
            </w:tcMar>
          </w:tcPr>
          <w:p>
            <w:pPr>
              <w:spacing w:after="0"/>
            </w:pPr>
            <w:r/>
            <w:r>
              <w:rPr>
                <w:b w:val="0"/>
                <w:sz w:val="19"/>
              </w:rPr>
              <w:t>1.000</w:t>
            </w:r>
          </w:p>
        </w:tc>
      </w:tr>
    </w:tbl>
    <w:p>
      <w:pPr>
        <w:spacing w:after="120" w:before="0"/>
      </w:pPr>
    </w:p>
    <w:p>
      <w:pPr>
        <w:spacing w:after="120" w:before="0"/>
      </w:pPr>
      <w:r>
        <w:rPr>
          <w:b w:val="0"/>
          <w:i w:val="0"/>
          <w:sz w:val="21"/>
        </w:rPr>
        <w:t>A score of 1.000 means perfect separation on the validation set; 0.500 would mean a coin flip. The validation set holds 678 items: 400 real knowledge objects across 14 languages, 130 clearly off-scope documents, 125 borderline cases, and 23 in-scope articles from an outside source used to check that the gate learned the subject matter rather than learning to recognise where text came from.</w:t>
      </w:r>
    </w:p>
    <w:p>
      <w:pPr>
        <w:pStyle w:val="Heading2"/>
        <w:spacing w:before="220" w:after="80"/>
      </w:pPr>
      <w:r>
        <w:rPr>
          <w:b/>
          <w:color w:val="1F5C4D"/>
          <w:sz w:val="24"/>
        </w:rPr>
        <w:t>Three outcomes, not two</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1800"/>
        <w:gridCol w:w="2200"/>
        <w:gridCol w:w="5026"/>
      </w:tblGrid>
      <w:tr>
        <w:trPr>
          <w:tblHeader w:val="true"/>
        </w:trPr>
        <w:tc>
          <w:tcPr>
            <w:tcW w:type="dxa" w:w="1800"/>
            <w:shd w:fill="1F5C4D" w:val="clear"/>
            <w:tcMar>
              <w:top w:type="dxa" w:w="90"/>
              <w:left w:type="dxa" w:w="130"/>
              <w:bottom w:type="dxa" w:w="90"/>
              <w:right w:type="dxa" w:w="130"/>
            </w:tcMar>
          </w:tcPr>
          <w:p>
            <w:pPr>
              <w:spacing w:after="0"/>
            </w:pPr>
            <w:r/>
            <w:r>
              <w:rPr>
                <w:b/>
                <w:color w:val="FFFFFF"/>
                <w:sz w:val="19"/>
              </w:rPr>
              <w:t>Decision</w:t>
            </w:r>
          </w:p>
        </w:tc>
        <w:tc>
          <w:tcPr>
            <w:tcW w:type="dxa" w:w="2200"/>
            <w:shd w:fill="1F5C4D" w:val="clear"/>
            <w:tcMar>
              <w:top w:type="dxa" w:w="90"/>
              <w:left w:type="dxa" w:w="130"/>
              <w:bottom w:type="dxa" w:w="90"/>
              <w:right w:type="dxa" w:w="130"/>
            </w:tcMar>
          </w:tcPr>
          <w:p>
            <w:pPr>
              <w:spacing w:after="0"/>
            </w:pPr>
            <w:r/>
            <w:r>
              <w:rPr>
                <w:b/>
                <w:color w:val="FFFFFF"/>
                <w:sz w:val="19"/>
              </w:rPr>
              <w:t>Threshold</w:t>
            </w:r>
          </w:p>
        </w:tc>
        <w:tc>
          <w:tcPr>
            <w:tcW w:type="dxa" w:w="5026"/>
            <w:shd w:fill="1F5C4D" w:val="clear"/>
            <w:tcMar>
              <w:top w:type="dxa" w:w="90"/>
              <w:left w:type="dxa" w:w="130"/>
              <w:bottom w:type="dxa" w:w="90"/>
              <w:right w:type="dxa" w:w="130"/>
            </w:tcMar>
          </w:tcPr>
          <w:p>
            <w:pPr>
              <w:spacing w:after="0"/>
            </w:pPr>
            <w:r/>
            <w:r>
              <w:rPr>
                <w:b/>
                <w:color w:val="FFFFFF"/>
                <w:sz w:val="19"/>
              </w:rPr>
              <w:t>What happens</w:t>
            </w:r>
          </w:p>
        </w:tc>
      </w:tr>
      <w:tr>
        <w:tc>
          <w:tcPr>
            <w:tcW w:type="dxa" w:w="1800"/>
            <w:tcMar>
              <w:top w:type="dxa" w:w="90"/>
              <w:left w:type="dxa" w:w="130"/>
              <w:bottom w:type="dxa" w:w="90"/>
              <w:right w:type="dxa" w:w="130"/>
            </w:tcMar>
          </w:tcPr>
          <w:p>
            <w:pPr>
              <w:spacing w:after="0"/>
            </w:pPr>
            <w:r/>
            <w:r>
              <w:rPr>
                <w:b w:val="0"/>
                <w:sz w:val="19"/>
              </w:rPr>
              <w:t>Accept</w:t>
            </w:r>
          </w:p>
        </w:tc>
        <w:tc>
          <w:tcPr>
            <w:tcW w:type="dxa" w:w="2200"/>
            <w:tcMar>
              <w:top w:type="dxa" w:w="90"/>
              <w:left w:type="dxa" w:w="130"/>
              <w:bottom w:type="dxa" w:w="90"/>
              <w:right w:type="dxa" w:w="130"/>
            </w:tcMar>
          </w:tcPr>
          <w:p>
            <w:pPr>
              <w:spacing w:after="0"/>
            </w:pPr>
            <w:r/>
            <w:r>
              <w:rPr>
                <w:b w:val="0"/>
                <w:sz w:val="19"/>
              </w:rPr>
              <w:t>0.40 and above</w:t>
            </w:r>
          </w:p>
        </w:tc>
        <w:tc>
          <w:tcPr>
            <w:tcW w:type="dxa" w:w="5026"/>
            <w:tcMar>
              <w:top w:type="dxa" w:w="90"/>
              <w:left w:type="dxa" w:w="130"/>
              <w:bottom w:type="dxa" w:w="90"/>
              <w:right w:type="dxa" w:w="130"/>
            </w:tcMar>
          </w:tcPr>
          <w:p>
            <w:pPr>
              <w:spacing w:after="0"/>
            </w:pPr>
            <w:r/>
            <w:r>
              <w:rPr>
                <w:b w:val="0"/>
                <w:sz w:val="19"/>
              </w:rPr>
              <w:t>Scored normally</w:t>
            </w:r>
          </w:p>
        </w:tc>
      </w:tr>
      <w:tr>
        <w:tc>
          <w:tcPr>
            <w:tcW w:type="dxa" w:w="1800"/>
            <w:tcMar>
              <w:top w:type="dxa" w:w="90"/>
              <w:left w:type="dxa" w:w="130"/>
              <w:bottom w:type="dxa" w:w="90"/>
              <w:right w:type="dxa" w:w="130"/>
            </w:tcMar>
          </w:tcPr>
          <w:p>
            <w:pPr>
              <w:spacing w:after="0"/>
            </w:pPr>
            <w:r/>
            <w:r>
              <w:rPr>
                <w:b w:val="0"/>
                <w:sz w:val="19"/>
              </w:rPr>
              <w:t>Review</w:t>
            </w:r>
          </w:p>
        </w:tc>
        <w:tc>
          <w:tcPr>
            <w:tcW w:type="dxa" w:w="2200"/>
            <w:tcMar>
              <w:top w:type="dxa" w:w="90"/>
              <w:left w:type="dxa" w:w="130"/>
              <w:bottom w:type="dxa" w:w="90"/>
              <w:right w:type="dxa" w:w="130"/>
            </w:tcMar>
          </w:tcPr>
          <w:p>
            <w:pPr>
              <w:spacing w:after="0"/>
            </w:pPr>
            <w:r/>
            <w:r>
              <w:rPr>
                <w:b w:val="0"/>
                <w:sz w:val="19"/>
              </w:rPr>
              <w:t>0.20 to 0.40</w:t>
            </w:r>
          </w:p>
        </w:tc>
        <w:tc>
          <w:tcPr>
            <w:tcW w:type="dxa" w:w="5026"/>
            <w:tcMar>
              <w:top w:type="dxa" w:w="90"/>
              <w:left w:type="dxa" w:w="130"/>
              <w:bottom w:type="dxa" w:w="90"/>
              <w:right w:type="dxa" w:w="130"/>
            </w:tcMar>
          </w:tcPr>
          <w:p>
            <w:pPr>
              <w:spacing w:after="0"/>
            </w:pPr>
            <w:r/>
            <w:r>
              <w:rPr>
                <w:b w:val="0"/>
                <w:sz w:val="19"/>
              </w:rPr>
              <w:t>Sent to a person</w:t>
            </w:r>
          </w:p>
        </w:tc>
      </w:tr>
      <w:tr>
        <w:tc>
          <w:tcPr>
            <w:tcW w:type="dxa" w:w="1800"/>
            <w:tcMar>
              <w:top w:type="dxa" w:w="90"/>
              <w:left w:type="dxa" w:w="130"/>
              <w:bottom w:type="dxa" w:w="90"/>
              <w:right w:type="dxa" w:w="130"/>
            </w:tcMar>
          </w:tcPr>
          <w:p>
            <w:pPr>
              <w:spacing w:after="0"/>
            </w:pPr>
            <w:r/>
            <w:r>
              <w:rPr>
                <w:b w:val="0"/>
                <w:sz w:val="19"/>
              </w:rPr>
              <w:t>Reject</w:t>
            </w:r>
          </w:p>
        </w:tc>
        <w:tc>
          <w:tcPr>
            <w:tcW w:type="dxa" w:w="2200"/>
            <w:tcMar>
              <w:top w:type="dxa" w:w="90"/>
              <w:left w:type="dxa" w:w="130"/>
              <w:bottom w:type="dxa" w:w="90"/>
              <w:right w:type="dxa" w:w="130"/>
            </w:tcMar>
          </w:tcPr>
          <w:p>
            <w:pPr>
              <w:spacing w:after="0"/>
            </w:pPr>
            <w:r/>
            <w:r>
              <w:rPr>
                <w:b w:val="0"/>
                <w:sz w:val="19"/>
              </w:rPr>
              <w:t>Below 0.20</w:t>
            </w:r>
          </w:p>
        </w:tc>
        <w:tc>
          <w:tcPr>
            <w:tcW w:type="dxa" w:w="5026"/>
            <w:tcMar>
              <w:top w:type="dxa" w:w="90"/>
              <w:left w:type="dxa" w:w="130"/>
              <w:bottom w:type="dxa" w:w="90"/>
              <w:right w:type="dxa" w:w="130"/>
            </w:tcMar>
          </w:tcPr>
          <w:p>
            <w:pPr>
              <w:spacing w:after="0"/>
            </w:pPr>
            <w:r/>
            <w:r>
              <w:rPr>
                <w:b w:val="0"/>
                <w:sz w:val="19"/>
              </w:rPr>
              <w:t>Not scored</w:t>
            </w:r>
          </w:p>
        </w:tc>
      </w:tr>
    </w:tbl>
    <w:p>
      <w:pPr>
        <w:spacing w:after="120" w:before="0"/>
      </w:pPr>
    </w:p>
    <w:p>
      <w:pPr>
        <w:spacing w:after="120" w:before="0"/>
      </w:pPr>
      <w:r>
        <w:rPr>
          <w:b w:val="0"/>
          <w:i w:val="0"/>
          <w:sz w:val="21"/>
        </w:rPr>
        <w:t>At the accept threshold the gate keeps 100 percent of genuine knowledge objects in every one of the 14 languages tested, and catches 94.6 percent of clearly off-scope documents.</w:t>
      </w:r>
    </w:p>
    <w:tbl>
      <w:tblPr>
        <w:tblW w:type="dxa" w:w="9026"/>
        <w:tblBorders>
          <w:top w:val="single" w:color="D8DEDC" w:sz="2"/>
          <w:left w:val="single" w:color="1F5C4D" w:sz="18"/>
          <w:bottom w:val="single" w:color="D8DEDC" w:sz="2"/>
          <w:right w:val="single" w:color="D8DEDC" w:sz="2"/>
          <w:insideH w:val="none"/>
          <w:insideV w:val="none"/>
        </w:tblBorders>
        <w:tblLayout w:type="fixed"/>
        <w:tblLook w:firstColumn="1" w:firstRow="1" w:lastColumn="0" w:lastRow="0" w:noHBand="0" w:noVBand="1" w:val="04A0"/>
      </w:tblPr>
      <w:tblGrid>
        <w:gridCol w:w="9026"/>
      </w:tblGrid>
      <w:tr>
        <w:tc>
          <w:tcPr>
            <w:tcW w:type="dxa" w:w="9026"/>
            <w:tcMar>
              <w:top w:type="dxa" w:w="140"/>
              <w:left w:type="dxa" w:w="200"/>
              <w:bottom w:type="dxa" w:w="140"/>
              <w:right w:type="dxa" w:w="200"/>
            </w:tcMar>
          </w:tcPr>
          <w:p>
            <w:pPr>
              <w:spacing w:after="60"/>
            </w:pPr>
            <w:r/>
            <w:r>
              <w:rPr>
                <w:b/>
                <w:color w:val="1F5C4D"/>
                <w:sz w:val="21"/>
              </w:rPr>
              <w:t>Why the threshold is not set higher</w:t>
            </w:r>
          </w:p>
          <w:p>
            <w:pPr>
              <w:spacing w:after="0"/>
            </w:pPr>
            <w:r>
              <w:rPr>
                <w:sz w:val="21"/>
              </w:rPr>
              <w:t>Raising it to 0.70 would catch 100 percent of off-scope documents instead of 94.6. It would also start rejecting real knowledge objects for the language they are written in: German retention falls to 83 percent and Greek to 33 percent. Roughly a third of EU-FarmBook is not in English, so that trade is not worth making. Turning away a legitimate Greek contribution is a worse failure than letting an off-topic document through to human review.</w:t>
            </w:r>
          </w:p>
        </w:tc>
      </w:tr>
    </w:tbl>
    <w:p>
      <w:pPr>
        <w:spacing w:after="120" w:before="0"/>
      </w:pPr>
    </w:p>
    <w:p>
      <w:pPr>
        <w:spacing w:after="120" w:before="0"/>
      </w:pPr>
      <w:r>
        <w:rPr>
          <w:b w:val="0"/>
          <w:i w:val="0"/>
          <w:sz w:val="21"/>
        </w:rPr>
        <w:t>Two further checks matter. Knowledge objects whose text failed to extract are still accepted — a broken PDF is an ingestion problem, not a relevance problem, and the gate must not quietly double as a quality filter. And objects tagged only Economics, Society or Environment are accepted at the same rate as the rest.</w:t>
      </w:r>
    </w:p>
    <w:p>
      <w:pPr>
        <w:pStyle w:val="Heading1"/>
        <w:spacing w:before="320" w:after="120"/>
      </w:pPr>
      <w:r>
        <w:rPr>
          <w:b/>
          <w:color w:val="1F5C4D"/>
          <w:sz w:val="30"/>
        </w:rPr>
        <w:t>5. Stage 1 — Does the record meet its obligations?</w:t>
      </w:r>
    </w:p>
    <w:p>
      <w:pPr>
        <w:spacing w:after="120" w:before="0"/>
      </w:pPr>
      <w:r>
        <w:rPr>
          <w:b w:val="0"/>
          <w:i w:val="0"/>
          <w:sz w:val="21"/>
        </w:rPr>
        <w:t>Compliance is a checklist, not a score. Eighteen obligations are checked, covering core description (title, description, keywords), provenance (creators, project, identifiers), rights (licence), coverage (languages, locations, topics, themes) and timeliness.</w:t>
      </w:r>
    </w:p>
    <w:p>
      <w:pPr>
        <w:spacing w:after="120" w:before="0"/>
      </w:pPr>
      <w:r>
        <w:rPr>
          <w:b w:val="0"/>
          <w:i w:val="0"/>
          <w:sz w:val="21"/>
        </w:rPr>
        <w:t>The list was not written by anyone. It is derived from the corpus: a field that virtually every record already carries is evidently required in practice. Because that test alone cannot tell an obligation from something one of our own pipelines produced, each field is then classified as supplied by the contributor, generated by the platform, or computed by a downstream process. Only contributor fields become obligations.</w:t>
      </w:r>
    </w:p>
    <w:tbl>
      <w:tblPr>
        <w:tblW w:type="dxa" w:w="9026"/>
        <w:tblBorders>
          <w:top w:val="single" w:color="D8DEDC" w:sz="2"/>
          <w:left w:val="single" w:color="1F5C4D" w:sz="18"/>
          <w:bottom w:val="single" w:color="D8DEDC" w:sz="2"/>
          <w:right w:val="single" w:color="D8DEDC" w:sz="2"/>
          <w:insideH w:val="none"/>
          <w:insideV w:val="none"/>
        </w:tblBorders>
        <w:tblLayout w:type="fixed"/>
        <w:tblLook w:firstColumn="1" w:firstRow="1" w:lastColumn="0" w:lastRow="0" w:noHBand="0" w:noVBand="1" w:val="04A0"/>
      </w:tblPr>
      <w:tblGrid>
        <w:gridCol w:w="9026"/>
      </w:tblGrid>
      <w:tr>
        <w:tc>
          <w:tcPr>
            <w:tcW w:type="dxa" w:w="9026"/>
            <w:tcMar>
              <w:top w:type="dxa" w:w="140"/>
              <w:left w:type="dxa" w:w="200"/>
              <w:bottom w:type="dxa" w:w="140"/>
              <w:right w:type="dxa" w:w="200"/>
            </w:tcMar>
          </w:tcPr>
          <w:p>
            <w:pPr>
              <w:spacing w:after="60"/>
            </w:pPr>
            <w:r/>
            <w:r>
              <w:rPr>
                <w:b/>
                <w:color w:val="1F5C4D"/>
                <w:sz w:val="21"/>
              </w:rPr>
              <w:t>Why compliance is deliberately kept out of the score</w:t>
            </w:r>
          </w:p>
          <w:p>
            <w:pPr>
              <w:spacing w:after="0"/>
            </w:pPr>
            <w:r>
              <w:rPr>
                <w:sz w:val="21"/>
              </w:rPr>
              <w:t>When metadata completeness was part of the old score it correlated with reviewer judgement at −0.217 — statistically significant, and in the wrong direction. A thorough record is not the same thing as good content. Completeness still matters, as an obligation contributors owe, which is why it is reported separately and in full rather than blended into a number where it did harm.</w:t>
            </w:r>
          </w:p>
        </w:tc>
      </w:tr>
    </w:tbl>
    <w:p>
      <w:pPr>
        <w:spacing w:after="120" w:before="0"/>
      </w:pPr>
    </w:p>
    <w:p>
      <w:pPr>
        <w:pStyle w:val="Heading1"/>
        <w:spacing w:before="320" w:after="120"/>
      </w:pPr>
      <w:r>
        <w:rPr>
          <w:b/>
          <w:color w:val="1F5C4D"/>
          <w:sz w:val="30"/>
        </w:rPr>
        <w:t>6. Stage 2 — The quality score</w:t>
      </w:r>
    </w:p>
    <w:p>
      <w:pPr>
        <w:spacing w:after="120" w:before="0"/>
      </w:pPr>
      <w:r>
        <w:rPr>
          <w:b w:val="0"/>
          <w:i w:val="0"/>
          <w:sz w:val="21"/>
        </w:rPr>
        <w:t>The score runs from 0 to 100 and is built from exactly three inputs, each of which had to prove itself against the 2024 human review before it was allowed in.</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2000"/>
        <w:gridCol w:w="3300"/>
        <w:gridCol w:w="3726"/>
      </w:tblGrid>
      <w:tr>
        <w:trPr>
          <w:tblHeader w:val="true"/>
        </w:trPr>
        <w:tc>
          <w:tcPr>
            <w:tcW w:type="dxa" w:w="2000"/>
            <w:shd w:fill="1F5C4D" w:val="clear"/>
            <w:tcMar>
              <w:top w:type="dxa" w:w="90"/>
              <w:left w:type="dxa" w:w="130"/>
              <w:bottom w:type="dxa" w:w="90"/>
              <w:right w:type="dxa" w:w="130"/>
            </w:tcMar>
          </w:tcPr>
          <w:p>
            <w:pPr>
              <w:spacing w:after="0"/>
            </w:pPr>
            <w:r/>
            <w:r>
              <w:rPr>
                <w:b/>
                <w:color w:val="FFFFFF"/>
                <w:sz w:val="19"/>
              </w:rPr>
              <w:t>Input</w:t>
            </w:r>
          </w:p>
        </w:tc>
        <w:tc>
          <w:tcPr>
            <w:tcW w:type="dxa" w:w="3300"/>
            <w:shd w:fill="1F5C4D" w:val="clear"/>
            <w:tcMar>
              <w:top w:type="dxa" w:w="90"/>
              <w:left w:type="dxa" w:w="130"/>
              <w:bottom w:type="dxa" w:w="90"/>
              <w:right w:type="dxa" w:w="130"/>
            </w:tcMar>
          </w:tcPr>
          <w:p>
            <w:pPr>
              <w:spacing w:after="0"/>
            </w:pPr>
            <w:r/>
            <w:r>
              <w:rPr>
                <w:b/>
                <w:color w:val="FFFFFF"/>
                <w:sz w:val="19"/>
              </w:rPr>
              <w:t>What it captures</w:t>
            </w:r>
          </w:p>
        </w:tc>
        <w:tc>
          <w:tcPr>
            <w:tcW w:type="dxa" w:w="3726"/>
            <w:shd w:fill="1F5C4D" w:val="clear"/>
            <w:tcMar>
              <w:top w:type="dxa" w:w="90"/>
              <w:left w:type="dxa" w:w="130"/>
              <w:bottom w:type="dxa" w:w="90"/>
              <w:right w:type="dxa" w:w="130"/>
            </w:tcMar>
          </w:tcPr>
          <w:p>
            <w:pPr>
              <w:spacing w:after="0"/>
            </w:pPr>
            <w:r/>
            <w:r>
              <w:rPr>
                <w:b/>
                <w:color w:val="FFFFFF"/>
                <w:sz w:val="19"/>
              </w:rPr>
              <w:t>Why it is there</w:t>
            </w:r>
          </w:p>
        </w:tc>
      </w:tr>
      <w:tr>
        <w:tc>
          <w:tcPr>
            <w:tcW w:type="dxa" w:w="2000"/>
            <w:tcMar>
              <w:top w:type="dxa" w:w="90"/>
              <w:left w:type="dxa" w:w="130"/>
              <w:bottom w:type="dxa" w:w="90"/>
              <w:right w:type="dxa" w:w="130"/>
            </w:tcMar>
          </w:tcPr>
          <w:p>
            <w:pPr>
              <w:spacing w:after="0"/>
            </w:pPr>
            <w:r/>
            <w:r>
              <w:rPr>
                <w:b w:val="0"/>
                <w:sz w:val="19"/>
              </w:rPr>
              <w:t>Content depth</w:t>
            </w:r>
          </w:p>
        </w:tc>
        <w:tc>
          <w:tcPr>
            <w:tcW w:type="dxa" w:w="3300"/>
            <w:tcMar>
              <w:top w:type="dxa" w:w="90"/>
              <w:left w:type="dxa" w:w="130"/>
              <w:bottom w:type="dxa" w:w="90"/>
              <w:right w:type="dxa" w:w="130"/>
            </w:tcMar>
          </w:tcPr>
          <w:p>
            <w:pPr>
              <w:spacing w:after="0"/>
            </w:pPr>
            <w:r/>
            <w:r>
              <w:rPr>
                <w:b w:val="0"/>
                <w:sz w:val="19"/>
              </w:rPr>
              <w:t>How much substantive text the object contains</w:t>
            </w:r>
          </w:p>
        </w:tc>
        <w:tc>
          <w:tcPr>
            <w:tcW w:type="dxa" w:w="3726"/>
            <w:tcMar>
              <w:top w:type="dxa" w:w="90"/>
              <w:left w:type="dxa" w:w="130"/>
              <w:bottom w:type="dxa" w:w="90"/>
              <w:right w:type="dxa" w:w="130"/>
            </w:tcMar>
          </w:tcPr>
          <w:p>
            <w:pPr>
              <w:spacing w:after="0"/>
            </w:pPr>
            <w:r/>
            <w:r>
              <w:rPr>
                <w:b w:val="0"/>
                <w:sz w:val="19"/>
              </w:rPr>
              <w:t>Reviewers consistently preferred longer, more developed documents</w:t>
            </w:r>
          </w:p>
        </w:tc>
      </w:tr>
      <w:tr>
        <w:tc>
          <w:tcPr>
            <w:tcW w:type="dxa" w:w="2000"/>
            <w:tcMar>
              <w:top w:type="dxa" w:w="90"/>
              <w:left w:type="dxa" w:w="130"/>
              <w:bottom w:type="dxa" w:w="90"/>
              <w:right w:type="dxa" w:w="130"/>
            </w:tcMar>
          </w:tcPr>
          <w:p>
            <w:pPr>
              <w:spacing w:after="0"/>
            </w:pPr>
            <w:r/>
            <w:r>
              <w:rPr>
                <w:b w:val="0"/>
                <w:sz w:val="19"/>
              </w:rPr>
              <w:t>Lexical variety (MTLD)</w:t>
            </w:r>
          </w:p>
        </w:tc>
        <w:tc>
          <w:tcPr>
            <w:tcW w:type="dxa" w:w="3300"/>
            <w:tcMar>
              <w:top w:type="dxa" w:w="90"/>
              <w:left w:type="dxa" w:w="130"/>
              <w:bottom w:type="dxa" w:w="90"/>
              <w:right w:type="dxa" w:w="130"/>
            </w:tcMar>
          </w:tcPr>
          <w:p>
            <w:pPr>
              <w:spacing w:after="0"/>
            </w:pPr>
            <w:r/>
            <w:r>
              <w:rPr>
                <w:b w:val="0"/>
                <w:sz w:val="19"/>
              </w:rPr>
              <w:t>How varied the vocabulary is, independent of length</w:t>
            </w:r>
          </w:p>
        </w:tc>
        <w:tc>
          <w:tcPr>
            <w:tcW w:type="dxa" w:w="3726"/>
            <w:tcMar>
              <w:top w:type="dxa" w:w="90"/>
              <w:left w:type="dxa" w:w="130"/>
              <w:bottom w:type="dxa" w:w="90"/>
              <w:right w:type="dxa" w:w="130"/>
            </w:tcMar>
          </w:tcPr>
          <w:p>
            <w:pPr>
              <w:spacing w:after="0"/>
            </w:pPr>
            <w:r/>
            <w:r>
              <w:rPr>
                <w:b w:val="0"/>
                <w:sz w:val="19"/>
              </w:rPr>
              <w:t>Distinguishes a developed document from a repetitive one</w:t>
            </w:r>
          </w:p>
        </w:tc>
      </w:tr>
      <w:tr>
        <w:tc>
          <w:tcPr>
            <w:tcW w:type="dxa" w:w="2000"/>
            <w:tcMar>
              <w:top w:type="dxa" w:w="90"/>
              <w:left w:type="dxa" w:w="130"/>
              <w:bottom w:type="dxa" w:w="90"/>
              <w:right w:type="dxa" w:w="130"/>
            </w:tcMar>
          </w:tcPr>
          <w:p>
            <w:pPr>
              <w:spacing w:after="0"/>
            </w:pPr>
            <w:r/>
            <w:r>
              <w:rPr>
                <w:b w:val="0"/>
                <w:sz w:val="19"/>
              </w:rPr>
              <w:t>Reviewer verdict from an AI model</w:t>
            </w:r>
          </w:p>
        </w:tc>
        <w:tc>
          <w:tcPr>
            <w:tcW w:type="dxa" w:w="3300"/>
            <w:tcMar>
              <w:top w:type="dxa" w:w="90"/>
              <w:left w:type="dxa" w:w="130"/>
              <w:bottom w:type="dxa" w:w="90"/>
              <w:right w:type="dxa" w:w="130"/>
            </w:tcMar>
          </w:tcPr>
          <w:p>
            <w:pPr>
              <w:spacing w:after="0"/>
            </w:pPr>
            <w:r/>
            <w:r>
              <w:rPr>
                <w:b w:val="0"/>
                <w:sz w:val="19"/>
              </w:rPr>
              <w:t>An overall judgement against the same review form humans used</w:t>
            </w:r>
          </w:p>
        </w:tc>
        <w:tc>
          <w:tcPr>
            <w:tcW w:type="dxa" w:w="3726"/>
            <w:tcMar>
              <w:top w:type="dxa" w:w="90"/>
              <w:left w:type="dxa" w:w="130"/>
              <w:bottom w:type="dxa" w:w="90"/>
              <w:right w:type="dxa" w:w="130"/>
            </w:tcMar>
          </w:tcPr>
          <w:p>
            <w:pPr>
              <w:spacing w:after="0"/>
            </w:pPr>
            <w:r/>
            <w:r>
              <w:rPr>
                <w:b w:val="0"/>
                <w:sz w:val="19"/>
              </w:rPr>
              <w:t>Agrees with reviewers as closely as reviewers agree with each other</w:t>
            </w:r>
          </w:p>
        </w:tc>
      </w:tr>
    </w:tbl>
    <w:p>
      <w:pPr>
        <w:spacing w:after="120" w:before="0"/>
      </w:pPr>
    </w:p>
    <w:p>
      <w:pPr>
        <w:pStyle w:val="Heading2"/>
        <w:spacing w:before="220" w:after="80"/>
      </w:pPr>
      <w:r>
        <w:rPr>
          <w:b/>
          <w:color w:val="1F5C4D"/>
          <w:sz w:val="24"/>
        </w:rPr>
        <w:t>How the inputs were chosen</w:t>
      </w:r>
    </w:p>
    <w:p>
      <w:pPr>
        <w:spacing w:after="120" w:before="0"/>
      </w:pPr>
      <w:r>
        <w:rPr>
          <w:b w:val="0"/>
          <w:i w:val="0"/>
          <w:sz w:val="21"/>
        </w:rPr>
        <w:t>Sixteen measurements from the old design were tested. Eleven had no relationship with reviewer judgement at all. One ran backwards. The rest were dominated by the two kept above. Two specific corrections are worth recording, because they are easy to reintroduce by accident:</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2500"/>
        <w:gridCol w:w="3400"/>
        <w:gridCol w:w="3126"/>
      </w:tblGrid>
      <w:tr>
        <w:trPr>
          <w:tblHeader w:val="true"/>
        </w:trPr>
        <w:tc>
          <w:tcPr>
            <w:tcW w:type="dxa" w:w="2500"/>
            <w:shd w:fill="1F5C4D" w:val="clear"/>
            <w:tcMar>
              <w:top w:type="dxa" w:w="90"/>
              <w:left w:type="dxa" w:w="130"/>
              <w:bottom w:type="dxa" w:w="90"/>
              <w:right w:type="dxa" w:w="130"/>
            </w:tcMar>
          </w:tcPr>
          <w:p>
            <w:pPr>
              <w:spacing w:after="0"/>
            </w:pPr>
            <w:r/>
            <w:r>
              <w:rPr>
                <w:b/>
                <w:color w:val="FFFFFF"/>
                <w:sz w:val="19"/>
              </w:rPr>
              <w:t>What was wrong</w:t>
            </w:r>
          </w:p>
        </w:tc>
        <w:tc>
          <w:tcPr>
            <w:tcW w:type="dxa" w:w="3400"/>
            <w:shd w:fill="1F5C4D" w:val="clear"/>
            <w:tcMar>
              <w:top w:type="dxa" w:w="90"/>
              <w:left w:type="dxa" w:w="130"/>
              <w:bottom w:type="dxa" w:w="90"/>
              <w:right w:type="dxa" w:w="130"/>
            </w:tcMar>
          </w:tcPr>
          <w:p>
            <w:pPr>
              <w:spacing w:after="0"/>
            </w:pPr>
            <w:r/>
            <w:r>
              <w:rPr>
                <w:b/>
                <w:color w:val="FFFFFF"/>
                <w:sz w:val="19"/>
              </w:rPr>
              <w:t>The effect</w:t>
            </w:r>
          </w:p>
        </w:tc>
        <w:tc>
          <w:tcPr>
            <w:tcW w:type="dxa" w:w="3126"/>
            <w:shd w:fill="1F5C4D" w:val="clear"/>
            <w:tcMar>
              <w:top w:type="dxa" w:w="90"/>
              <w:left w:type="dxa" w:w="130"/>
              <w:bottom w:type="dxa" w:w="90"/>
              <w:right w:type="dxa" w:w="130"/>
            </w:tcMar>
          </w:tcPr>
          <w:p>
            <w:pPr>
              <w:spacing w:after="0"/>
            </w:pPr>
            <w:r/>
            <w:r>
              <w:rPr>
                <w:b/>
                <w:color w:val="FFFFFF"/>
                <w:sz w:val="19"/>
              </w:rPr>
              <w:t>What replaced it</w:t>
            </w:r>
          </w:p>
        </w:tc>
      </w:tr>
      <w:tr>
        <w:tc>
          <w:tcPr>
            <w:tcW w:type="dxa" w:w="2500"/>
            <w:tcMar>
              <w:top w:type="dxa" w:w="90"/>
              <w:left w:type="dxa" w:w="130"/>
              <w:bottom w:type="dxa" w:w="90"/>
              <w:right w:type="dxa" w:w="130"/>
            </w:tcMar>
          </w:tcPr>
          <w:p>
            <w:pPr>
              <w:spacing w:after="0"/>
            </w:pPr>
            <w:r/>
            <w:r>
              <w:rPr>
                <w:b w:val="0"/>
                <w:sz w:val="19"/>
              </w:rPr>
              <w:t>Vocabulary variety measured as a type-token ratio</w:t>
            </w:r>
          </w:p>
        </w:tc>
        <w:tc>
          <w:tcPr>
            <w:tcW w:type="dxa" w:w="3400"/>
            <w:tcMar>
              <w:top w:type="dxa" w:w="90"/>
              <w:left w:type="dxa" w:w="130"/>
              <w:bottom w:type="dxa" w:w="90"/>
              <w:right w:type="dxa" w:w="130"/>
            </w:tcMar>
          </w:tcPr>
          <w:p>
            <w:pPr>
              <w:spacing w:after="0"/>
            </w:pPr>
            <w:r/>
            <w:r>
              <w:rPr>
                <w:b w:val="0"/>
                <w:sz w:val="19"/>
              </w:rPr>
              <w:t>Falls automatically as documents get longer, so 93.7% of the corpus scored full marks and failed extractions scored best</w:t>
            </w:r>
          </w:p>
        </w:tc>
        <w:tc>
          <w:tcPr>
            <w:tcW w:type="dxa" w:w="3126"/>
            <w:tcMar>
              <w:top w:type="dxa" w:w="90"/>
              <w:left w:type="dxa" w:w="130"/>
              <w:bottom w:type="dxa" w:w="90"/>
              <w:right w:type="dxa" w:w="130"/>
            </w:tcMar>
          </w:tcPr>
          <w:p>
            <w:pPr>
              <w:spacing w:after="0"/>
            </w:pPr>
            <w:r/>
            <w:r>
              <w:rPr>
                <w:b w:val="0"/>
                <w:sz w:val="19"/>
              </w:rPr>
              <w:t>MTLD, which does not vary with length: agreement with reviewers moved from −0.29 to +0.47</w:t>
            </w:r>
          </w:p>
        </w:tc>
      </w:tr>
      <w:tr>
        <w:tc>
          <w:tcPr>
            <w:tcW w:type="dxa" w:w="2500"/>
            <w:tcMar>
              <w:top w:type="dxa" w:w="90"/>
              <w:left w:type="dxa" w:w="130"/>
              <w:bottom w:type="dxa" w:w="90"/>
              <w:right w:type="dxa" w:w="130"/>
            </w:tcMar>
          </w:tcPr>
          <w:p>
            <w:pPr>
              <w:spacing w:after="0"/>
            </w:pPr>
            <w:r/>
            <w:r>
              <w:rPr>
                <w:b w:val="0"/>
                <w:sz w:val="19"/>
              </w:rPr>
              <w:t>Content length sorted into bands, with a penalty above 6,000 words</w:t>
            </w:r>
          </w:p>
        </w:tc>
        <w:tc>
          <w:tcPr>
            <w:tcW w:type="dxa" w:w="3400"/>
            <w:tcMar>
              <w:top w:type="dxa" w:w="90"/>
              <w:left w:type="dxa" w:w="130"/>
              <w:bottom w:type="dxa" w:w="90"/>
              <w:right w:type="dxa" w:w="130"/>
            </w:tcMar>
          </w:tcPr>
          <w:p>
            <w:pPr>
              <w:spacing w:after="0"/>
            </w:pPr>
            <w:r/>
            <w:r>
              <w:rPr>
                <w:b w:val="0"/>
                <w:sz w:val="19"/>
              </w:rPr>
              <w:t>Destroyed 53% of the signal in the strongest single measurement available, and penalised exactly the long documents reviewers preferred</w:t>
            </w:r>
          </w:p>
        </w:tc>
        <w:tc>
          <w:tcPr>
            <w:tcW w:type="dxa" w:w="3126"/>
            <w:tcMar>
              <w:top w:type="dxa" w:w="90"/>
              <w:left w:type="dxa" w:w="130"/>
              <w:bottom w:type="dxa" w:w="90"/>
              <w:right w:type="dxa" w:w="130"/>
            </w:tcMar>
          </w:tcPr>
          <w:p>
            <w:pPr>
              <w:spacing w:after="0"/>
            </w:pPr>
            <w:r/>
            <w:r>
              <w:rPr>
                <w:b w:val="0"/>
                <w:sz w:val="19"/>
              </w:rPr>
              <w:t>The measurement used directly, with no bands</w:t>
            </w:r>
          </w:p>
        </w:tc>
      </w:tr>
    </w:tbl>
    <w:p>
      <w:pPr>
        <w:spacing w:after="120" w:before="0"/>
      </w:pPr>
    </w:p>
    <w:p>
      <w:pPr>
        <w:pStyle w:val="Heading2"/>
        <w:spacing w:before="220" w:after="80"/>
      </w:pPr>
      <w:r>
        <w:rPr>
          <w:b/>
          <w:color w:val="1F5C4D"/>
          <w:sz w:val="24"/>
        </w:rPr>
        <w:t>The AI reviewer</w:t>
      </w:r>
    </w:p>
    <w:p>
      <w:pPr>
        <w:spacing w:after="120" w:before="0"/>
      </w:pPr>
      <w:r>
        <w:rPr>
          <w:b w:val="0"/>
          <w:i w:val="0"/>
          <w:sz w:val="21"/>
        </w:rPr>
        <w:t>An AI model answers the same twelve questions the human reviewers answered, read directly from the 2024 review form itself. Four different model families were tested. The best, glm-5.2, agrees with the reviewer consensus at 0.612 — higher than two human reviewers agree with each other, which is 0.558.</w:t>
      </w:r>
    </w:p>
    <w:tbl>
      <w:tblPr>
        <w:tblW w:type="dxa" w:w="9026"/>
        <w:tblBorders>
          <w:top w:val="single" w:color="D8DEDC" w:sz="2"/>
          <w:left w:val="single" w:color="1F5C4D" w:sz="18"/>
          <w:bottom w:val="single" w:color="D8DEDC" w:sz="2"/>
          <w:right w:val="single" w:color="D8DEDC" w:sz="2"/>
          <w:insideH w:val="none"/>
          <w:insideV w:val="none"/>
        </w:tblBorders>
        <w:tblLayout w:type="fixed"/>
        <w:tblLook w:firstColumn="1" w:firstRow="1" w:lastColumn="0" w:lastRow="0" w:noHBand="0" w:noVBand="1" w:val="04A0"/>
      </w:tblPr>
      <w:tblGrid>
        <w:gridCol w:w="9026"/>
      </w:tblGrid>
      <w:tr>
        <w:tc>
          <w:tcPr>
            <w:tcW w:type="dxa" w:w="9026"/>
            <w:tcMar>
              <w:top w:type="dxa" w:w="140"/>
              <w:left w:type="dxa" w:w="200"/>
              <w:bottom w:type="dxa" w:w="140"/>
              <w:right w:type="dxa" w:w="200"/>
            </w:tcMar>
          </w:tcPr>
          <w:p>
            <w:pPr>
              <w:spacing w:after="60"/>
            </w:pPr>
            <w:r/>
            <w:r>
              <w:rPr>
                <w:b/>
                <w:color w:val="1F5C4D"/>
                <w:sz w:val="21"/>
              </w:rPr>
              <w:t>One AI reviewer, not several</w:t>
            </w:r>
          </w:p>
          <w:p>
            <w:pPr>
              <w:spacing w:after="0"/>
            </w:pPr>
            <w:r>
              <w:rPr>
                <w:sz w:val="21"/>
              </w:rPr>
              <w:t>Using more than one model makes the score worse, not better: one gives 0.638, two 0.620, all four 0.600. The families agree with each other at 0.61 to 0.71, so they largely share their opinions; adding more of them costs complexity without adding information. The score also works without any AI model at all, using the other two inputs, at a lower but still useful level of agreement.</w:t>
            </w:r>
          </w:p>
        </w:tc>
      </w:tr>
    </w:tbl>
    <w:p>
      <w:pPr>
        <w:spacing w:after="120" w:before="0"/>
      </w:pPr>
    </w:p>
    <w:p>
      <w:pPr>
        <w:pStyle w:val="Heading1"/>
        <w:spacing w:before="320" w:after="120"/>
      </w:pPr>
      <w:r>
        <w:rPr>
          <w:b/>
          <w:color w:val="1F5C4D"/>
          <w:sz w:val="30"/>
        </w:rPr>
        <w:t>7. Stage 3 — Diagnostics</w:t>
      </w:r>
    </w:p>
    <w:p>
      <w:pPr>
        <w:spacing w:after="120" w:before="0"/>
      </w:pPr>
      <w:r>
        <w:rPr>
          <w:b w:val="0"/>
          <w:i w:val="0"/>
          <w:sz w:val="21"/>
        </w:rPr>
        <w:t>Everything measured but not scored is reported here. That is most of what the old assessor computed, and the wording is deliberately careful about it.</w:t>
      </w:r>
    </w:p>
    <w:p>
      <w:pPr>
        <w:spacing w:after="120" w:before="0"/>
      </w:pPr>
      <w:r>
        <w:rPr>
          <w:b w:val="0"/>
          <w:i w:val="0"/>
          <w:sz w:val="21"/>
        </w:rPr>
        <w:t>Measured against reviewer judgement, noise scored −0.148, clarity −0.137, usefulness −0.048 and metadata consistency −0.009. None of them predicts whether a reviewer rates a knowledge object well. Calling a document 'noisy' on that evidence would assert something we cannot support — the old noise measure was largely a length measure in disguise.</w:t>
      </w:r>
    </w:p>
    <w:p>
      <w:pPr>
        <w:spacing w:after="120" w:before="0"/>
      </w:pPr>
      <w:r>
        <w:rPr>
          <w:b w:val="0"/>
          <w:i w:val="0"/>
          <w:sz w:val="21"/>
        </w:rPr>
        <w:t>So diagnostics report that a value is unusual for this corpus, not that it is wrong, with the corpus median alongside it. Each report carries the number of flags expected by chance, so a count can be read properly: with 57 measurements and a 1-in-100 tail at each end, one or two flags per object are expected and mean nothing.</w:t>
      </w:r>
    </w:p>
    <w:p>
      <w:pPr>
        <w:spacing w:after="120" w:before="0"/>
      </w:pPr>
      <w:r>
        <w:rPr>
          <w:b w:val="0"/>
          <w:i w:val="0"/>
          <w:sz w:val="21"/>
        </w:rPr>
        <w:t>Two things are reported as genuine problems, because they are not opinions about quality: text that failed to extract, and failed compliance obligations.</w:t>
      </w:r>
    </w:p>
    <w:p>
      <w:pPr>
        <w:spacing w:after="120" w:before="0"/>
      </w:pPr>
      <w:r>
        <w:rPr>
          <w:b w:val="0"/>
          <w:i w:val="0"/>
          <w:sz w:val="21"/>
        </w:rPr>
        <w:t>Where an AI reviewer has run, its written justifications supply the plain-language explanation — for instance that a document is a single unstructured block of text, or that technical terms are used without explanation. The statistics say what is unusual; the AI reviewer says what a reader would notice.</w:t>
      </w:r>
    </w:p>
    <w:p>
      <w:pPr>
        <w:pStyle w:val="Heading1"/>
        <w:spacing w:before="320" w:after="120"/>
      </w:pPr>
      <w:r>
        <w:rPr>
          <w:b/>
          <w:color w:val="1F5C4D"/>
          <w:sz w:val="30"/>
        </w:rPr>
        <w:t>8. How good is the score, honestly?</w:t>
      </w:r>
    </w:p>
    <w:p>
      <w:pPr>
        <w:spacing w:after="120" w:before="0"/>
      </w:pPr>
      <w:r>
        <w:rPr>
          <w:b w:val="0"/>
          <w:i w:val="0"/>
          <w:sz w:val="21"/>
        </w:rPr>
        <w:t>Two reviewers looking at the same knowledge object agree with each other at 0.558. That sets a ceiling: no automatic scorer can agree with 'the reviewers' more closely than the reviewers agree among themselves. The ceiling works out at 0.847.</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3900"/>
        <w:gridCol w:w="2600"/>
        <w:gridCol w:w="2526"/>
      </w:tblGrid>
      <w:tr>
        <w:trPr>
          <w:tblHeader w:val="true"/>
        </w:trPr>
        <w:tc>
          <w:tcPr>
            <w:tcW w:type="dxa" w:w="3900"/>
            <w:shd w:fill="1F5C4D" w:val="clear"/>
            <w:tcMar>
              <w:top w:type="dxa" w:w="90"/>
              <w:left w:type="dxa" w:w="130"/>
              <w:bottom w:type="dxa" w:w="90"/>
              <w:right w:type="dxa" w:w="130"/>
            </w:tcMar>
          </w:tcPr>
          <w:p>
            <w:pPr>
              <w:spacing w:after="0"/>
            </w:pPr>
            <w:r/>
            <w:r>
              <w:rPr>
                <w:b/>
                <w:color w:val="FFFFFF"/>
                <w:sz w:val="19"/>
              </w:rPr>
              <w:t>Scorer</w:t>
            </w:r>
          </w:p>
        </w:tc>
        <w:tc>
          <w:tcPr>
            <w:tcW w:type="dxa" w:w="2600"/>
            <w:shd w:fill="1F5C4D" w:val="clear"/>
            <w:tcMar>
              <w:top w:type="dxa" w:w="90"/>
              <w:left w:type="dxa" w:w="130"/>
              <w:bottom w:type="dxa" w:w="90"/>
              <w:right w:type="dxa" w:w="130"/>
            </w:tcMar>
          </w:tcPr>
          <w:p>
            <w:pPr>
              <w:spacing w:after="0"/>
            </w:pPr>
            <w:r/>
            <w:r>
              <w:rPr>
                <w:b/>
                <w:color w:val="FFFFFF"/>
                <w:sz w:val="19"/>
              </w:rPr>
              <w:t>Agreement with reviewers</w:t>
            </w:r>
          </w:p>
        </w:tc>
        <w:tc>
          <w:tcPr>
            <w:tcW w:type="dxa" w:w="2526"/>
            <w:shd w:fill="1F5C4D" w:val="clear"/>
            <w:tcMar>
              <w:top w:type="dxa" w:w="90"/>
              <w:left w:type="dxa" w:w="130"/>
              <w:bottom w:type="dxa" w:w="90"/>
              <w:right w:type="dxa" w:w="130"/>
            </w:tcMar>
          </w:tcPr>
          <w:p>
            <w:pPr>
              <w:spacing w:after="0"/>
            </w:pPr>
            <w:r/>
            <w:r>
              <w:rPr>
                <w:b/>
                <w:color w:val="FFFFFF"/>
                <w:sz w:val="19"/>
              </w:rPr>
              <w:t>Share of what is reachable</w:t>
            </w:r>
          </w:p>
        </w:tc>
      </w:tr>
      <w:tr>
        <w:tc>
          <w:tcPr>
            <w:tcW w:type="dxa" w:w="3900"/>
            <w:tcMar>
              <w:top w:type="dxa" w:w="90"/>
              <w:left w:type="dxa" w:w="130"/>
              <w:bottom w:type="dxa" w:w="90"/>
              <w:right w:type="dxa" w:w="130"/>
            </w:tcMar>
          </w:tcPr>
          <w:p>
            <w:pPr>
              <w:spacing w:after="0"/>
            </w:pPr>
            <w:r/>
            <w:r>
              <w:rPr>
                <w:b w:val="0"/>
                <w:sz w:val="19"/>
              </w:rPr>
              <w:t>Old four-pillar total</w:t>
            </w:r>
          </w:p>
        </w:tc>
        <w:tc>
          <w:tcPr>
            <w:tcW w:type="dxa" w:w="2600"/>
            <w:tcMar>
              <w:top w:type="dxa" w:w="90"/>
              <w:left w:type="dxa" w:w="130"/>
              <w:bottom w:type="dxa" w:w="90"/>
              <w:right w:type="dxa" w:w="130"/>
            </w:tcMar>
          </w:tcPr>
          <w:p>
            <w:pPr>
              <w:spacing w:after="0"/>
            </w:pPr>
            <w:r/>
            <w:r>
              <w:rPr>
                <w:b w:val="0"/>
                <w:sz w:val="19"/>
              </w:rPr>
              <w:t>0.174</w:t>
            </w:r>
          </w:p>
        </w:tc>
        <w:tc>
          <w:tcPr>
            <w:tcW w:type="dxa" w:w="2526"/>
            <w:tcMar>
              <w:top w:type="dxa" w:w="90"/>
              <w:left w:type="dxa" w:w="130"/>
              <w:bottom w:type="dxa" w:w="90"/>
              <w:right w:type="dxa" w:w="130"/>
            </w:tcMar>
          </w:tcPr>
          <w:p>
            <w:pPr>
              <w:spacing w:after="0"/>
            </w:pPr>
            <w:r/>
            <w:r>
              <w:rPr>
                <w:b w:val="0"/>
                <w:sz w:val="19"/>
              </w:rPr>
              <w:t>21%</w:t>
            </w:r>
          </w:p>
        </w:tc>
      </w:tr>
      <w:tr>
        <w:tc>
          <w:tcPr>
            <w:tcW w:type="dxa" w:w="3900"/>
            <w:tcMar>
              <w:top w:type="dxa" w:w="90"/>
              <w:left w:type="dxa" w:w="130"/>
              <w:bottom w:type="dxa" w:w="90"/>
              <w:right w:type="dxa" w:w="130"/>
            </w:tcMar>
          </w:tcPr>
          <w:p>
            <w:pPr>
              <w:spacing w:after="0"/>
            </w:pPr>
            <w:r/>
            <w:r>
              <w:rPr>
                <w:b w:val="0"/>
                <w:sz w:val="19"/>
              </w:rPr>
              <w:t>Old four pillars, best possible weighting</w:t>
            </w:r>
          </w:p>
        </w:tc>
        <w:tc>
          <w:tcPr>
            <w:tcW w:type="dxa" w:w="2600"/>
            <w:tcMar>
              <w:top w:type="dxa" w:w="90"/>
              <w:left w:type="dxa" w:w="130"/>
              <w:bottom w:type="dxa" w:w="90"/>
              <w:right w:type="dxa" w:w="130"/>
            </w:tcMar>
          </w:tcPr>
          <w:p>
            <w:pPr>
              <w:spacing w:after="0"/>
            </w:pPr>
            <w:r/>
            <w:r>
              <w:rPr>
                <w:b w:val="0"/>
                <w:sz w:val="19"/>
              </w:rPr>
              <w:t>−0.170</w:t>
            </w:r>
          </w:p>
        </w:tc>
        <w:tc>
          <w:tcPr>
            <w:tcW w:type="dxa" w:w="2526"/>
            <w:tcMar>
              <w:top w:type="dxa" w:w="90"/>
              <w:left w:type="dxa" w:w="130"/>
              <w:bottom w:type="dxa" w:w="90"/>
              <w:right w:type="dxa" w:w="130"/>
            </w:tcMar>
          </w:tcPr>
          <w:p>
            <w:pPr>
              <w:spacing w:after="0"/>
            </w:pPr>
            <w:r/>
            <w:r>
              <w:rPr>
                <w:b w:val="0"/>
                <w:sz w:val="19"/>
              </w:rPr>
              <w:t>below chance</w:t>
            </w:r>
          </w:p>
        </w:tc>
      </w:tr>
      <w:tr>
        <w:tc>
          <w:tcPr>
            <w:tcW w:type="dxa" w:w="3900"/>
            <w:tcMar>
              <w:top w:type="dxa" w:w="90"/>
              <w:left w:type="dxa" w:w="130"/>
              <w:bottom w:type="dxa" w:w="90"/>
              <w:right w:type="dxa" w:w="130"/>
            </w:tcMar>
          </w:tcPr>
          <w:p>
            <w:pPr>
              <w:spacing w:after="0"/>
            </w:pPr>
            <w:r/>
            <w:r>
              <w:rPr>
                <w:b w:val="0"/>
                <w:sz w:val="19"/>
              </w:rPr>
              <w:t>Content depth + lexical variety</w:t>
            </w:r>
          </w:p>
        </w:tc>
        <w:tc>
          <w:tcPr>
            <w:tcW w:type="dxa" w:w="2600"/>
            <w:tcMar>
              <w:top w:type="dxa" w:w="90"/>
              <w:left w:type="dxa" w:w="130"/>
              <w:bottom w:type="dxa" w:w="90"/>
              <w:right w:type="dxa" w:w="130"/>
            </w:tcMar>
          </w:tcPr>
          <w:p>
            <w:pPr>
              <w:spacing w:after="0"/>
            </w:pPr>
            <w:r/>
            <w:r>
              <w:rPr>
                <w:b w:val="0"/>
                <w:sz w:val="19"/>
              </w:rPr>
              <w:t>0.535</w:t>
            </w:r>
          </w:p>
        </w:tc>
        <w:tc>
          <w:tcPr>
            <w:tcW w:type="dxa" w:w="2526"/>
            <w:tcMar>
              <w:top w:type="dxa" w:w="90"/>
              <w:left w:type="dxa" w:w="130"/>
              <w:bottom w:type="dxa" w:w="90"/>
              <w:right w:type="dxa" w:w="130"/>
            </w:tcMar>
          </w:tcPr>
          <w:p>
            <w:pPr>
              <w:spacing w:after="0"/>
            </w:pPr>
            <w:r/>
            <w:r>
              <w:rPr>
                <w:b w:val="0"/>
                <w:sz w:val="19"/>
              </w:rPr>
              <w:t>63%</w:t>
            </w:r>
          </w:p>
        </w:tc>
      </w:tr>
      <w:tr>
        <w:tc>
          <w:tcPr>
            <w:tcW w:type="dxa" w:w="3900"/>
            <w:tcMar>
              <w:top w:type="dxa" w:w="90"/>
              <w:left w:type="dxa" w:w="130"/>
              <w:bottom w:type="dxa" w:w="90"/>
              <w:right w:type="dxa" w:w="130"/>
            </w:tcMar>
          </w:tcPr>
          <w:p>
            <w:pPr>
              <w:spacing w:after="0"/>
            </w:pPr>
            <w:r/>
            <w:r>
              <w:rPr>
                <w:b w:val="0"/>
                <w:sz w:val="19"/>
              </w:rPr>
              <w:t>The current score, with AI reviewer</w:t>
            </w:r>
          </w:p>
        </w:tc>
        <w:tc>
          <w:tcPr>
            <w:tcW w:type="dxa" w:w="2600"/>
            <w:tcMar>
              <w:top w:type="dxa" w:w="90"/>
              <w:left w:type="dxa" w:w="130"/>
              <w:bottom w:type="dxa" w:w="90"/>
              <w:right w:type="dxa" w:w="130"/>
            </w:tcMar>
          </w:tcPr>
          <w:p>
            <w:pPr>
              <w:spacing w:after="0"/>
            </w:pPr>
            <w:r/>
            <w:r>
              <w:rPr>
                <w:b w:val="0"/>
                <w:sz w:val="19"/>
              </w:rPr>
              <w:t>0.610</w:t>
            </w:r>
          </w:p>
        </w:tc>
        <w:tc>
          <w:tcPr>
            <w:tcW w:type="dxa" w:w="2526"/>
            <w:tcMar>
              <w:top w:type="dxa" w:w="90"/>
              <w:left w:type="dxa" w:w="130"/>
              <w:bottom w:type="dxa" w:w="90"/>
              <w:right w:type="dxa" w:w="130"/>
            </w:tcMar>
          </w:tcPr>
          <w:p>
            <w:pPr>
              <w:spacing w:after="0"/>
            </w:pPr>
            <w:r/>
            <w:r>
              <w:rPr>
                <w:b w:val="0"/>
                <w:sz w:val="19"/>
              </w:rPr>
              <w:t>72%</w:t>
            </w:r>
          </w:p>
        </w:tc>
      </w:tr>
      <w:tr>
        <w:tc>
          <w:tcPr>
            <w:tcW w:type="dxa" w:w="3900"/>
            <w:tcMar>
              <w:top w:type="dxa" w:w="90"/>
              <w:left w:type="dxa" w:w="130"/>
              <w:bottom w:type="dxa" w:w="90"/>
              <w:right w:type="dxa" w:w="130"/>
            </w:tcMar>
          </w:tcPr>
          <w:p>
            <w:pPr>
              <w:spacing w:after="0"/>
            </w:pPr>
            <w:r/>
            <w:r>
              <w:rPr>
                <w:b w:val="0"/>
                <w:sz w:val="19"/>
              </w:rPr>
              <w:t>A human reviewer against another human reviewer</w:t>
            </w:r>
          </w:p>
        </w:tc>
        <w:tc>
          <w:tcPr>
            <w:tcW w:type="dxa" w:w="2600"/>
            <w:tcMar>
              <w:top w:type="dxa" w:w="90"/>
              <w:left w:type="dxa" w:w="130"/>
              <w:bottom w:type="dxa" w:w="90"/>
              <w:right w:type="dxa" w:w="130"/>
            </w:tcMar>
          </w:tcPr>
          <w:p>
            <w:pPr>
              <w:spacing w:after="0"/>
            </w:pPr>
            <w:r/>
            <w:r>
              <w:rPr>
                <w:b w:val="0"/>
                <w:sz w:val="19"/>
              </w:rPr>
              <w:t>0.558</w:t>
            </w:r>
          </w:p>
        </w:tc>
        <w:tc>
          <w:tcPr>
            <w:tcW w:type="dxa" w:w="2526"/>
            <w:tcMar>
              <w:top w:type="dxa" w:w="90"/>
              <w:left w:type="dxa" w:w="130"/>
              <w:bottom w:type="dxa" w:w="90"/>
              <w:right w:type="dxa" w:w="130"/>
            </w:tcMar>
          </w:tcPr>
          <w:p>
            <w:pPr>
              <w:spacing w:after="0"/>
            </w:pPr>
            <w:r/>
            <w:r>
              <w:rPr>
                <w:b w:val="0"/>
                <w:sz w:val="19"/>
              </w:rPr>
              <w:t>—</w:t>
            </w:r>
          </w:p>
        </w:tc>
      </w:tr>
    </w:tbl>
    <w:p>
      <w:pPr>
        <w:spacing w:after="120" w:before="0"/>
      </w:pPr>
    </w:p>
    <w:tbl>
      <w:tblPr>
        <w:tblW w:type="dxa" w:w="9026"/>
        <w:tblBorders>
          <w:top w:val="single" w:color="D8DEDC" w:sz="2"/>
          <w:left w:val="single" w:color="1F5C4D" w:sz="18"/>
          <w:bottom w:val="single" w:color="D8DEDC" w:sz="2"/>
          <w:right w:val="single" w:color="D8DEDC" w:sz="2"/>
          <w:insideH w:val="none"/>
          <w:insideV w:val="none"/>
        </w:tblBorders>
        <w:tblLayout w:type="fixed"/>
        <w:tblLook w:firstColumn="1" w:firstRow="1" w:lastColumn="0" w:lastRow="0" w:noHBand="0" w:noVBand="1" w:val="04A0"/>
      </w:tblPr>
      <w:tblGrid>
        <w:gridCol w:w="9026"/>
      </w:tblGrid>
      <w:tr>
        <w:tc>
          <w:tcPr>
            <w:tcW w:type="dxa" w:w="9026"/>
            <w:tcMar>
              <w:top w:type="dxa" w:w="140"/>
              <w:left w:type="dxa" w:w="200"/>
              <w:bottom w:type="dxa" w:w="140"/>
              <w:right w:type="dxa" w:w="200"/>
            </w:tcMar>
          </w:tcPr>
          <w:p>
            <w:pPr>
              <w:spacing w:after="60"/>
            </w:pPr>
            <w:r/>
            <w:r>
              <w:rPr>
                <w:b/>
                <w:color w:val="1F5C4D"/>
                <w:sz w:val="21"/>
              </w:rPr>
              <w:t>What the score is, and is not</w:t>
            </w:r>
          </w:p>
          <w:p>
            <w:pPr>
              <w:spacing w:after="0"/>
            </w:pPr>
            <w:r>
              <w:rPr>
                <w:sz w:val="21"/>
              </w:rPr>
              <w:t>It is a calibrated estimate of how a reviewer would rate this knowledge object, reaching about 72 percent of what is achievable against a noisy human standard. It is not a measurement of truth, accuracy or usefulness in the field. A score of 70 does not mean the advice is correct; it means reviewers would probably rate the object well.</w:t>
            </w:r>
          </w:p>
        </w:tc>
      </w:tr>
    </w:tbl>
    <w:p>
      <w:pPr>
        <w:spacing w:after="120" w:before="0"/>
      </w:pPr>
    </w:p>
    <w:p>
      <w:pPr>
        <w:spacing w:after="120" w:before="0"/>
      </w:pPr>
      <w:r>
        <w:rPr>
          <w:b w:val="0"/>
          <w:i w:val="0"/>
          <w:sz w:val="21"/>
        </w:rPr>
        <w:t>The fitted model was trained on 91 knowledge objects — the overlap between the 2024 review and the current export. That is a small sample, and the three inputs were chosen after examining that same sample, so the score should be treated as provisional until it holds up on a fresh batch of human review. Cross-validation protects the weights; it does not protect the choice of inputs.</w:t>
      </w:r>
    </w:p>
    <w:p>
      <w:pPr>
        <w:spacing w:after="120" w:before="0"/>
      </w:pPr>
      <w:r>
        <w:rPr>
          <w:b w:val="0"/>
          <w:i w:val="0"/>
          <w:sz w:val="21"/>
        </w:rPr>
        <w:t>The AI reviewer's verdict carries most of the weight in the fitted model — about 0.59 of the total against 0.18 for content depth and 0.16 for lexical variety. That is what the evidence supports, but it means the number is substantially an AI judgement anchored by two text statistics, rather than a statistic in its own right.</w:t>
      </w:r>
    </w:p>
    <w:p>
      <w:pPr>
        <w:pStyle w:val="Heading1"/>
        <w:spacing w:before="320" w:after="120"/>
      </w:pPr>
      <w:r>
        <w:rPr>
          <w:b/>
          <w:color w:val="1F5C4D"/>
          <w:sz w:val="30"/>
        </w:rPr>
        <w:t>9. What this pipeline does not measure</w:t>
      </w:r>
    </w:p>
    <w:p>
      <w:pPr>
        <w:pStyle w:val="ListParagraph"/>
        <w:spacing w:after="60"/>
        <w:ind w:left="360"/>
      </w:pPr>
      <w:r>
        <w:rPr>
          <w:sz w:val="21"/>
        </w:rPr>
        <w:t>•   Factual accuracy. Nothing here checks whether the advice in a knowledge object is correct. The AI reviewer checks whether the metadata matches the content, which is a different question.</w:t>
      </w:r>
    </w:p>
    <w:p>
      <w:pPr>
        <w:pStyle w:val="ListParagraph"/>
        <w:spacing w:after="60"/>
        <w:ind w:left="360"/>
      </w:pPr>
      <w:r>
        <w:rPr>
          <w:sz w:val="21"/>
        </w:rPr>
        <w:t>•   Retrieval performance. A retrieval-readiness figure is reported but explicitly marked unvalidated: it has never been checked against whether knowledge objects are actually found in search. Doing that means joining against the search logs.</w:t>
      </w:r>
    </w:p>
    <w:p>
      <w:pPr>
        <w:pStyle w:val="ListParagraph"/>
        <w:spacing w:after="60"/>
        <w:ind w:left="360"/>
      </w:pPr>
      <w:r>
        <w:rPr>
          <w:sz w:val="21"/>
        </w:rPr>
        <w:t>•   The five other review dimensions. Findability, clarity, comprehensibility, usability and credibility were all collected in 2024, but reviewers agreed with each other on them at only 0.14 to 0.34. A target that unreliable cannot support a validated score, so only the overall recommendation is used.</w:t>
      </w:r>
    </w:p>
    <w:p>
      <w:pPr>
        <w:pStyle w:val="Heading1"/>
        <w:spacing w:before="320" w:after="120"/>
      </w:pPr>
      <w:r>
        <w:rPr>
          <w:b/>
          <w:color w:val="1F5C4D"/>
          <w:sz w:val="30"/>
        </w:rPr>
        <w:t>10. Using it</w:t>
      </w:r>
    </w:p>
    <w:p>
      <w:pPr>
        <w:spacing w:after="120" w:before="0"/>
      </w:pPr>
      <w:r>
        <w:rPr>
          <w:b w:val="0"/>
          <w:i w:val="0"/>
          <w:sz w:val="21"/>
        </w:rPr>
        <w:t>Run everything from inside the assess_ko_quality folder.</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4300"/>
        <w:gridCol w:w="4726"/>
      </w:tblGrid>
      <w:tr>
        <w:trPr>
          <w:tblHeader w:val="true"/>
        </w:trPr>
        <w:tc>
          <w:tcPr>
            <w:tcW w:type="dxa" w:w="4300"/>
            <w:shd w:fill="1F5C4D" w:val="clear"/>
            <w:tcMar>
              <w:top w:type="dxa" w:w="90"/>
              <w:left w:type="dxa" w:w="130"/>
              <w:bottom w:type="dxa" w:w="90"/>
              <w:right w:type="dxa" w:w="130"/>
            </w:tcMar>
          </w:tcPr>
          <w:p>
            <w:pPr>
              <w:spacing w:after="0"/>
            </w:pPr>
            <w:r/>
            <w:r>
              <w:rPr>
                <w:b/>
                <w:color w:val="FFFFFF"/>
                <w:sz w:val="19"/>
              </w:rPr>
              <w:t>Command</w:t>
            </w:r>
          </w:p>
        </w:tc>
        <w:tc>
          <w:tcPr>
            <w:tcW w:type="dxa" w:w="4726"/>
            <w:shd w:fill="1F5C4D" w:val="clear"/>
            <w:tcMar>
              <w:top w:type="dxa" w:w="90"/>
              <w:left w:type="dxa" w:w="130"/>
              <w:bottom w:type="dxa" w:w="90"/>
              <w:right w:type="dxa" w:w="130"/>
            </w:tcMar>
          </w:tcPr>
          <w:p>
            <w:pPr>
              <w:spacing w:after="0"/>
            </w:pPr>
            <w:r/>
            <w:r>
              <w:rPr>
                <w:b/>
                <w:color w:val="FFFFFF"/>
                <w:sz w:val="19"/>
              </w:rPr>
              <w:t>What it does</w:t>
            </w:r>
          </w:p>
        </w:tc>
      </w:tr>
      <w:tr>
        <w:tc>
          <w:tcPr>
            <w:tcW w:type="dxa" w:w="4300"/>
            <w:tcMar>
              <w:top w:type="dxa" w:w="90"/>
              <w:left w:type="dxa" w:w="130"/>
              <w:bottom w:type="dxa" w:w="90"/>
              <w:right w:type="dxa" w:w="130"/>
            </w:tcMar>
          </w:tcPr>
          <w:p>
            <w:pPr>
              <w:spacing w:after="0"/>
            </w:pPr>
            <w:r/>
            <w:r>
              <w:rPr>
                <w:b w:val="0"/>
                <w:sz w:val="19"/>
              </w:rPr>
              <w:t>python pipeline.py --input input/kos.json</w:t>
            </w:r>
          </w:p>
        </w:tc>
        <w:tc>
          <w:tcPr>
            <w:tcW w:type="dxa" w:w="4726"/>
            <w:tcMar>
              <w:top w:type="dxa" w:w="90"/>
              <w:left w:type="dxa" w:w="130"/>
              <w:bottom w:type="dxa" w:w="90"/>
              <w:right w:type="dxa" w:w="130"/>
            </w:tcMar>
          </w:tcPr>
          <w:p>
            <w:pPr>
              <w:spacing w:after="0"/>
            </w:pPr>
            <w:r/>
            <w:r>
              <w:rPr>
                <w:b w:val="0"/>
                <w:sz w:val="19"/>
              </w:rPr>
              <w:t>Assess a batch</w:t>
            </w:r>
          </w:p>
        </w:tc>
      </w:tr>
      <w:tr>
        <w:tc>
          <w:tcPr>
            <w:tcW w:type="dxa" w:w="4300"/>
            <w:tcMar>
              <w:top w:type="dxa" w:w="90"/>
              <w:left w:type="dxa" w:w="130"/>
              <w:bottom w:type="dxa" w:w="90"/>
              <w:right w:type="dxa" w:w="130"/>
            </w:tcMar>
          </w:tcPr>
          <w:p>
            <w:pPr>
              <w:spacing w:after="0"/>
            </w:pPr>
            <w:r/>
            <w:r>
              <w:rPr>
                <w:b w:val="0"/>
                <w:sz w:val="19"/>
              </w:rPr>
              <w:t>python pipeline.py --input ... --judge</w:t>
            </w:r>
          </w:p>
        </w:tc>
        <w:tc>
          <w:tcPr>
            <w:tcW w:type="dxa" w:w="4726"/>
            <w:tcMar>
              <w:top w:type="dxa" w:w="90"/>
              <w:left w:type="dxa" w:w="130"/>
              <w:bottom w:type="dxa" w:w="90"/>
              <w:right w:type="dxa" w:w="130"/>
            </w:tcMar>
          </w:tcPr>
          <w:p>
            <w:pPr>
              <w:spacing w:after="0"/>
            </w:pPr>
            <w:r/>
            <w:r>
              <w:rPr>
                <w:b w:val="0"/>
                <w:sz w:val="19"/>
              </w:rPr>
              <w:t>Add the AI reviewer</w:t>
            </w:r>
          </w:p>
        </w:tc>
      </w:tr>
      <w:tr>
        <w:tc>
          <w:tcPr>
            <w:tcW w:type="dxa" w:w="4300"/>
            <w:tcMar>
              <w:top w:type="dxa" w:w="90"/>
              <w:left w:type="dxa" w:w="130"/>
              <w:bottom w:type="dxa" w:w="90"/>
              <w:right w:type="dxa" w:w="130"/>
            </w:tcMar>
          </w:tcPr>
          <w:p>
            <w:pPr>
              <w:spacing w:after="0"/>
            </w:pPr>
            <w:r/>
            <w:r>
              <w:rPr>
                <w:b w:val="0"/>
                <w:sz w:val="19"/>
              </w:rPr>
              <w:t>python pipeline.py --input ... --learn</w:t>
            </w:r>
          </w:p>
        </w:tc>
        <w:tc>
          <w:tcPr>
            <w:tcW w:type="dxa" w:w="4726"/>
            <w:tcMar>
              <w:top w:type="dxa" w:w="90"/>
              <w:left w:type="dxa" w:w="130"/>
              <w:bottom w:type="dxa" w:w="90"/>
              <w:right w:type="dxa" w:w="130"/>
            </w:tcMar>
          </w:tcPr>
          <w:p>
            <w:pPr>
              <w:spacing w:after="0"/>
            </w:pPr>
            <w:r/>
            <w:r>
              <w:rPr>
                <w:b w:val="0"/>
                <w:sz w:val="19"/>
              </w:rPr>
              <w:t>Refit the corpus profiles first</w:t>
            </w:r>
          </w:p>
        </w:tc>
      </w:tr>
      <w:tr>
        <w:tc>
          <w:tcPr>
            <w:tcW w:type="dxa" w:w="4300"/>
            <w:tcMar>
              <w:top w:type="dxa" w:w="90"/>
              <w:left w:type="dxa" w:w="130"/>
              <w:bottom w:type="dxa" w:w="90"/>
              <w:right w:type="dxa" w:w="130"/>
            </w:tcMar>
          </w:tcPr>
          <w:p>
            <w:pPr>
              <w:spacing w:after="0"/>
            </w:pPr>
            <w:r/>
            <w:r>
              <w:rPr>
                <w:b w:val="0"/>
                <w:sz w:val="19"/>
              </w:rPr>
              <w:t>python pipeline.py --input ... --no-gate</w:t>
            </w:r>
          </w:p>
        </w:tc>
        <w:tc>
          <w:tcPr>
            <w:tcW w:type="dxa" w:w="4726"/>
            <w:tcMar>
              <w:top w:type="dxa" w:w="90"/>
              <w:left w:type="dxa" w:w="130"/>
              <w:bottom w:type="dxa" w:w="90"/>
              <w:right w:type="dxa" w:w="130"/>
            </w:tcMar>
          </w:tcPr>
          <w:p>
            <w:pPr>
              <w:spacing w:after="0"/>
            </w:pPr>
            <w:r/>
            <w:r>
              <w:rPr>
                <w:b w:val="0"/>
                <w:sz w:val="19"/>
              </w:rPr>
              <w:t>Score everything, including off-scope</w:t>
            </w:r>
          </w:p>
        </w:tc>
      </w:tr>
    </w:tbl>
    <w:p>
      <w:pPr>
        <w:spacing w:after="120" w:before="0"/>
      </w:pPr>
    </w:p>
    <w:p>
      <w:pPr>
        <w:spacing w:after="120" w:before="0"/>
      </w:pPr>
      <w:r>
        <w:rPr>
          <w:b w:val="0"/>
          <w:i w:val="0"/>
          <w:sz w:val="21"/>
        </w:rPr>
        <w:t>Output is one row per knowledge object, written as both JSONL and TSV. Every figure states whether it has been validated: quality_score_is_validated is true, retrieval_readiness_is_validated is false. The score's contributions are itemised per input, so any individual score can be explained.</w:t>
      </w:r>
    </w:p>
    <w:p>
      <w:pPr>
        <w:pStyle w:val="Heading1"/>
        <w:spacing w:before="320" w:after="120"/>
      </w:pPr>
      <w:r>
        <w:rPr>
          <w:b/>
          <w:color w:val="1F5C4D"/>
          <w:sz w:val="30"/>
        </w:rPr>
        <w:t>11. Keeping it calibrated</w:t>
      </w:r>
    </w:p>
    <w:p>
      <w:pPr>
        <w:spacing w:after="120" w:before="0"/>
      </w:pPr>
      <w:r>
        <w:rPr>
          <w:b w:val="0"/>
          <w:i w:val="0"/>
          <w:sz w:val="21"/>
        </w:rPr>
        <w:t>Four things are learned from data rather than written down, and all four should be refreshed when the corpus changes materially.</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2400"/>
        <w:gridCol w:w="3600"/>
        <w:gridCol w:w="3026"/>
      </w:tblGrid>
      <w:tr>
        <w:trPr>
          <w:tblHeader w:val="true"/>
        </w:trPr>
        <w:tc>
          <w:tcPr>
            <w:tcW w:type="dxa" w:w="2400"/>
            <w:shd w:fill="1F5C4D" w:val="clear"/>
            <w:tcMar>
              <w:top w:type="dxa" w:w="90"/>
              <w:left w:type="dxa" w:w="130"/>
              <w:bottom w:type="dxa" w:w="90"/>
              <w:right w:type="dxa" w:w="130"/>
            </w:tcMar>
          </w:tcPr>
          <w:p>
            <w:pPr>
              <w:spacing w:after="0"/>
            </w:pPr>
            <w:r/>
            <w:r>
              <w:rPr>
                <w:b/>
                <w:color w:val="FFFFFF"/>
                <w:sz w:val="19"/>
              </w:rPr>
              <w:t>What</w:t>
            </w:r>
          </w:p>
        </w:tc>
        <w:tc>
          <w:tcPr>
            <w:tcW w:type="dxa" w:w="3600"/>
            <w:shd w:fill="1F5C4D" w:val="clear"/>
            <w:tcMar>
              <w:top w:type="dxa" w:w="90"/>
              <w:left w:type="dxa" w:w="130"/>
              <w:bottom w:type="dxa" w:w="90"/>
              <w:right w:type="dxa" w:w="130"/>
            </w:tcMar>
          </w:tcPr>
          <w:p>
            <w:pPr>
              <w:spacing w:after="0"/>
            </w:pPr>
            <w:r/>
            <w:r>
              <w:rPr>
                <w:b/>
                <w:color w:val="FFFFFF"/>
                <w:sz w:val="19"/>
              </w:rPr>
              <w:t>Where it comes from</w:t>
            </w:r>
          </w:p>
        </w:tc>
        <w:tc>
          <w:tcPr>
            <w:tcW w:type="dxa" w:w="3026"/>
            <w:shd w:fill="1F5C4D" w:val="clear"/>
            <w:tcMar>
              <w:top w:type="dxa" w:w="90"/>
              <w:left w:type="dxa" w:w="130"/>
              <w:bottom w:type="dxa" w:w="90"/>
              <w:right w:type="dxa" w:w="130"/>
            </w:tcMar>
          </w:tcPr>
          <w:p>
            <w:pPr>
              <w:spacing w:after="0"/>
            </w:pPr>
            <w:r/>
            <w:r>
              <w:rPr>
                <w:b/>
                <w:color w:val="FFFFFF"/>
                <w:sz w:val="19"/>
              </w:rPr>
              <w:t>How to refresh</w:t>
            </w:r>
          </w:p>
        </w:tc>
      </w:tr>
      <w:tr>
        <w:tc>
          <w:tcPr>
            <w:tcW w:type="dxa" w:w="2400"/>
            <w:tcMar>
              <w:top w:type="dxa" w:w="90"/>
              <w:left w:type="dxa" w:w="130"/>
              <w:bottom w:type="dxa" w:w="90"/>
              <w:right w:type="dxa" w:w="130"/>
            </w:tcMar>
          </w:tcPr>
          <w:p>
            <w:pPr>
              <w:spacing w:after="0"/>
            </w:pPr>
            <w:r/>
            <w:r>
              <w:rPr>
                <w:b w:val="0"/>
                <w:sz w:val="19"/>
              </w:rPr>
              <w:t>Contributor obligations</w:t>
            </w:r>
          </w:p>
        </w:tc>
        <w:tc>
          <w:tcPr>
            <w:tcW w:type="dxa" w:w="3600"/>
            <w:tcMar>
              <w:top w:type="dxa" w:w="90"/>
              <w:left w:type="dxa" w:w="130"/>
              <w:bottom w:type="dxa" w:w="90"/>
              <w:right w:type="dxa" w:w="130"/>
            </w:tcMar>
          </w:tcPr>
          <w:p>
            <w:pPr>
              <w:spacing w:after="0"/>
            </w:pPr>
            <w:r/>
            <w:r>
              <w:rPr>
                <w:b w:val="0"/>
                <w:sz w:val="19"/>
              </w:rPr>
              <w:t>Corpus coverage, plus field classification</w:t>
            </w:r>
          </w:p>
        </w:tc>
        <w:tc>
          <w:tcPr>
            <w:tcW w:type="dxa" w:w="3026"/>
            <w:tcMar>
              <w:top w:type="dxa" w:w="90"/>
              <w:left w:type="dxa" w:w="130"/>
              <w:bottom w:type="dxa" w:w="90"/>
              <w:right w:type="dxa" w:w="130"/>
            </w:tcMar>
          </w:tcPr>
          <w:p>
            <w:pPr>
              <w:spacing w:after="0"/>
            </w:pPr>
            <w:r/>
            <w:r>
              <w:rPr>
                <w:b w:val="0"/>
                <w:sz w:val="19"/>
              </w:rPr>
              <w:t>pipeline.py --learn</w:t>
            </w:r>
          </w:p>
        </w:tc>
      </w:tr>
      <w:tr>
        <w:tc>
          <w:tcPr>
            <w:tcW w:type="dxa" w:w="2400"/>
            <w:tcMar>
              <w:top w:type="dxa" w:w="90"/>
              <w:left w:type="dxa" w:w="130"/>
              <w:bottom w:type="dxa" w:w="90"/>
              <w:right w:type="dxa" w:w="130"/>
            </w:tcMar>
          </w:tcPr>
          <w:p>
            <w:pPr>
              <w:spacing w:after="0"/>
            </w:pPr>
            <w:r/>
            <w:r>
              <w:rPr>
                <w:b w:val="0"/>
                <w:sz w:val="19"/>
              </w:rPr>
              <w:t>Diagnostic thresholds</w:t>
            </w:r>
          </w:p>
        </w:tc>
        <w:tc>
          <w:tcPr>
            <w:tcW w:type="dxa" w:w="3600"/>
            <w:tcMar>
              <w:top w:type="dxa" w:w="90"/>
              <w:left w:type="dxa" w:w="130"/>
              <w:bottom w:type="dxa" w:w="90"/>
              <w:right w:type="dxa" w:w="130"/>
            </w:tcMar>
          </w:tcPr>
          <w:p>
            <w:pPr>
              <w:spacing w:after="0"/>
            </w:pPr>
            <w:r/>
            <w:r>
              <w:rPr>
                <w:b w:val="0"/>
                <w:sz w:val="19"/>
              </w:rPr>
              <w:t>Per-measurement tails across the corpus</w:t>
            </w:r>
          </w:p>
        </w:tc>
        <w:tc>
          <w:tcPr>
            <w:tcW w:type="dxa" w:w="3026"/>
            <w:tcMar>
              <w:top w:type="dxa" w:w="90"/>
              <w:left w:type="dxa" w:w="130"/>
              <w:bottom w:type="dxa" w:w="90"/>
              <w:right w:type="dxa" w:w="130"/>
            </w:tcMar>
          </w:tcPr>
          <w:p>
            <w:pPr>
              <w:spacing w:after="0"/>
            </w:pPr>
            <w:r/>
            <w:r>
              <w:rPr>
                <w:b w:val="0"/>
                <w:sz w:val="19"/>
              </w:rPr>
              <w:t>pipeline.py --learn</w:t>
            </w:r>
          </w:p>
        </w:tc>
      </w:tr>
      <w:tr>
        <w:tc>
          <w:tcPr>
            <w:tcW w:type="dxa" w:w="2400"/>
            <w:tcMar>
              <w:top w:type="dxa" w:w="90"/>
              <w:left w:type="dxa" w:w="130"/>
              <w:bottom w:type="dxa" w:w="90"/>
              <w:right w:type="dxa" w:w="130"/>
            </w:tcMar>
          </w:tcPr>
          <w:p>
            <w:pPr>
              <w:spacing w:after="0"/>
            </w:pPr>
            <w:r/>
            <w:r>
              <w:rPr>
                <w:b w:val="0"/>
                <w:sz w:val="19"/>
              </w:rPr>
              <w:t>Score weights</w:t>
            </w:r>
          </w:p>
        </w:tc>
        <w:tc>
          <w:tcPr>
            <w:tcW w:type="dxa" w:w="3600"/>
            <w:tcMar>
              <w:top w:type="dxa" w:w="90"/>
              <w:left w:type="dxa" w:w="130"/>
              <w:bottom w:type="dxa" w:w="90"/>
              <w:right w:type="dxa" w:w="130"/>
            </w:tcMar>
          </w:tcPr>
          <w:p>
            <w:pPr>
              <w:spacing w:after="0"/>
            </w:pPr>
            <w:r/>
            <w:r>
              <w:rPr>
                <w:b w:val="0"/>
                <w:sz w:val="19"/>
              </w:rPr>
              <w:t>Fitted against human review</w:t>
            </w:r>
          </w:p>
        </w:tc>
        <w:tc>
          <w:tcPr>
            <w:tcW w:type="dxa" w:w="3026"/>
            <w:tcMar>
              <w:top w:type="dxa" w:w="90"/>
              <w:left w:type="dxa" w:w="130"/>
              <w:bottom w:type="dxa" w:w="90"/>
              <w:right w:type="dxa" w:w="130"/>
            </w:tcMar>
          </w:tcPr>
          <w:p>
            <w:pPr>
              <w:spacing w:after="0"/>
            </w:pPr>
            <w:r/>
            <w:r>
              <w:rPr>
                <w:b w:val="0"/>
                <w:sz w:val="19"/>
              </w:rPr>
              <w:t>validation/validate_metrics.py</w:t>
            </w:r>
          </w:p>
        </w:tc>
      </w:tr>
      <w:tr>
        <w:tc>
          <w:tcPr>
            <w:tcW w:type="dxa" w:w="2400"/>
            <w:tcMar>
              <w:top w:type="dxa" w:w="90"/>
              <w:left w:type="dxa" w:w="130"/>
              <w:bottom w:type="dxa" w:w="90"/>
              <w:right w:type="dxa" w:w="130"/>
            </w:tcMar>
          </w:tcPr>
          <w:p>
            <w:pPr>
              <w:spacing w:after="0"/>
            </w:pPr>
            <w:r/>
            <w:r>
              <w:rPr>
                <w:b w:val="0"/>
                <w:sz w:val="19"/>
              </w:rPr>
              <w:t>Domain gate</w:t>
            </w:r>
          </w:p>
        </w:tc>
        <w:tc>
          <w:tcPr>
            <w:tcW w:type="dxa" w:w="3600"/>
            <w:tcMar>
              <w:top w:type="dxa" w:w="90"/>
              <w:left w:type="dxa" w:w="130"/>
              <w:bottom w:type="dxa" w:w="90"/>
              <w:right w:type="dxa" w:w="130"/>
            </w:tcMar>
          </w:tcPr>
          <w:p>
            <w:pPr>
              <w:spacing w:after="0"/>
            </w:pPr>
            <w:r/>
            <w:r>
              <w:rPr>
                <w:b w:val="0"/>
                <w:sz w:val="19"/>
              </w:rPr>
              <w:t>Real knowledge objects versus off-scope documents</w:t>
            </w:r>
          </w:p>
        </w:tc>
        <w:tc>
          <w:tcPr>
            <w:tcW w:type="dxa" w:w="3026"/>
            <w:tcMar>
              <w:top w:type="dxa" w:w="90"/>
              <w:left w:type="dxa" w:w="130"/>
              <w:bottom w:type="dxa" w:w="90"/>
              <w:right w:type="dxa" w:w="130"/>
            </w:tcMar>
          </w:tcPr>
          <w:p>
            <w:pPr>
              <w:spacing w:after="0"/>
            </w:pPr>
            <w:r/>
            <w:r>
              <w:rPr>
                <w:b w:val="0"/>
                <w:sz w:val="19"/>
              </w:rPr>
              <w:t>stages/gate.py --calibrate</w:t>
            </w:r>
          </w:p>
        </w:tc>
      </w:tr>
    </w:tbl>
    <w:p>
      <w:pPr>
        <w:spacing w:after="120" w:before="0"/>
      </w:pPr>
    </w:p>
    <w:p>
      <w:pPr>
        <w:spacing w:after="120" w:before="0"/>
      </w:pPr>
      <w:r>
        <w:rPr>
          <w:b w:val="0"/>
          <w:i w:val="0"/>
          <w:sz w:val="21"/>
        </w:rPr>
        <w:t>Nothing in this pipeline contains a hand-written list. The controlled vocabularies are discovered from the data-model folder; the obligations come from the corpus; the diagnostic thresholds are corpus percentiles; the AI reviewer's questions are read from the human review workbook; the AI model is chosen from whatever the provider currently serves. Add a question to the review form and the AI reviewer asks it.</w:t>
      </w:r>
    </w:p>
    <w:tbl>
      <w:tblPr>
        <w:tblW w:type="dxa" w:w="9026"/>
        <w:tblBorders>
          <w:top w:val="single" w:color="D8DEDC" w:sz="2"/>
          <w:left w:val="single" w:color="1F5C4D" w:sz="18"/>
          <w:bottom w:val="single" w:color="D8DEDC" w:sz="2"/>
          <w:right w:val="single" w:color="D8DEDC" w:sz="2"/>
          <w:insideH w:val="none"/>
          <w:insideV w:val="none"/>
        </w:tblBorders>
        <w:tblLayout w:type="fixed"/>
        <w:tblLook w:firstColumn="1" w:firstRow="1" w:lastColumn="0" w:lastRow="0" w:noHBand="0" w:noVBand="1" w:val="04A0"/>
      </w:tblPr>
      <w:tblGrid>
        <w:gridCol w:w="9026"/>
      </w:tblGrid>
      <w:tr>
        <w:tc>
          <w:tcPr>
            <w:tcW w:type="dxa" w:w="9026"/>
            <w:tcMar>
              <w:top w:type="dxa" w:w="140"/>
              <w:left w:type="dxa" w:w="200"/>
              <w:bottom w:type="dxa" w:w="140"/>
              <w:right w:type="dxa" w:w="200"/>
            </w:tcMar>
          </w:tcPr>
          <w:p>
            <w:pPr>
              <w:spacing w:after="60"/>
            </w:pPr>
            <w:r/>
            <w:r>
              <w:rPr>
                <w:b/>
                <w:color w:val="1F5C4D"/>
                <w:sz w:val="21"/>
              </w:rPr>
              <w:t>The rule the pipeline is built on</w:t>
            </w:r>
          </w:p>
          <w:p>
            <w:pPr>
              <w:spacing w:after="0"/>
            </w:pPr>
            <w:r>
              <w:rPr>
                <w:sz w:val="21"/>
              </w:rPr>
              <w:t>Nothing enters the score until it has been measured against human judgement. That is not caution for its own sake — it is the specific failure that produced a score rating Bach above farm advice, a completeness measure pointing the wrong way, and a vocabulary measure that rewarded broken files. A better instrument is not an exemption: the AI reviewer was measured before it was used, and three of the four models tested were rejected on the evidence.</w:t>
            </w:r>
          </w:p>
        </w:tc>
      </w:tr>
    </w:tbl>
    <w:p>
      <w:pPr>
        <w:spacing w:after="120" w:before="0"/>
      </w:pPr>
    </w:p>
    <w:p>
      <w:pPr>
        <w:pStyle w:val="Heading1"/>
        <w:spacing w:before="320" w:after="120"/>
      </w:pPr>
      <w:r>
        <w:rPr>
          <w:b/>
          <w:color w:val="1F5C4D"/>
          <w:sz w:val="30"/>
        </w:rPr>
        <w:t>12. Decisions and the evidence behind them</w:t>
      </w:r>
    </w:p>
    <w:tbl>
      <w:tblPr>
        <w:tblW w:type="dxa" w:w="9026"/>
        <w:tblBorders>
          <w:top w:val="single" w:color="C9D2CF" w:sz="2"/>
          <w:left w:val="none"/>
          <w:bottom w:val="single" w:color="C9D2CF" w:sz="2"/>
          <w:right w:val="none"/>
          <w:insideH w:val="single" w:color="E3E8E6" w:sz="2"/>
          <w:insideV w:val="none"/>
        </w:tblBorders>
        <w:tblLayout w:type="fixed"/>
        <w:tblLook w:firstColumn="1" w:firstRow="1" w:lastColumn="0" w:lastRow="0" w:noHBand="0" w:noVBand="1" w:val="04A0"/>
      </w:tblPr>
      <w:tblGrid>
        <w:gridCol w:w="3200"/>
        <w:gridCol w:w="5826"/>
      </w:tblGrid>
      <w:tr>
        <w:trPr>
          <w:tblHeader w:val="true"/>
        </w:trPr>
        <w:tc>
          <w:tcPr>
            <w:tcW w:type="dxa" w:w="3200"/>
            <w:shd w:fill="1F5C4D" w:val="clear"/>
            <w:tcMar>
              <w:top w:type="dxa" w:w="90"/>
              <w:left w:type="dxa" w:w="130"/>
              <w:bottom w:type="dxa" w:w="90"/>
              <w:right w:type="dxa" w:w="130"/>
            </w:tcMar>
          </w:tcPr>
          <w:p>
            <w:pPr>
              <w:spacing w:after="0"/>
            </w:pPr>
            <w:r/>
            <w:r>
              <w:rPr>
                <w:b/>
                <w:color w:val="FFFFFF"/>
                <w:sz w:val="19"/>
              </w:rPr>
              <w:t>Decision</w:t>
            </w:r>
          </w:p>
        </w:tc>
        <w:tc>
          <w:tcPr>
            <w:tcW w:type="dxa" w:w="5826"/>
            <w:shd w:fill="1F5C4D" w:val="clear"/>
            <w:tcMar>
              <w:top w:type="dxa" w:w="90"/>
              <w:left w:type="dxa" w:w="130"/>
              <w:bottom w:type="dxa" w:w="90"/>
              <w:right w:type="dxa" w:w="130"/>
            </w:tcMar>
          </w:tcPr>
          <w:p>
            <w:pPr>
              <w:spacing w:after="0"/>
            </w:pPr>
            <w:r/>
            <w:r>
              <w:rPr>
                <w:b/>
                <w:color w:val="FFFFFF"/>
                <w:sz w:val="19"/>
              </w:rPr>
              <w:t>Evidence</w:t>
            </w:r>
          </w:p>
        </w:tc>
      </w:tr>
      <w:tr>
        <w:tc>
          <w:tcPr>
            <w:tcW w:type="dxa" w:w="3200"/>
            <w:tcMar>
              <w:top w:type="dxa" w:w="90"/>
              <w:left w:type="dxa" w:w="130"/>
              <w:bottom w:type="dxa" w:w="90"/>
              <w:right w:type="dxa" w:w="130"/>
            </w:tcMar>
          </w:tcPr>
          <w:p>
            <w:pPr>
              <w:spacing w:after="0"/>
            </w:pPr>
            <w:r/>
            <w:r>
              <w:rPr>
                <w:b w:val="0"/>
                <w:sz w:val="19"/>
              </w:rPr>
              <w:t>Relevance is a gate, not a scored pillar</w:t>
            </w:r>
          </w:p>
        </w:tc>
        <w:tc>
          <w:tcPr>
            <w:tcW w:type="dxa" w:w="5826"/>
            <w:tcMar>
              <w:top w:type="dxa" w:w="90"/>
              <w:left w:type="dxa" w:w="130"/>
              <w:bottom w:type="dxa" w:w="90"/>
              <w:right w:type="dxa" w:w="130"/>
            </w:tcMar>
          </w:tcPr>
          <w:p>
            <w:pPr>
              <w:spacing w:after="0"/>
            </w:pPr>
            <w:r/>
            <w:r>
              <w:rPr>
                <w:b w:val="0"/>
                <w:sz w:val="19"/>
              </w:rPr>
              <w:t>Three off-topic documents scored 75.2–75.8, above every real KO, with the Domain pillar active. At 10% weight the most an off-topic upload can lose is 10 points.</w:t>
            </w:r>
          </w:p>
        </w:tc>
      </w:tr>
      <w:tr>
        <w:tc>
          <w:tcPr>
            <w:tcW w:type="dxa" w:w="3200"/>
            <w:tcMar>
              <w:top w:type="dxa" w:w="90"/>
              <w:left w:type="dxa" w:w="130"/>
              <w:bottom w:type="dxa" w:w="90"/>
              <w:right w:type="dxa" w:w="130"/>
            </w:tcMar>
          </w:tcPr>
          <w:p>
            <w:pPr>
              <w:spacing w:after="0"/>
            </w:pPr>
            <w:r/>
            <w:r>
              <w:rPr>
                <w:b w:val="0"/>
                <w:sz w:val="19"/>
              </w:rPr>
              <w:t>Compliance is a checklist, not a scored pillar</w:t>
            </w:r>
          </w:p>
        </w:tc>
        <w:tc>
          <w:tcPr>
            <w:tcW w:type="dxa" w:w="5826"/>
            <w:tcMar>
              <w:top w:type="dxa" w:w="90"/>
              <w:left w:type="dxa" w:w="130"/>
              <w:bottom w:type="dxa" w:w="90"/>
              <w:right w:type="dxa" w:w="130"/>
            </w:tcMar>
          </w:tcPr>
          <w:p>
            <w:pPr>
              <w:spacing w:after="0"/>
            </w:pPr>
            <w:r/>
            <w:r>
              <w:rPr>
                <w:b w:val="0"/>
                <w:sz w:val="19"/>
              </w:rPr>
              <w:t>Completeness correlated with reviewer judgement at −0.217 (significant, wrong direction).</w:t>
            </w:r>
          </w:p>
        </w:tc>
      </w:tr>
      <w:tr>
        <w:tc>
          <w:tcPr>
            <w:tcW w:type="dxa" w:w="3200"/>
            <w:tcMar>
              <w:top w:type="dxa" w:w="90"/>
              <w:left w:type="dxa" w:w="130"/>
              <w:bottom w:type="dxa" w:w="90"/>
              <w:right w:type="dxa" w:w="130"/>
            </w:tcMar>
          </w:tcPr>
          <w:p>
            <w:pPr>
              <w:spacing w:after="0"/>
            </w:pPr>
            <w:r/>
            <w:r>
              <w:rPr>
                <w:b w:val="0"/>
                <w:sz w:val="19"/>
              </w:rPr>
              <w:t>The four pillars were replaced rather than reweighted</w:t>
            </w:r>
          </w:p>
        </w:tc>
        <w:tc>
          <w:tcPr>
            <w:tcW w:type="dxa" w:w="5826"/>
            <w:tcMar>
              <w:top w:type="dxa" w:w="90"/>
              <w:left w:type="dxa" w:w="130"/>
              <w:bottom w:type="dxa" w:w="90"/>
              <w:right w:type="dxa" w:w="130"/>
            </w:tcMar>
          </w:tcPr>
          <w:p>
            <w:pPr>
              <w:spacing w:after="0"/>
            </w:pPr>
            <w:r/>
            <w:r>
              <w:rPr>
                <w:b w:val="0"/>
                <w:sz w:val="19"/>
              </w:rPr>
              <w:t>Optimal weighting of the four pillars scored −0.170 out of sample, below chance.</w:t>
            </w:r>
          </w:p>
        </w:tc>
      </w:tr>
      <w:tr>
        <w:tc>
          <w:tcPr>
            <w:tcW w:type="dxa" w:w="3200"/>
            <w:tcMar>
              <w:top w:type="dxa" w:w="90"/>
              <w:left w:type="dxa" w:w="130"/>
              <w:bottom w:type="dxa" w:w="90"/>
              <w:right w:type="dxa" w:w="130"/>
            </w:tcMar>
          </w:tcPr>
          <w:p>
            <w:pPr>
              <w:spacing w:after="0"/>
            </w:pPr>
            <w:r/>
            <w:r>
              <w:rPr>
                <w:b w:val="0"/>
                <w:sz w:val="19"/>
              </w:rPr>
              <w:t>MTLD replaced the type-token ratio</w:t>
            </w:r>
          </w:p>
        </w:tc>
        <w:tc>
          <w:tcPr>
            <w:tcW w:type="dxa" w:w="5826"/>
            <w:tcMar>
              <w:top w:type="dxa" w:w="90"/>
              <w:left w:type="dxa" w:w="130"/>
              <w:bottom w:type="dxa" w:w="90"/>
              <w:right w:type="dxa" w:w="130"/>
            </w:tcMar>
          </w:tcPr>
          <w:p>
            <w:pPr>
              <w:spacing w:after="0"/>
            </w:pPr>
            <w:r/>
            <w:r>
              <w:rPr>
                <w:b w:val="0"/>
                <w:sz w:val="19"/>
              </w:rPr>
              <w:t>TTR falls with length (−0.93); 93.7% of the corpus scored full marks. Against reviewers: −0.29 for TTR, +0.47 for MTLD.</w:t>
            </w:r>
          </w:p>
        </w:tc>
      </w:tr>
      <w:tr>
        <w:tc>
          <w:tcPr>
            <w:tcW w:type="dxa" w:w="3200"/>
            <w:tcMar>
              <w:top w:type="dxa" w:w="90"/>
              <w:left w:type="dxa" w:w="130"/>
              <w:bottom w:type="dxa" w:w="90"/>
              <w:right w:type="dxa" w:w="130"/>
            </w:tcMar>
          </w:tcPr>
          <w:p>
            <w:pPr>
              <w:spacing w:after="0"/>
            </w:pPr>
            <w:r/>
            <w:r>
              <w:rPr>
                <w:b w:val="0"/>
                <w:sz w:val="19"/>
              </w:rPr>
              <w:t>Content length is used directly, not in bands</w:t>
            </w:r>
          </w:p>
        </w:tc>
        <w:tc>
          <w:tcPr>
            <w:tcW w:type="dxa" w:w="5826"/>
            <w:tcMar>
              <w:top w:type="dxa" w:w="90"/>
              <w:left w:type="dxa" w:w="130"/>
              <w:bottom w:type="dxa" w:w="90"/>
              <w:right w:type="dxa" w:w="130"/>
            </w:tcMar>
          </w:tcPr>
          <w:p>
            <w:pPr>
              <w:spacing w:after="0"/>
            </w:pPr>
            <w:r/>
            <w:r>
              <w:rPr>
                <w:b w:val="0"/>
                <w:sz w:val="19"/>
              </w:rPr>
              <w:t>Banding lost 53% of the signal and penalised the long documents reviewers preferred.</w:t>
            </w:r>
          </w:p>
        </w:tc>
      </w:tr>
      <w:tr>
        <w:tc>
          <w:tcPr>
            <w:tcW w:type="dxa" w:w="3200"/>
            <w:tcMar>
              <w:top w:type="dxa" w:w="90"/>
              <w:left w:type="dxa" w:w="130"/>
              <w:bottom w:type="dxa" w:w="90"/>
              <w:right w:type="dxa" w:w="130"/>
            </w:tcMar>
          </w:tcPr>
          <w:p>
            <w:pPr>
              <w:spacing w:after="0"/>
            </w:pPr>
            <w:r/>
            <w:r>
              <w:rPr>
                <w:b w:val="0"/>
                <w:sz w:val="19"/>
              </w:rPr>
              <w:t>One AI reviewer, not a panel</w:t>
            </w:r>
          </w:p>
        </w:tc>
        <w:tc>
          <w:tcPr>
            <w:tcW w:type="dxa" w:w="5826"/>
            <w:tcMar>
              <w:top w:type="dxa" w:w="90"/>
              <w:left w:type="dxa" w:w="130"/>
              <w:bottom w:type="dxa" w:w="90"/>
              <w:right w:type="dxa" w:w="130"/>
            </w:tcMar>
          </w:tcPr>
          <w:p>
            <w:pPr>
              <w:spacing w:after="0"/>
            </w:pPr>
            <w:r/>
            <w:r>
              <w:rPr>
                <w:b w:val="0"/>
                <w:sz w:val="19"/>
              </w:rPr>
              <w:t>One 0.638, two 0.620, four 0.600 — the families correlate 0.61–0.71 and share their opinions.</w:t>
            </w:r>
          </w:p>
        </w:tc>
      </w:tr>
      <w:tr>
        <w:tc>
          <w:tcPr>
            <w:tcW w:type="dxa" w:w="3200"/>
            <w:tcMar>
              <w:top w:type="dxa" w:w="90"/>
              <w:left w:type="dxa" w:w="130"/>
              <w:bottom w:type="dxa" w:w="90"/>
              <w:right w:type="dxa" w:w="130"/>
            </w:tcMar>
          </w:tcPr>
          <w:p>
            <w:pPr>
              <w:spacing w:after="0"/>
            </w:pPr>
            <w:r/>
            <w:r>
              <w:rPr>
                <w:b w:val="0"/>
                <w:sz w:val="19"/>
              </w:rPr>
              <w:t>Gate threshold held at 0.40</w:t>
            </w:r>
          </w:p>
        </w:tc>
        <w:tc>
          <w:tcPr>
            <w:tcW w:type="dxa" w:w="5826"/>
            <w:tcMar>
              <w:top w:type="dxa" w:w="90"/>
              <w:left w:type="dxa" w:w="130"/>
              <w:bottom w:type="dxa" w:w="90"/>
              <w:right w:type="dxa" w:w="130"/>
            </w:tcMar>
          </w:tcPr>
          <w:p>
            <w:pPr>
              <w:spacing w:after="0"/>
            </w:pPr>
            <w:r/>
            <w:r>
              <w:rPr>
                <w:b w:val="0"/>
                <w:sz w:val="19"/>
              </w:rPr>
              <w:t>Above 0.60 a language gap opens: German retention 83%, Greek 33% at 0.70.</w:t>
            </w:r>
          </w:p>
        </w:tc>
      </w:tr>
      <w:tr>
        <w:tc>
          <w:tcPr>
            <w:tcW w:type="dxa" w:w="3200"/>
            <w:tcMar>
              <w:top w:type="dxa" w:w="90"/>
              <w:left w:type="dxa" w:w="130"/>
              <w:bottom w:type="dxa" w:w="90"/>
              <w:right w:type="dxa" w:w="130"/>
            </w:tcMar>
          </w:tcPr>
          <w:p>
            <w:pPr>
              <w:spacing w:after="0"/>
            </w:pPr>
            <w:r/>
            <w:r>
              <w:rPr>
                <w:b w:val="0"/>
                <w:sz w:val="19"/>
              </w:rPr>
              <w:t>Diagnostics describe, they do not accuse</w:t>
            </w:r>
          </w:p>
        </w:tc>
        <w:tc>
          <w:tcPr>
            <w:tcW w:type="dxa" w:w="5826"/>
            <w:tcMar>
              <w:top w:type="dxa" w:w="90"/>
              <w:left w:type="dxa" w:w="130"/>
              <w:bottom w:type="dxa" w:w="90"/>
              <w:right w:type="dxa" w:w="130"/>
            </w:tcMar>
          </w:tcPr>
          <w:p>
            <w:pPr>
              <w:spacing w:after="0"/>
            </w:pPr>
            <w:r/>
            <w:r>
              <w:rPr>
                <w:b w:val="0"/>
                <w:sz w:val="19"/>
              </w:rPr>
              <w:t>Noise, clarity, usefulness and consistency all scored between −0.15 and −0.01 against reviewer judgement.</w:t>
            </w:r>
          </w:p>
        </w:tc>
      </w:tr>
    </w:tbl>
    <w:p>
      <w:pPr>
        <w:spacing w:after="120" w:before="0"/>
      </w:pPr>
    </w:p>
    <w:p>
      <w:pPr>
        <w:pStyle w:val="Heading1"/>
        <w:spacing w:before="320" w:after="120"/>
      </w:pPr>
      <w:r>
        <w:rPr>
          <w:b/>
          <w:color w:val="1F5C4D"/>
          <w:sz w:val="30"/>
        </w:rPr>
        <w:t>13. Sources</w:t>
      </w:r>
    </w:p>
    <w:p>
      <w:pPr>
        <w:pStyle w:val="Heading2"/>
        <w:spacing w:before="220" w:after="80"/>
      </w:pPr>
      <w:r>
        <w:rPr>
          <w:b/>
          <w:color w:val="1F5C4D"/>
          <w:sz w:val="24"/>
        </w:rPr>
        <w:t>Methodological background</w:t>
      </w:r>
    </w:p>
    <w:p>
      <w:pPr>
        <w:pStyle w:val="ListParagraph"/>
        <w:spacing w:after="60"/>
        <w:ind w:left="360"/>
      </w:pPr>
      <w:r>
        <w:rPr>
          <w:sz w:val="21"/>
        </w:rPr>
        <w:t>•   Wang, R. &amp; Strong, D. (1996). Beyond Accuracy: What Data Quality Means to Data Consumers. The 'fitness for use' framing, and the intrinsic / contextual / representational / accessibility dimensions. https://pmc.ncbi.nlm.nih.gov/articles/PMC9912223/</w:t>
      </w:r>
    </w:p>
    <w:p>
      <w:pPr>
        <w:pStyle w:val="ListParagraph"/>
        <w:spacing w:after="60"/>
        <w:ind w:left="360"/>
      </w:pPr>
      <w:r>
        <w:rPr>
          <w:sz w:val="21"/>
        </w:rPr>
        <w:t>•   Bruce, T. &amp; Hillmann, D. (2004). The Continuum of Metadata Quality. The seven characteristics — completeness, accuracy, provenance, conformance to expectations, logical consistency, timeliness, accessibility — that stages 0 and 1 are organised around. https://www.researchgate.net/publication/254358241_Quality_Metrics_for_Learning_Object_Metadata</w:t>
      </w:r>
    </w:p>
    <w:p>
      <w:pPr>
        <w:pStyle w:val="ListParagraph"/>
        <w:spacing w:after="60"/>
        <w:ind w:left="360"/>
      </w:pPr>
      <w:r>
        <w:rPr>
          <w:sz w:val="21"/>
        </w:rPr>
        <w:t>•   Ochoa, X. &amp; Duval, E. (2009). Automatic evaluation of metadata quality in digital repositories. International Journal on Digital Libraries. The closest precedent to this work, and the source of the validation design used here: correlate with manual review, test discriminatory power, test usefulness as a low-quality filter. https://link.springer.com/article/10.1007/s00799-009-0054-4</w:t>
      </w:r>
    </w:p>
    <w:p>
      <w:pPr>
        <w:pStyle w:val="ListParagraph"/>
        <w:spacing w:after="60"/>
        <w:ind w:left="360"/>
      </w:pPr>
      <w:r>
        <w:rPr>
          <w:sz w:val="21"/>
        </w:rPr>
        <w:t>•   McCarthy, P. &amp; Jarvis, S. (2010). MTLD, vocd-D, and HD-D. Why the type-token ratio cannot be compared across documents of different lengths, and what to use instead. https://en.wikipedia.org/wiki/Lexical_diversity</w:t>
      </w:r>
    </w:p>
    <w:p>
      <w:pPr>
        <w:pStyle w:val="ListParagraph"/>
        <w:spacing w:after="60"/>
        <w:ind w:left="360"/>
      </w:pPr>
      <w:r>
        <w:rPr>
          <w:sz w:val="21"/>
        </w:rPr>
        <w:t>•   FAIRsFAIR / F-UJI automated FAIR assessment. The model for treating metadata obligations as an explicit checklist rather than a score. https://www.fairsfair.eu/f-uji-automated-fair-data-assessment-tool</w:t>
      </w:r>
    </w:p>
    <w:p>
      <w:pPr>
        <w:pStyle w:val="Heading2"/>
        <w:spacing w:before="220" w:after="80"/>
      </w:pPr>
      <w:r>
        <w:rPr>
          <w:b/>
          <w:color w:val="1F5C4D"/>
          <w:sz w:val="24"/>
        </w:rPr>
        <w:t>Internal references</w:t>
      </w:r>
    </w:p>
    <w:p>
      <w:pPr>
        <w:pStyle w:val="ListParagraph"/>
        <w:spacing w:after="60"/>
        <w:ind w:left="360"/>
      </w:pPr>
      <w:r>
        <w:rPr>
          <w:sz w:val="21"/>
        </w:rPr>
        <w:t>•   ko_quality_assessor/USING_LLMS.md — provider, models, credentials and the three quirks that otherwise cost an afternoon.</w:t>
      </w:r>
    </w:p>
    <w:p>
      <w:pPr>
        <w:pStyle w:val="ListParagraph"/>
        <w:spacing w:after="60"/>
        <w:ind w:left="360"/>
      </w:pPr>
      <w:r>
        <w:rPr>
          <w:sz w:val="21"/>
        </w:rPr>
        <w:t>•   assess_ko_quality/README.md — the technical companion to this guide.</w:t>
      </w:r>
    </w:p>
    <w:p>
      <w:pPr>
        <w:pStyle w:val="ListParagraph"/>
        <w:spacing w:after="60"/>
        <w:ind w:left="360"/>
      </w:pPr>
      <w:r>
        <w:rPr>
          <w:sz w:val="21"/>
        </w:rPr>
        <w:t>•   assess_ko_quality/validation/ — the gate validation set, the fitted score model, and the learned corpus profiles.</w:t>
      </w:r>
    </w:p>
    <w:p>
      <w:pPr>
        <w:pStyle w:val="ListParagraph"/>
        <w:spacing w:after="60"/>
        <w:ind w:left="360"/>
      </w:pPr>
      <w:r>
        <w:rPr>
          <w:sz w:val="21"/>
        </w:rPr>
        <w:t>•   which_fields_to_choose/How_to_read_the_field_audit.docx and semantic_vs_search/How_to_read_the_search_comparison.docx — companion guides for the neighbouring analyses.</w:t>
      </w:r>
    </w:p>
    <w:p>
      <w:pPr>
        <w:spacing w:after="120" w:before="0"/>
      </w:pPr>
    </w:p>
    <w:p>
      <w:pPr>
        <w:spacing w:after="120" w:before="0"/>
      </w:pPr>
      <w:r>
        <w:rPr>
          <w:b w:val="0"/>
          <w:i/>
          <w:sz w:val="19"/>
        </w:rPr>
        <w:t>Regenerate the figures in this guide at any time with python -m validation.validate_metrics from inside assess_ko_quality. Every number here comes from that report or from stages/gate.py --calibrate.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Read the Field Audit Report</dc:title>
  <dc:creator>EU-FarmBook</dc:creator>
  <dc:description>A plain-language guide to interpreting the output of analyse_fields.py</dc:description>
  <cp:lastModifiedBy>Un-named</cp:lastModifiedBy>
  <cp:revision>1</cp:revision>
  <dcterms:created xsi:type="dcterms:W3CDTF">2026-09-19T22:21:42.753Z</dcterms:created>
  <dcterms:modified xsi:type="dcterms:W3CDTF">2026-09-19T22:21:42.753Z</dcterms:modified>
</cp:coreProperties>
</file>

<file path=docProps/custom.xml><?xml version="1.0" encoding="utf-8"?>
<Properties xmlns="http://schemas.openxmlformats.org/officeDocument/2006/custom-properties" xmlns:vt="http://schemas.openxmlformats.org/officeDocument/2006/docPropsVTypes"/>
</file>