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AI and Digital Twin Infrastructure for National-Scale Healthcare Supply Chain Optimization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public healthcare system operates across a vast, geographically and demographically diverse landscape, managing the health outcomes of over 1.4 billion citizens. Despite decades of infrastructure expansion, persistent supply chain vulnerabilities severely limit the country's capacity to respond to routine epidemiological needs and sudden health emergencies. The inability to track medicines, patient footfall, and resource utilization in real time across vast networks of Primary Health Centres (PHCs) leads to systemic operational failures, most notably chronic stock-outs of life-saving therapeutics. Addressing this requires a departure from legacy, centralized, pull-based logistics towards a decentralized, predictive, and scientifically optimized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solution for this national-scale challenge is the development of a Federated AI-Driven Digital Twin Platform. This architecture decentralizes machine learning training to the edge, enabling the forecasting of demand, generation of early warnings for stock-outs, and automated cross-district resource redistribution. By leveraging Buffered Asynchronous Federated Learning (FedBuff), Temporal Fusion Transformers (TFT), Differential Privacy (DP), and Multi-Agent Reinforcement Learning (MARL), the platform guarantees compliance with the Digital Personal Data Protection (DPDP) Act, 2023, while neutralizing the connectivity limitations inherent in rural Indian infrastructure. This report provides an exhaustive blueprint of the systemic context, mathematical models, architectural design, and execution strategy required to build this transformative platform.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Vulnerabilities of the Indian Public Healthcare Supply Chain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healthcare system in India operates on a defined three-tier model comprising Sub Health Centres (SHCs), Primary Health Centres (PHCs), and Community Health Centres (CHCs). According to the Indian Public Health Standards (IPHS) and Rural Health Statistics maintained by the Ministry of Health and Family Welfare (MoHFW), an SHC is designed to serve a population of 5,000 in plain areas and 3,000 in hilly terrains, while a PHC targets a population of 30,000 in plains and 20,000 in hilly regions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CHC serves as the first referral unit for a population of 120,000 in plains and 80,000 in difficult terrains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demographic pressures and rapid urbanization have severely distorted these operational norms. Granular evaluations of public primary healthcare reveal that rural PHCs routinely serve an average of 33,800 individuals, significantly exceeding their designed capacity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the Ayushman Bharat initiative, the government has upgraded over 160,000 SHCs and PHCs into Health and Wellness Centres (HWCs) to deliver Comprehensive Primary Health Care (CPHC)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upgrade drastically expanded the mandate of frontline workers. A single Community Health Officer (CHO) managing a facility is now expected to stock 105 essential medicines, conduct 14 distinct diagnostic tests, execute Non-Communicable Disease (NCD) screenings, and maintain digital administrative records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increased service mandates and outdated supply chain mechanisms results in catastrophic failure modes at the last mile. At the national level, stock-out rates for essential medicines frequently hover between 20% and 45% at the sub-center and PHC levels, with considerable interstate variation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root cause is an over-reliance on manual, pull-based indent models that lack scientific forecasting capabilities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Facility staff, including Auxiliary Nurse Midwives (ANMs) and CHOs, are burdened with updating the Health Management Information System (HMIS) across more than 600 service delivery indicators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manual extrapolation of these indicators to predict future pharmaceutical demand is impossible, leading to the simultaneous expiration of slow-moving inventory and critical shortages of fast-moving, life-saving drugs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Infrastructure and the Interoperability Imperative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necessity of a federated AI platform, one must examine the fragmented legacy systems currently deployed across Indian states. The digitization of health infrastructure has historically occurred in silos, creating localized successes that fail to scale nationally due to interoperability and architectural constraints.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Tamil Nadu Medical Services Corporation (TNMSC) represents one of the most successful localized supply chain models. Established in 1994, the TNMSC pioneered a centralized procurement and decentralized distribution model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system relies on 32 district-level warehouses and a "passbook" financial model, which grants individual facilities a virtual monetary allotment to draw stock based on their specific needs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Drug Distribution Management System (DDMS) employed by TNMSC utilizes volume-based purchasing, rigorous quality control, and an end-to-end computerized inventory tracking mechanism to ensure uninterrupted supplies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framework was so successful that it inspired adaptations, such as the Uttar Pradesh Medical Supplies Corporation (UPMSC), which managed to increase the availability of essential medicines from approximately 40% to nearly 100%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TNMSC and UPMSC models remain fundamentally reactive; they forecast demand by extrapolating historical consumption data rather than analyzing real-time epidemiological shifts, footfall metrics, or morbidity trends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the Electronic Vaccine Intelligence Network (eVIN) introduced a sophisticated Internet of Things (IoT) ecosystem to manage the nation's cold chain logistics. Deployed across more than 27,000 cold storage units, eVIN digitizes vaccine stocks and monitors temperature integrity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Temperature data loggers installed in ice-lined refrigerators automatically record the temperature every ten minutes and transmit this data to a central server via GSM or GPRS networks every sixty minutes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temperatures deviate from the critical 2°C to 8°C range, the system triggers SMS and email alerts to cold chain technicians, facilitating rapid intervention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eVIN has been transformative, reducing vaccine stock-outs by over 80% and maintaining optimal temperatures in over 95% of cold chain points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Yet, eVIN remains exclusively focused on vaccines, operating entirely separately from the therapeutic drug supply chain managed by systems like e-Aushadhi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push for interoperability is currently spearheaded by the Ayushman Bharat Digital Mission (ABDM), which introduces unified standards such as the Health Facility Registry (HFR) and promotes adherence to HL7 Fast Healthcare Interoperability Resources (FHIR) R4 standards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integration of these disjointed systems—the administrative rigor of HMIS and DDMS, the real-time IoT capabilities of eVIN, and the interoperability of ABDM—requires a unifying intelligence layer. A centralized AI model cannot legally or practically achieve this due to the sheer volume of data and the stringent privacy regulations governing medical records.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 and the Digital Personal Data Protection (DPDP) Act 2023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design of a national-scale health intelligence platform is strictly constrained by India's Digital Personal Data Protection (DPDP) Act, 2023. The DPDP Act establishes a rigorous statutory framework for processing digital personal data, heavily emphasizing data minimization, purpose limitation, and the protection of individual privacy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machine learning requires centralizing raw data onto a single server for model training. If a national health supply chain platform were to aggregate real-time patient footfall, localized disease surveillance data, personnel attendance, and individual prescription records into a central cloud to predict demand, it would create an unprecedented vulnerability. Such centralization directly conflicts with the principles of data sovereignty and amplifies the risk of catastrophic data breaches, which can lead to identity theft, financial fraud, and the exposure of sensitive medical histories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comply with the DPDP Act and maintain the trust required for clinical adoption, the platform must adopt Federated Learning (FL). Federated learning inverses the traditional AI paradigm: instead of bringing the data to the model, it brings the model to the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predictive models are deployed directly to the edge—district hospitals, CHCs, and PHCs—where they train locally on the facility's private datasets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Only the mathematical model updates (the weight differences or gradients) are transmitted back to the central server for aggregation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the raw data never leaves the facility of origin, the system fundamentally respects patient confidentiality and localized governance while still benefiting from the collective intelligence of the entire national network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Edge Constraints: Buffered Asynchronous Federated Learning (FedBuff)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federated learning across India's PHC network presents significant technical challenges, primarily related to network latency and communication bandwidth. Standard federated learning algorithms, such as Federated Averaging (FedAvg) and FedProx, rely on synchronous communication protocols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a synchronous setup, the central server broadcasts the global model to all participating clients, waits for every client to complete their local training, and then aggregates all the updates simultaneously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rural India, where internet connectivity frequently fluctuates between high-speed broadband and intermittent 3G/4G cellular networks, synchronous training is highly inefficient. A single "straggler"—a facility with a poor connection or an older computer—will halt the entire training round, forcing the central server to wait indefinitely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asynchronous federated learning solves the straggler problem by allowing the server to update the global model as soon as any single client uploads its weights, traditional asynchronous methods are incompatible with Secure Aggregation protocols, leaving the system vulnerable to privacy leakage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architectural solution is Buffered Asynchronous Federated Learning (FedBuff). FedBuff bridges the gap between the speed of asynchronous training and the privacy guarantees of synchronous training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the FedBuff architecture, the central aggregator maintains a secure buffer of size </w:t>
      </w:r>
      <w:r w:rsidDel="00000000" w:rsidR="00000000" w:rsidRPr="00000000">
        <w:rPr>
          <w:rFonts w:ascii="Google Sans" w:cs="Google Sans" w:eastAsia="Google Sans" w:hAnsi="Google Sans"/>
          <w:color w:val="1f1f1f"/>
        </w:rPr>
        <w:drawing>
          <wp:inline distB="19050" distT="19050" distL="19050" distR="19050">
            <wp:extent cx="159191" cy="224315"/>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59191" cy="22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a local PHC finishes training its model on recent patient and inventory data, it pushes the update to the server asynchronously. The server collects these updates in the buffer. The global model is only updated when the buffer reaches its capacity of </w:t>
      </w:r>
      <w:r w:rsidDel="00000000" w:rsidR="00000000" w:rsidRPr="00000000">
        <w:rPr>
          <w:rFonts w:ascii="Google Sans" w:cs="Google Sans" w:eastAsia="Google Sans" w:hAnsi="Google Sans"/>
          <w:color w:val="1f1f1f"/>
        </w:rPr>
        <w:drawing>
          <wp:inline distB="19050" distT="19050" distL="19050" distR="19050">
            <wp:extent cx="159191" cy="224315"/>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59191" cy="22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updates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for the local client update involves copying the current hidden state </w:t>
      </w:r>
      <w:r w:rsidDel="00000000" w:rsidR="00000000" w:rsidRPr="00000000">
        <w:rPr>
          <w:rFonts w:ascii="Google Sans" w:cs="Google Sans" w:eastAsia="Google Sans" w:hAnsi="Google Sans"/>
          <w:color w:val="1f1f1f"/>
        </w:rPr>
        <w:drawing>
          <wp:inline distB="19050" distT="19050" distL="19050" distR="19050">
            <wp:extent cx="171318" cy="249838"/>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1318" cy="249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performing </w:t>
      </w:r>
      <w:r w:rsidDel="00000000" w:rsidR="00000000" w:rsidRPr="00000000">
        <w:rPr>
          <w:rFonts w:ascii="Google Sans" w:cs="Google Sans" w:eastAsia="Google Sans" w:hAnsi="Google Sans"/>
          <w:color w:val="1f1f1f"/>
        </w:rPr>
        <w:drawing>
          <wp:inline distB="19050" distT="19050" distL="19050" distR="19050">
            <wp:extent cx="152907" cy="254845"/>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52907" cy="254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 updates utilizing the local learning rate </w:t>
      </w:r>
      <w:r w:rsidDel="00000000" w:rsidR="00000000" w:rsidRPr="00000000">
        <w:rPr>
          <w:rFonts w:ascii="Google Sans" w:cs="Google Sans" w:eastAsia="Google Sans" w:hAnsi="Google Sans"/>
          <w:color w:val="1f1f1f"/>
        </w:rPr>
        <w:drawing>
          <wp:inline distB="19050" distT="19050" distL="19050" distR="19050">
            <wp:extent cx="164262" cy="261327"/>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4262" cy="261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noisy gradient </w:t>
      </w:r>
      <w:r w:rsidDel="00000000" w:rsidR="00000000" w:rsidRPr="00000000">
        <w:rPr>
          <w:rFonts w:ascii="Google Sans" w:cs="Google Sans" w:eastAsia="Google Sans" w:hAnsi="Google Sans"/>
          <w:color w:val="1f1f1f"/>
        </w:rPr>
        <w:drawing>
          <wp:inline distB="19050" distT="19050" distL="19050" distR="19050">
            <wp:extent cx="172200" cy="251124"/>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2200" cy="251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91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5500" cy="67991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local training is complete, the client transmits the quantized difference to the central server. The server aggregates the updates in the buffer and performs a global update using the global learning rate </w:t>
      </w:r>
      <w:r w:rsidDel="00000000" w:rsidR="00000000" w:rsidRPr="00000000">
        <w:rPr>
          <w:rFonts w:ascii="Google Sans" w:cs="Google Sans" w:eastAsia="Google Sans" w:hAnsi="Google Sans"/>
          <w:color w:val="1f1f1f"/>
        </w:rPr>
        <w:drawing>
          <wp:inline distB="19050" distT="19050" distL="19050" distR="19050">
            <wp:extent cx="177381" cy="248334"/>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7381" cy="248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41793"/>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84179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22360" cy="236706"/>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22360" cy="236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sum of the local updates collected in the buffer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optimize transmission over constrained rural networks, the platform incorporates Quantized Asynchronous Federated Learning (QAFeL). Standard machine learning models contain millions of parameters, resulting in large update files that strain cellular bandwidth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QAFeL establishes a shared hidden state between the server and the clients, utilizing a bidirectional quantization scheme that compresses the model updates drastically without suffering the severe error propagation typically associated with direct gradient quantization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combination of FedBuff and QAFeL ensures that the national AI platform scales efficiently across tens of thousands of PHCs, immune to the varied hardware and network conditions of rural India.</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Privacy-Preserving Machine Learning: Differential Privacy (DP)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federated learning ensures that raw data remains at the edge, the transmission of model gradients still poses a subtle security risk. Advanced adversarial techniques, such as membership inference attacks and gradient inversion, can theoretically reconstruct portions of the original training data by analyzing the specific weight changes a client submits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provide mathematically rigorous guarantees against such vulnerabilities, the federated architecture must integrate Differential Privacy (DP) at the client level.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privacy provides a statistical framework that bounds the privacy loss of an algorithm, ensuring that the output of the model does not significantly change whether or not a specific individual's data was included in the training set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the context of deep learning, this is achieved through Differentially Private Stochastic Gradient Descent (DP-SGD). Before a PHC transmits its model update to the central FedBuff aggregator, the local agent performs two critical operations: gradient clipping and noise injection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Gradient clipping bounds the influence of any single data point (e.g., an outlier patient with a rare disease footprint) by limiting the </w:t>
      </w:r>
      <w:r w:rsidDel="00000000" w:rsidR="00000000" w:rsidRPr="00000000">
        <w:rPr>
          <w:rFonts w:ascii="Google Sans" w:cs="Google Sans" w:eastAsia="Google Sans" w:hAnsi="Google Sans"/>
          <w:color w:val="1f1f1f"/>
        </w:rPr>
        <w:drawing>
          <wp:inline distB="19050" distT="19050" distL="19050" distR="19050">
            <wp:extent cx="211666" cy="255460"/>
            <wp:effectExtent b="0" l="0" r="0" t="0"/>
            <wp:docPr id="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11666" cy="255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 of the gradients to a maximum threshold </w:t>
      </w:r>
      <w:r w:rsidDel="00000000" w:rsidR="00000000" w:rsidRPr="00000000">
        <w:rPr>
          <w:rFonts w:ascii="Google Sans" w:cs="Google Sans" w:eastAsia="Google Sans" w:hAnsi="Google Sans"/>
          <w:color w:val="1f1f1f"/>
        </w:rPr>
        <w:drawing>
          <wp:inline distB="19050" distT="19050" distL="19050" distR="19050">
            <wp:extent cx="154120" cy="256867"/>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54120" cy="256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Subsequently, isotropic Gaussian noise is added to the clipped gradients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resulting noisy gradient </w:t>
      </w:r>
      <w:r w:rsidDel="00000000" w:rsidR="00000000" w:rsidRPr="00000000">
        <w:rPr>
          <w:rFonts w:ascii="Google Sans" w:cs="Google Sans" w:eastAsia="Google Sans" w:hAnsi="Google Sans"/>
          <w:color w:val="1f1f1f"/>
        </w:rPr>
        <w:drawing>
          <wp:inline distB="19050" distT="19050" distL="19050" distR="19050">
            <wp:extent cx="100432" cy="236732"/>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0432" cy="236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1138"/>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05500" cy="7511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magnitude of the injected noise is governed by the privacy budget parameters, epsilon (</w:t>
      </w:r>
      <w:r w:rsidDel="00000000" w:rsidR="00000000" w:rsidRPr="00000000">
        <w:rPr>
          <w:rFonts w:ascii="Google Sans" w:cs="Google Sans" w:eastAsia="Google Sans" w:hAnsi="Google Sans"/>
          <w:color w:val="1f1f1f"/>
        </w:rPr>
        <w:drawing>
          <wp:inline distB="19050" distT="19050" distL="19050" distR="19050">
            <wp:extent cx="79595" cy="278584"/>
            <wp:effectExtent b="0" l="0" r="0" t="0"/>
            <wp:docPr id="2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9595" cy="27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delta (</w:t>
      </w:r>
      <w:r w:rsidDel="00000000" w:rsidR="00000000" w:rsidRPr="00000000">
        <w:rPr>
          <w:rFonts w:ascii="Google Sans" w:cs="Google Sans" w:eastAsia="Google Sans" w:hAnsi="Google Sans"/>
          <w:color w:val="1f1f1f"/>
        </w:rPr>
        <w:drawing>
          <wp:inline distB="19050" distT="19050" distL="19050" distR="19050">
            <wp:extent cx="94368" cy="254068"/>
            <wp:effectExtent b="0" l="0" r="0" t="0"/>
            <wp:docPr id="2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4368" cy="254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smaller </w:t>
      </w:r>
      <w:r w:rsidDel="00000000" w:rsidR="00000000" w:rsidRPr="00000000">
        <w:rPr>
          <w:rFonts w:ascii="Google Sans" w:cs="Google Sans" w:eastAsia="Google Sans" w:hAnsi="Google Sans"/>
          <w:color w:val="1f1f1f"/>
        </w:rPr>
        <w:drawing>
          <wp:inline distB="19050" distT="19050" distL="19050" distR="19050">
            <wp:extent cx="79595" cy="278584"/>
            <wp:effectExtent b="0" l="0" r="0" t="0"/>
            <wp:docPr id="2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9595" cy="27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provides stronger privacy protection by introducing more noise, which inherently degrades the utility and predictive accuracy of the model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healthcare predictive modeling, research demonstrates that an </w:t>
      </w:r>
      <w:r w:rsidDel="00000000" w:rsidR="00000000" w:rsidRPr="00000000">
        <w:rPr>
          <w:rFonts w:ascii="Google Sans" w:cs="Google Sans" w:eastAsia="Google Sans" w:hAnsi="Google Sans"/>
          <w:color w:val="1f1f1f"/>
        </w:rPr>
        <w:drawing>
          <wp:inline distB="19050" distT="19050" distL="19050" distR="19050">
            <wp:extent cx="79595" cy="278584"/>
            <wp:effectExtent b="0" l="0" r="0" t="0"/>
            <wp:docPr id="2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9595" cy="27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approximating 1.0 represents the optimal equilibrium, providing robust privacy preservation against adversarial attacks while inducing an accuracy degradation of less than five percentage points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DP in continuous, real-time federated learning environments poses a unique challenge known as privacy budget depletion. Because the model continuously trains on fresh data across successive rounds, the cumulative privacy loss grows over time according to advanced composition theorems, such as Rényi Differential Privacy (RDP)</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manage this in a production environment, the platform dynamically modulates the noise scale utilizing the Opacus library in PyTorch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system employs an adaptive gradient clipping strategy; rather than hardcoding a static clipping norm </w:t>
      </w:r>
      <w:r w:rsidDel="00000000" w:rsidR="00000000" w:rsidRPr="00000000">
        <w:rPr>
          <w:rFonts w:ascii="Google Sans" w:cs="Google Sans" w:eastAsia="Google Sans" w:hAnsi="Google Sans"/>
          <w:color w:val="1f1f1f"/>
        </w:rPr>
        <w:drawing>
          <wp:inline distB="19050" distT="19050" distL="19050" distR="19050">
            <wp:extent cx="154120" cy="256867"/>
            <wp:effectExtent b="0" l="0" r="0" t="0"/>
            <wp:docPr id="2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54120" cy="256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local agent monitors the unclipped 50th percentile </w:t>
      </w:r>
      <w:r w:rsidDel="00000000" w:rsidR="00000000" w:rsidRPr="00000000">
        <w:rPr>
          <w:rFonts w:ascii="Google Sans" w:cs="Google Sans" w:eastAsia="Google Sans" w:hAnsi="Google Sans"/>
          <w:color w:val="1f1f1f"/>
        </w:rPr>
        <w:drawing>
          <wp:inline distB="19050" distT="19050" distL="19050" distR="19050">
            <wp:extent cx="211666" cy="255460"/>
            <wp:effectExtent b="0" l="0" r="0" t="0"/>
            <wp:docPr id="2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11666" cy="255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 of client gradients during warm-up rounds and sets </w:t>
      </w:r>
      <w:r w:rsidDel="00000000" w:rsidR="00000000" w:rsidRPr="00000000">
        <w:rPr>
          <w:rFonts w:ascii="Google Sans" w:cs="Google Sans" w:eastAsia="Google Sans" w:hAnsi="Google Sans"/>
          <w:color w:val="1f1f1f"/>
        </w:rPr>
        <w:drawing>
          <wp:inline distB="19050" distT="19050" distL="19050" distR="19050">
            <wp:extent cx="154120" cy="256867"/>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54120" cy="256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to bound clipping bias while preserving the essential predictive signal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Forecasting at the Edge: Temporal Fusion Transformers (TFT)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secure, asynchronous federated infrastructure established, the core intelligence of the platform relies on advanced time-series forecasting. The local edge nodes (District Hospitals and large CHCs) are tasked with predicting three highly dynamic variables: medicine demand, bed availability, and medical personnel attendance. To achieve this multi-horizon predictive capability, the platform deploys Temporal Fusion Transformers (TFT) as the foundational neural network architecture.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models like Long Short-Term Memory (LSTM) networks or ARIMA fail to effectively capture the complex, multi-modal interactions present in healthcare supply chains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TFT is an attention-based deep neural network designed explicitly to handle multiple distinct types of input data simultaneously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TFT model deployed at each edge node processes three categories of information to forecast supply chain stress: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Static Covariates:</w:t>
      </w:r>
      <w:r w:rsidDel="00000000" w:rsidR="00000000" w:rsidRPr="00000000">
        <w:rPr>
          <w:rFonts w:ascii="Google Sans" w:cs="Google Sans" w:eastAsia="Google Sans" w:hAnsi="Google Sans"/>
          <w:color w:val="1f1f1f"/>
          <w:rtl w:val="0"/>
        </w:rPr>
        <w:t xml:space="preserve"> These are unchanging contextual data points that influence health outcomes, such as the facility's geographical terrain (e.g., hilly regions inherently suffer from slower logistics and distinct morbidity patterns compared to plains), the total designated catchment population, and the facility type (PHC vs. CHC)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Known Future Inputs:</w:t>
      </w:r>
      <w:r w:rsidDel="00000000" w:rsidR="00000000" w:rsidRPr="00000000">
        <w:rPr>
          <w:rFonts w:ascii="Google Sans" w:cs="Google Sans" w:eastAsia="Google Sans" w:hAnsi="Google Sans"/>
          <w:color w:val="1f1f1f"/>
          <w:rtl w:val="0"/>
        </w:rPr>
        <w:t xml:space="preserve"> Variables known in advance that will cause demand spikes, such as scheduled immunization drives, national health programme rollouts, local festivals resulting in mass gatherings, and meteorological forecasts predicting monsoons that typically precede vector-borne disease outbreaks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Past Observed Inputs:</w:t>
      </w:r>
      <w:r w:rsidDel="00000000" w:rsidR="00000000" w:rsidRPr="00000000">
        <w:rPr>
          <w:rFonts w:ascii="Google Sans" w:cs="Google Sans" w:eastAsia="Google Sans" w:hAnsi="Google Sans"/>
          <w:color w:val="1f1f1f"/>
          <w:rtl w:val="0"/>
        </w:rPr>
        <w:t xml:space="preserve"> Real-time and historical time-series data, including the consumption rates of the top 100 essential molecules pulled from e-Aushadhi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hourly temperature integrity logs streaming from eVIN IoT sensors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daily personnel attendance logs and bed occupancy rates extracted from the e-Sushrut Hospital Management Information System (HMIS)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Gated Residual Networks (GRNs) and Variable Selection Networks, the TFT algorithm autonomously determines the significance of these diverse inputs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For example, the model can learn the causal relationship between a spike in unseasonal rainfall (known future input), a minor uptick in early fever presentations recorded in the HMIS (past observed input), and forecast a critical surge in the demand for anti-malarials and antipyretics fourteen days into the future. By federating these models across states, a TFT model in Maharashtra can learn from the complex temporal dynamics of a dengue outbreak processed by a TFT model in Kerala, updating the global parameters without ever transferring the sensitive underlying patient data.</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Cross-District Redistribution: MARL and MILP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a stock-out or a bed shortage is a vital first step, but a comprehensive platform must programmatically resolve the identified deficit. When an impending health emergency or sudden supply chain shock threatens the stability of a region, relying on manual requisition and centralized dispatching is too slow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platform introduces an automated cross-district resource redistribution engine that blends the strategic negotiation capabilities of Multi-Agent Reinforcement Learning (MARL) with the mathematical rigor of Mixed Integer Linear Programming (MILP)</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operations research, allocating limited medical resources across a distributed network is typically framed as an inventory routing problem</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MILP provides an exact mathematical method for minimizing total logistics and operational costs while satisfying constraints such as warehouse capacity, vehicle routing limitations, and strict demand requirements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objective function of the MILP solver is designed to minimize the aggregate manufacturer, supplier, and inter-facility transport costs while prioritizing the accessibility of life-saving medicines (Class V items in VED analysis)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running a full MILP optimization for a dynamic, real-time national network containing tens of thousands of PHCs is computationally prohibitive and cannot respond instantly to emergent crises. To bridge this operational gap, the architecture deploys MARL agents at the district level. These autonomous agents treat the supply chain as a cooperative environment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When the local TFT model issues an early warning for a critical stock-out (e.g., forecasting that an essential antibiotic will deplete within 72 hours), the local MARL agent broadcasts a deficit signal.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Neighboring district agents, continuously evaluating their own TFT-forecasted surpluses and upcoming delivery schedules, intercept the signal and negotiate a lateral transfer. Once the MARL agents agree on a feasible cross-district redistribution, the proposed transfer is passed through the MILP solver purely as a localized bounding constraint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hybrid approach ensures that the redistribution recommendation generated by the AI is both strategically responsive to the emergency and mathematically cost-optimal regarding physical logistics. The final recommended route is immediately surfaced on the District Logistics Manager's dashboard for a one-click authorization.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these advanced algorithms into a functional, user-centric software prototype for the hackathon, a rigorous Product Requirements Document is established.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Vision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resilient, federated digital twin of the Indian public healthcare supply chain that transforms reactive logistics into a predictive, self-healing network, guaranteeing the immediate availability of essential medicines, beds, and personnel at the last mile.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Personas and Pain Points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Context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Pain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Community Health Officer (CHO)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Manages the front lines at rural PHCs and HWCs.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Overburdened by manual inventory reporting across 105 medicines; struggles with delayed indents and unpredictable footfall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District Logistics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District Drug Warehouses (DDWs); manages fleet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Blind to facility-level consumption until stock-outs occur; relies on static historical data rather than epidemiological forecasts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Health Administrator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statewide morbidity trends and budget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early warning systems for disease outbreaks; cannot easily identify personnel attendance gaps or bed shortages during crises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Platform Features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&amp; Utility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Technology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Predictive Inventory Passbook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Auto-generates virtual indent requests based on highly accurate 14-day demand forecasts, eliminating the manual calculation burden on the CHO. Evolving the TNMSC model into a predictive paradigm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Fusion Transformer (TFT) forecasting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Emergency Early Warning System (EWS)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dynamic alert matrix that highlights specific facilities projected to exhaust vital, life-saving items (Class V) within a critical window, factoring in forecasted disease spikes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TFT confidence intervals combined with real-time HMIS footfall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Lateral Redistribution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centralized dashboard interface for District Managers allowing one-click approval of AI-recommended cross-district or cross-facility inventory and personnel transfers.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MARL negotiation bounded by MILP optimization routing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IoT Spoilage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API linkage with eVIN temperature loggers. Predicts imminent cold-chain failures and triggers automated redistribution of near-expiry or at-risk vaccines prior to spoilage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Kafka pipelines analyzing time-series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Capacity &amp; Attendance Tracker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Correlates real-time attendance logs with predicted patient surges to immediately flag facilities operating with dangerous human resource deficits, enabling emergency staff deployments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analysis of e-Sushrut HR and bed availability modules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Viable Product (MVP) Success Metrics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Accuracy:</w:t>
      </w:r>
      <w:r w:rsidDel="00000000" w:rsidR="00000000" w:rsidRPr="00000000">
        <w:rPr>
          <w:rFonts w:ascii="Google Sans" w:cs="Google Sans" w:eastAsia="Google Sans" w:hAnsi="Google Sans"/>
          <w:color w:val="1f1f1f"/>
          <w:rtl w:val="0"/>
        </w:rPr>
        <w:t xml:space="preserve"> The TFT model must achieve &gt;85% accuracy on a 14-day multi-horizon forecast across a simulated dataset of essential medicines.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Optimization Latency:</w:t>
      </w:r>
      <w:r w:rsidDel="00000000" w:rsidR="00000000" w:rsidRPr="00000000">
        <w:rPr>
          <w:rFonts w:ascii="Google Sans" w:cs="Google Sans" w:eastAsia="Google Sans" w:hAnsi="Google Sans"/>
          <w:color w:val="1f1f1f"/>
          <w:rtl w:val="0"/>
        </w:rPr>
        <w:t xml:space="preserve"> The MARL+MILP engine must generate a mathematically valid lateral redistribution route in &lt; 2.5 seconds.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Privacy Assurance:</w:t>
      </w:r>
      <w:r w:rsidDel="00000000" w:rsidR="00000000" w:rsidRPr="00000000">
        <w:rPr>
          <w:rFonts w:ascii="Google Sans" w:cs="Google Sans" w:eastAsia="Google Sans" w:hAnsi="Google Sans"/>
          <w:color w:val="1f1f1f"/>
          <w:rtl w:val="0"/>
        </w:rPr>
        <w:t xml:space="preserve"> The DP mechanism must mathematically guarantee an </w:t>
      </w:r>
      <w:r w:rsidDel="00000000" w:rsidR="00000000" w:rsidRPr="00000000">
        <w:rPr>
          <w:rFonts w:ascii="Google Sans" w:cs="Google Sans" w:eastAsia="Google Sans" w:hAnsi="Google Sans"/>
          <w:color w:val="1f1f1f"/>
        </w:rPr>
        <w:drawing>
          <wp:inline distB="19050" distT="19050" distL="19050" distR="19050">
            <wp:extent cx="591123" cy="249269"/>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1123" cy="249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facility per training round, completely preventing the extraction of raw patient data from the global model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Requirements Document (TRD)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the PRD requires a scalable, secure, and interoperable technical foundation aligned with national digital health standards.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Topology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operates on a highly decentralized edge-to-cloud topology to support federated learning and comply with the DPDP Act.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 Processing Nodes (District Hospitals/Large CHCs):</w:t>
      </w:r>
      <w:r w:rsidDel="00000000" w:rsidR="00000000" w:rsidRPr="00000000">
        <w:rPr>
          <w:rFonts w:ascii="Google Sans" w:cs="Google Sans" w:eastAsia="Google Sans" w:hAnsi="Google Sans"/>
          <w:color w:val="1f1f1f"/>
          <w:rtl w:val="0"/>
        </w:rPr>
        <w:t xml:space="preserve"> Deployed on local hardware, these nodes run the local instances of the TFT models. They extract, sanitize, and format local raw data from existing databases (e-Aushadhi, e-Sushrut HMIS) without transmitting it externally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Central Aggregation Server (State/National Cloud):</w:t>
      </w:r>
      <w:r w:rsidDel="00000000" w:rsidR="00000000" w:rsidRPr="00000000">
        <w:rPr>
          <w:rFonts w:ascii="Google Sans" w:cs="Google Sans" w:eastAsia="Google Sans" w:hAnsi="Google Sans"/>
          <w:color w:val="1f1f1f"/>
          <w:rtl w:val="0"/>
        </w:rPr>
        <w:t xml:space="preserve"> A cloud-hosted environment running the Flower (Flwr) federated learning framework. It executes the FedBuff strategy, maintaining the secure buffer for incoming asynchronous gradient updates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Event-Driven Data Pipelines:</w:t>
      </w:r>
      <w:r w:rsidDel="00000000" w:rsidR="00000000" w:rsidRPr="00000000">
        <w:rPr>
          <w:rFonts w:ascii="Google Sans" w:cs="Google Sans" w:eastAsia="Google Sans" w:hAnsi="Google Sans"/>
          <w:color w:val="1f1f1f"/>
          <w:rtl w:val="0"/>
        </w:rPr>
        <w:t xml:space="preserve"> Apache Kafka streams are utilized to ingest high-velocity, high-volume data, particularly the continuous telemetry from eVIN temperature sensors and real-time personnel check-ins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Endpoints and Interoperability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integrate with the broader Indian healthcare ecosystem, the platform strictly adheres to the HL7 Fast Healthcare Interoperability Resources (FHIR) R4 standard promoted by the Ayushman Bharat Digital Mission (ABDM)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Standard / Protocol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in the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ABDM Health Facility Registry (HFR)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FHIR R4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map the geospatial availability, infrastructural tier (PHC vs CHC), and capacity of every registered facility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e-Aushadhi (DVDMS)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 APIs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Pull historical procurement cycles, current physical stock levels at DDWs, and pending vendor delivery timelines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eVIN Telemetry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Webhooks / MQTT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 continuous 60-minute interval GPRS temperature readings from ice-lined refrigerators to predict cold-chain degradation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e-Sushrut HMIS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FHIR R4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anonymized, aggregate clinical footfall indicators and real-time medical personnel attendance logs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FHIR R4 data schema, inventory levels and logistical movements are managed through the SupplyDelivery and InventoryReport resources. Specifically, the system utilizes SupplyDelivery.suppliedItem to create immutable digital trails of medical goods moving from district warehouses down to the PHC level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Compliance Specifications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Transport Security:</w:t>
      </w:r>
      <w:r w:rsidDel="00000000" w:rsidR="00000000" w:rsidRPr="00000000">
        <w:rPr>
          <w:rFonts w:ascii="Google Sans" w:cs="Google Sans" w:eastAsia="Google Sans" w:hAnsi="Google Sans"/>
          <w:color w:val="1f1f1f"/>
          <w:rtl w:val="0"/>
        </w:rPr>
        <w:t xml:space="preserve"> All client-server communications are encrypted via Transport Layer Security (TLS 1.3).</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Secure Aggregation:</w:t>
      </w:r>
      <w:r w:rsidDel="00000000" w:rsidR="00000000" w:rsidRPr="00000000">
        <w:rPr>
          <w:rFonts w:ascii="Google Sans" w:cs="Google Sans" w:eastAsia="Google Sans" w:hAnsi="Google Sans"/>
          <w:color w:val="1f1f1f"/>
          <w:rtl w:val="0"/>
        </w:rPr>
        <w:t xml:space="preserve"> Cryptographic secure aggregation protocols ensure that even the central server cannot reverse-engineer individual PHC datasets from the uploaded mathematical gradients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Differential Privacy Implementation:</w:t>
      </w:r>
      <w:r w:rsidDel="00000000" w:rsidR="00000000" w:rsidRPr="00000000">
        <w:rPr>
          <w:rFonts w:ascii="Google Sans" w:cs="Google Sans" w:eastAsia="Google Sans" w:hAnsi="Google Sans"/>
          <w:color w:val="1f1f1f"/>
          <w:rtl w:val="0"/>
        </w:rPr>
        <w:t xml:space="preserve"> Leveraging the opacus.PrivacyEngine wrapper in PyTorch, the system enforces a strict privacy budget targeting </w:t>
      </w:r>
      <w:r w:rsidDel="00000000" w:rsidR="00000000" w:rsidRPr="00000000">
        <w:rPr>
          <w:rFonts w:ascii="Google Sans" w:cs="Google Sans" w:eastAsia="Google Sans" w:hAnsi="Google Sans"/>
          <w:color w:val="1f1f1f"/>
        </w:rPr>
        <w:drawing>
          <wp:inline distB="19050" distT="19050" distL="19050" distR="19050">
            <wp:extent cx="591123" cy="249269"/>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1123" cy="249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36534" cy="250279"/>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736534" cy="250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scaling noise injection based on the gradient variance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System Specification (Agents.md)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automate the vast complexity of predictive modeling, privacy tracking, and logistics optimization, the platform utilizes a swarm of specialized, autonomous agents. These agents interact seamlessly to create the platform's core intelligence.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Function and Execution Logic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Outputs &amp; Actuations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Edge-Forecaster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District / CHC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Ingests localized e-Aushadhi inventory data, HMIS footfall metrics, and eVIN temperature logs. Executes the local Temporal Fusion Transformer (TFT) to generate multi-horizon forecasts for demand, bed occupancy, and personnel requirements. Applies DP-SGD noise to model weights.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JSON of predicted stock depletion dates; locally trained, differentially private model weights transmitted to the FL server.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Global-Aggregator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Manages the FedBuff asynchronous buffer. Listens for incoming Edge-Forecaster updates. Once the buffer hits threshold </w:t>
            </w:r>
            <w:r w:rsidDel="00000000" w:rsidR="00000000" w:rsidRPr="00000000">
              <w:rPr>
                <w:rFonts w:ascii="Google Sans" w:cs="Google Sans" w:eastAsia="Google Sans" w:hAnsi="Google Sans"/>
                <w:color w:val="1f1f1f"/>
              </w:rPr>
              <w:drawing>
                <wp:inline distB="19050" distT="19050" distL="19050" distR="19050">
                  <wp:extent cx="159191" cy="224315"/>
                  <wp:effectExtent b="0" l="0" r="0" t="0"/>
                  <wp:docPr id="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59191" cy="22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executes secure aggregation to update the global TFT model parameters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Broadcasts updated, highly generalized global model weights back to all active Edge-Forecaster agents.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Rebalancer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 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"predicted stock depletion" alarms from Edge-Forecasters. When a critical deficit is predicted alongside a nearby surplus, it initiates MARL negotiation and invokes the MILP solver to calculate the most cost-effective routing constraint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an actionable "Lateral Transfer Request" API payload, rendering a visual routing map on the District Manager's dashboard for approval.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Auditor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 (Edge &amp;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the continuous Rényi Differential Privacy (RDP) budget consumption for each participating node over successive federated training rounds. Ensures compliance with the DPDP Act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local node's cumulative </w:t>
            </w:r>
            <w:r w:rsidDel="00000000" w:rsidR="00000000" w:rsidRPr="00000000">
              <w:rPr>
                <w:rFonts w:ascii="Google Sans" w:cs="Google Sans" w:eastAsia="Google Sans" w:hAnsi="Google Sans"/>
                <w:color w:val="1f1f1f"/>
              </w:rPr>
              <w:drawing>
                <wp:inline distB="19050" distT="19050" distL="19050" distR="19050">
                  <wp:extent cx="79595" cy="278584"/>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9595" cy="27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the 1.0 threshold, the agent halts its model contributions until the next privacy epoch, generating an audit log.</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Workflow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operation of the federated platform functions as a continuous, self-optimizing closed-loop pipeline:</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Continuous Data Ingestion (At the Edge):</w:t>
      </w:r>
      <w:r w:rsidDel="00000000" w:rsidR="00000000" w:rsidRPr="00000000">
        <w:rPr>
          <w:rFonts w:ascii="Google Sans" w:cs="Google Sans" w:eastAsia="Google Sans" w:hAnsi="Google Sans"/>
          <w:color w:val="1f1f1f"/>
          <w:rtl w:val="0"/>
        </w:rPr>
        <w:t xml:space="preserve"> Throughout the day, the CHO records patient diagnoses and medication disbursements in the e-Sushrut HMIS. Simultaneously, eVIN IoT sensors stream temperature logs to the local edge server, and the e-Aushadhi database registers real-time physical stock levels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Privacy-Preserving Local Training:</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Edge-Forecaster Agent</w:t>
      </w:r>
      <w:r w:rsidDel="00000000" w:rsidR="00000000" w:rsidRPr="00000000">
        <w:rPr>
          <w:rFonts w:ascii="Google Sans" w:cs="Google Sans" w:eastAsia="Google Sans" w:hAnsi="Google Sans"/>
          <w:color w:val="1f1f1f"/>
          <w:rtl w:val="0"/>
        </w:rPr>
        <w:t xml:space="preserve"> preprocesses this diverse data array. It trains the local TFT model on the historical sequences to predict future demand for the upcoming 14 days. The Opacus library then clips the gradients and injects calibrated Gaussian noise to enforce Local Differential Privacy (LDP)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Quantized Asynchronous Transmission:</w:t>
      </w:r>
      <w:r w:rsidDel="00000000" w:rsidR="00000000" w:rsidRPr="00000000">
        <w:rPr>
          <w:rFonts w:ascii="Google Sans" w:cs="Google Sans" w:eastAsia="Google Sans" w:hAnsi="Google Sans"/>
          <w:color w:val="1f1f1f"/>
          <w:rtl w:val="0"/>
        </w:rPr>
        <w:t xml:space="preserve"> The updated, DP-secured model weights are compressed using the QAFeL quantization protocol and transmitted over the cellular network to the central cloud, ensuring minimal bandwidth consumption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Buffered Global Aggregation: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Global-Aggregator Agent</w:t>
      </w:r>
      <w:r w:rsidDel="00000000" w:rsidR="00000000" w:rsidRPr="00000000">
        <w:rPr>
          <w:rFonts w:ascii="Google Sans" w:cs="Google Sans" w:eastAsia="Google Sans" w:hAnsi="Google Sans"/>
          <w:color w:val="1f1f1f"/>
          <w:rtl w:val="0"/>
        </w:rPr>
        <w:t xml:space="preserve"> receives the updates and places them into the asynchronous buffer. Once the buffer reaches capacity, the global model is updated immediately, entirely mitigating the delays caused by offline or slow-connection PHCs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enhanced global model is subsequently broadcast back to the entire network.</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Policy Actuation and Logistics Optimization:</w:t>
      </w:r>
      <w:r w:rsidDel="00000000" w:rsidR="00000000" w:rsidRPr="00000000">
        <w:rPr>
          <w:rFonts w:ascii="Google Sans" w:cs="Google Sans" w:eastAsia="Google Sans" w:hAnsi="Google Sans"/>
          <w:color w:val="1f1f1f"/>
          <w:rtl w:val="0"/>
        </w:rPr>
        <w:t xml:space="preserve"> The highly accurate, state-wide predictions are continuously monitored by the </w:t>
      </w:r>
      <w:r w:rsidDel="00000000" w:rsidR="00000000" w:rsidRPr="00000000">
        <w:rPr>
          <w:rFonts w:ascii="Google Sans" w:cs="Google Sans" w:eastAsia="Google Sans" w:hAnsi="Google Sans"/>
          <w:i w:val="1"/>
          <w:iCs w:val="1"/>
          <w:color w:val="1f1f1f"/>
          <w:rtl w:val="0"/>
        </w:rPr>
        <w:t xml:space="preserve">Rebalancer Agent</w:t>
      </w:r>
      <w:r w:rsidDel="00000000" w:rsidR="00000000" w:rsidRPr="00000000">
        <w:rPr>
          <w:rFonts w:ascii="Google Sans" w:cs="Google Sans" w:eastAsia="Google Sans" w:hAnsi="Google Sans"/>
          <w:color w:val="1f1f1f"/>
          <w:rtl w:val="0"/>
        </w:rPr>
        <w:t xml:space="preserve">. Utilizing MARL and MILP, the system identifies impending localized crises—such as a forecasted exhaustion of essential antibiotics—and automatically drafts optimal cross-district transfer orders, presenting them to human logistics managers for immediate execution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Four-Member Work-Split Execution Plan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complex architecture within the time constraints of a hackathon, the development workflow is divided into four highly specialized, parallel tracks.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Responsibilities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Stack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Member 1: Federated ML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engineering the core machine learning pipeline. Sets up the Flower (Flwr) federated server and clients. Implements the Temporal Fusion Transformer (TFT) architecture. Integrates the Opacus library to ensure mathematical Differential Privacy (</w:t>
            </w:r>
            <w:r w:rsidDel="00000000" w:rsidR="00000000" w:rsidRPr="00000000">
              <w:rPr>
                <w:rFonts w:ascii="Google Sans" w:cs="Google Sans" w:eastAsia="Google Sans" w:hAnsi="Google Sans"/>
                <w:color w:val="1f1f1f"/>
              </w:rPr>
              <w:drawing>
                <wp:inline distB="19050" distT="19050" distL="19050" distR="19050">
                  <wp:extent cx="79595" cy="278584"/>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9595" cy="27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4368" cy="254068"/>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4368" cy="254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tuning) during the federated rounds.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PyTorch, PyTorch Forecasting, Flower (Flwr), Opacus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Member 2: Operations Research &amp; Agent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Develops the autonomous decision-making logic. Formulates the Mixed Integer Linear Programming (MILP) constraints for cross-district vehicle routing. Codes the LangChain wrappers and integrates the MARL logic for the Rebalancer and Privacy Auditor agents defined in the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PuLP / Gurobi, Ray RLlib, LangChain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Member 3: Backend &amp; Data Integration Lead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Constructs the necessary mock data lakes representing the Indian health ecosystem. Builds API emulators for e-Aushadhi, HMIS, and eVIN telemetry. Sets up Apache Kafka event streams for high-velocity data. Ensures all endpoints strictly output HL7 FHIR R4 compliant JSON payloads forABD interoperability.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Node.js / FastAPI, Apache Kafka, PostgreSQL, Docker, HL7 FHIR toolkits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Member 4: Frontend &amp; Geospatial UI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Translates the complex AI outputs into intuitive user interfaces. Designs the District Manager control dashboard and the CHO mobile view. Implements real-time, interactive geospatial mapping to visualize predicted stock-outs, bed capacity heatmaps, and the AI-generated lateral redistribution routes.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 Next.js, Tailwind CSS, Mapbox GL JS, WebSockets</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vulnerabilities currently paralyzing the Indian public healthcare supply chain cannot be resolved by merely injecting more capital or inventory into a fundamentally blind and reactive system. True national resilience demands a paradigm shift toward predictive intelligence and automated, lateral optimization.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proven logistical governance of models like the TNMSC with modern, real-time IoT infrastructure like eVIN, a strong foundation is established. However, the deployment of the Federated AI-Driven Digital Twin Platform serves as the definitive catalyst. Utilizing Temporal Fusion Transformers synchronized via Buffered Asynchronous Federated Learning (FedBuff), the architecture elegantly bypasses the dual obstacles of rural network fragility and stringent data privacy regulations established by the DPDP Act, 2023. Shifting predictive compute to the edge enables hyper-localized, multi-horizon forecasting of medicines, beds, and personnel. When this intelligence is coupled with the mathematically rigorous MARL and MILP redistribution engine, the platform transcends passive monitoring. It actively prevents stock-outs before they manifest, dynamically rerouting resources across the national network to guarantee that life-saving interventions are always available at the last mile exactly when they are needed most.</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taken to Improve Rural Healthcare - PIB, </w:t>
      </w:r>
      <w:hyperlink r:id="rId23">
        <w:r w:rsidDel="00000000" w:rsidR="00000000" w:rsidRPr="00000000">
          <w:rPr>
            <w:rFonts w:ascii="Google Sans" w:cs="Google Sans" w:eastAsia="Google Sans" w:hAnsi="Google Sans"/>
            <w:color w:val="0000ee"/>
            <w:sz w:val="24"/>
            <w:szCs w:val="24"/>
            <w:u w:val="single"/>
            <w:rtl w:val="0"/>
          </w:rPr>
          <w:t xml:space="preserve">https://www.pib.gov.in/PressReleasePage.aspx?PRID=1947691</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taken to Strengthen Rural Healthcare - PIB, </w:t>
      </w:r>
      <w:hyperlink r:id="rId24">
        <w:r w:rsidDel="00000000" w:rsidR="00000000" w:rsidRPr="00000000">
          <w:rPr>
            <w:rFonts w:ascii="Google Sans" w:cs="Google Sans" w:eastAsia="Google Sans" w:hAnsi="Google Sans"/>
            <w:color w:val="0000ee"/>
            <w:sz w:val="24"/>
            <w:szCs w:val="24"/>
            <w:u w:val="single"/>
            <w:rtl w:val="0"/>
          </w:rPr>
          <w:t xml:space="preserve">https://www.pib.gov.in/PressReleasePage.aspx?PRID=1943657</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Granular evaluation of public primary healthcare accessibility in, </w:t>
      </w:r>
      <w:hyperlink r:id="rId25">
        <w:r w:rsidDel="00000000" w:rsidR="00000000" w:rsidRPr="00000000">
          <w:rPr>
            <w:rFonts w:ascii="Google Sans" w:cs="Google Sans" w:eastAsia="Google Sans" w:hAnsi="Google Sans"/>
            <w:color w:val="0000ee"/>
            <w:sz w:val="24"/>
            <w:szCs w:val="24"/>
            <w:u w:val="single"/>
            <w:rtl w:val="0"/>
          </w:rPr>
          <w:t xml:space="preserve">https://www.emerald.com/jhom/article/40/9/266/1359052/Granular-evaluation-of-public-primary-healthcare</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AYUSHMAN BHARAT, </w:t>
      </w:r>
      <w:hyperlink r:id="rId26">
        <w:r w:rsidDel="00000000" w:rsidR="00000000" w:rsidRPr="00000000">
          <w:rPr>
            <w:rFonts w:ascii="Google Sans" w:cs="Google Sans" w:eastAsia="Google Sans" w:hAnsi="Google Sans"/>
            <w:color w:val="0000ee"/>
            <w:sz w:val="24"/>
            <w:szCs w:val="24"/>
            <w:u w:val="single"/>
            <w:rtl w:val="0"/>
          </w:rPr>
          <w:t xml:space="preserve">https://nhsrcindia.org/sites/default/files/2021-03/Operational%20Guidelines%20For%20Comprehensive%20Primary%20Health%20Care%20through%20Health%20and%20Wellness%20Centers.pdf</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Closing the Last Mile, Opening the First: Investment,... - VeriXiv, </w:t>
      </w:r>
      <w:hyperlink r:id="rId27">
        <w:r w:rsidDel="00000000" w:rsidR="00000000" w:rsidRPr="00000000">
          <w:rPr>
            <w:rFonts w:ascii="Google Sans" w:cs="Google Sans" w:eastAsia="Google Sans" w:hAnsi="Google Sans"/>
            <w:color w:val="0000ee"/>
            <w:sz w:val="24"/>
            <w:szCs w:val="24"/>
            <w:u w:val="single"/>
            <w:rtl w:val="0"/>
          </w:rPr>
          <w:t xml:space="preserve">https://verixiv.org/articles/3-290</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HMIS Database in Indian Healthcare - Sambodhi, </w:t>
      </w:r>
      <w:hyperlink r:id="rId28">
        <w:r w:rsidDel="00000000" w:rsidR="00000000" w:rsidRPr="00000000">
          <w:rPr>
            <w:rFonts w:ascii="Google Sans" w:cs="Google Sans" w:eastAsia="Google Sans" w:hAnsi="Google Sans"/>
            <w:color w:val="0000ee"/>
            <w:sz w:val="24"/>
            <w:szCs w:val="24"/>
            <w:u w:val="single"/>
            <w:rtl w:val="0"/>
          </w:rPr>
          <w:t xml:space="preserve">https://sambodhi.co.in/role-of-hmis-database-in-indian-healthcare/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to review drug inventory and pharmacy management with,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https://www.researchgate.net/publication/339498675_A_study_to_review_drug_inventory_and_pharmacy_management_with_reference_to_IV_injectables_at_a_tertiary_municipal_care_hospital_with_1800_bedded_hospital</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is a model Indian States can implement to ensure smooth flow, </w:t>
      </w:r>
      <w:hyperlink r:id="rId30">
        <w:r w:rsidDel="00000000" w:rsidR="00000000" w:rsidRPr="00000000">
          <w:rPr>
            <w:rFonts w:ascii="Google Sans" w:cs="Google Sans" w:eastAsia="Google Sans" w:hAnsi="Google Sans"/>
            <w:color w:val="0000ee"/>
            <w:sz w:val="24"/>
            <w:szCs w:val="24"/>
            <w:u w:val="single"/>
            <w:rtl w:val="0"/>
          </w:rPr>
          <w:t xml:space="preserve">https://blogs.worldbank.org/en/governance/here-model-indian-states-can-implement-ensure-smooth-flow-medical-supplies-health-facilities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 of TNMSC: A pioneering drug procurement model for the country, </w:t>
      </w:r>
      <w:hyperlink r:id="rId31">
        <w:r w:rsidDel="00000000" w:rsidR="00000000" w:rsidRPr="00000000">
          <w:rPr>
            <w:rFonts w:ascii="Google Sans" w:cs="Google Sans" w:eastAsia="Google Sans" w:hAnsi="Google Sans"/>
            <w:color w:val="0000ee"/>
            <w:sz w:val="24"/>
            <w:szCs w:val="24"/>
            <w:u w:val="single"/>
            <w:rtl w:val="0"/>
          </w:rPr>
          <w:t xml:space="preserve">https://www.newindianexpress.com/states/tamil-nadu/2025/Mar/31/tale-of-tnmsc-a-pioneering-drug-procurement-model-for-the-country</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TNMSC has adopted an end-to-end drug distribution management, </w:t>
      </w:r>
      <w:hyperlink r:id="rId32">
        <w:r w:rsidDel="00000000" w:rsidR="00000000" w:rsidRPr="00000000">
          <w:rPr>
            <w:rFonts w:ascii="Google Sans" w:cs="Google Sans" w:eastAsia="Google Sans" w:hAnsi="Google Sans"/>
            <w:color w:val="0000ee"/>
            <w:sz w:val="24"/>
            <w:szCs w:val="24"/>
            <w:u w:val="single"/>
            <w:rtl w:val="0"/>
          </w:rPr>
          <w:t xml:space="preserve">https://www.thehindu.com/news/cities/chennai/tnmsc-has-adopted-an-end-to-end-drug-distribution-management-system-says-minister/article67067736.ece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learned from redesigning public health medicines supply,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https://pmc.ncbi.nlm.nih.gov/articles/PMC12333384/</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IT-ENABLED SUPPLY CHAIN MANAGEMENT OF MEDICINES, </w:t>
      </w:r>
      <w:hyperlink r:id="rId34">
        <w:r w:rsidDel="00000000" w:rsidR="00000000" w:rsidRPr="00000000">
          <w:rPr>
            <w:rFonts w:ascii="Google Sans" w:cs="Google Sans" w:eastAsia="Google Sans" w:hAnsi="Google Sans"/>
            <w:color w:val="0000ee"/>
            <w:sz w:val="24"/>
            <w:szCs w:val="24"/>
            <w:u w:val="single"/>
            <w:rtl w:val="0"/>
          </w:rPr>
          <w:t xml:space="preserve">https://nhsrcindia.org/sites/default/files/2025-08/Assessment%20of%20IT-enabled%20Supply%20Chain%20Management%20of%20Medicines.pdf</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Learned from Redesigning Public Health Medicines Supply, </w:t>
      </w:r>
      <w:hyperlink r:id="rId35">
        <w:r w:rsidDel="00000000" w:rsidR="00000000" w:rsidRPr="00000000">
          <w:rPr>
            <w:rFonts w:ascii="Google Sans" w:cs="Google Sans" w:eastAsia="Google Sans" w:hAnsi="Google Sans"/>
            <w:color w:val="0000ee"/>
            <w:sz w:val="24"/>
            <w:szCs w:val="24"/>
            <w:u w:val="single"/>
            <w:rtl w:val="0"/>
          </w:rPr>
          <w:t xml:space="preserve">https://www.ihat.in/resources/redesigning-public-health-medicines-supply-chain-model-in-uttar-pradesh-india/</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Vaccine Intelligence Network (eVIN) - BYJU'S, </w:t>
      </w:r>
      <w:hyperlink r:id="rId36">
        <w:r w:rsidDel="00000000" w:rsidR="00000000" w:rsidRPr="00000000">
          <w:rPr>
            <w:rFonts w:ascii="Google Sans" w:cs="Google Sans" w:eastAsia="Google Sans" w:hAnsi="Google Sans"/>
            <w:color w:val="0000ee"/>
            <w:sz w:val="24"/>
            <w:szCs w:val="24"/>
            <w:u w:val="single"/>
            <w:rtl w:val="0"/>
          </w:rPr>
          <w:t xml:space="preserve">https://byjus.com/current-affairs/electronic-vaccine-intelligence-network-evin/</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eVIN (Electronic Vaccine Intelligence Network) - GKToday, </w:t>
      </w:r>
      <w:hyperlink r:id="rId37">
        <w:r w:rsidDel="00000000" w:rsidR="00000000" w:rsidRPr="00000000">
          <w:rPr>
            <w:rFonts w:ascii="Google Sans" w:cs="Google Sans" w:eastAsia="Google Sans" w:hAnsi="Google Sans"/>
            <w:color w:val="0000ee"/>
            <w:sz w:val="24"/>
            <w:szCs w:val="24"/>
            <w:u w:val="single"/>
            <w:rtl w:val="0"/>
          </w:rPr>
          <w:t xml:space="preserve">https://www.gktoday.in/evin-electronic-vaccine-intelligence-network/</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Vaccine Intelligence Network (eVIN) - Testbook.com, </w:t>
      </w:r>
      <w:hyperlink r:id="rId38">
        <w:r w:rsidDel="00000000" w:rsidR="00000000" w:rsidRPr="00000000">
          <w:rPr>
            <w:rFonts w:ascii="Google Sans" w:cs="Google Sans" w:eastAsia="Google Sans" w:hAnsi="Google Sans"/>
            <w:color w:val="0000ee"/>
            <w:sz w:val="24"/>
            <w:szCs w:val="24"/>
            <w:u w:val="single"/>
            <w:rtl w:val="0"/>
          </w:rPr>
          <w:t xml:space="preserve">https://testbook.com/articles/electronic-vaccine-intelligence-network-evin</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Vaccination Systems - eVIN, </w:t>
      </w:r>
      <w:hyperlink r:id="rId39">
        <w:r w:rsidDel="00000000" w:rsidR="00000000" w:rsidRPr="00000000">
          <w:rPr>
            <w:rFonts w:ascii="Google Sans" w:cs="Google Sans" w:eastAsia="Google Sans" w:hAnsi="Google Sans"/>
            <w:color w:val="0000ee"/>
            <w:sz w:val="24"/>
            <w:szCs w:val="24"/>
            <w:u w:val="single"/>
            <w:rtl w:val="0"/>
          </w:rPr>
          <w:t xml:space="preserve">https://www.undp.org/india/projects/improving-vaccination-systems-evin</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Informatics Products - C-DAC, </w:t>
      </w:r>
      <w:hyperlink r:id="rId40">
        <w:r w:rsidDel="00000000" w:rsidR="00000000" w:rsidRPr="00000000">
          <w:rPr>
            <w:rFonts w:ascii="Google Sans" w:cs="Google Sans" w:eastAsia="Google Sans" w:hAnsi="Google Sans"/>
            <w:color w:val="0000ee"/>
            <w:sz w:val="24"/>
            <w:szCs w:val="24"/>
            <w:u w:val="single"/>
            <w:rtl w:val="0"/>
          </w:rPr>
          <w:t xml:space="preserve">https://www.cdac.in/index.aspx?id=print_page&amp;print=ps_health_info_products</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Vaccine Intelligence Network (eVIN): Are Cold Chain,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https://www.researchgate.net/publication/334821170_Electronic_Vaccine_Intelligence_Network_eVIN_Are_Cold_Chain_Handlers_Supporting_this_m_Health_An_Application_of_Kurt_Lewin_theory_of_Change_Management</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API Integration for Seamless Data Exchange - SPEC India, </w:t>
      </w:r>
      <w:hyperlink r:id="rId42">
        <w:r w:rsidDel="00000000" w:rsidR="00000000" w:rsidRPr="00000000">
          <w:rPr>
            <w:rFonts w:ascii="Google Sans" w:cs="Google Sans" w:eastAsia="Google Sans" w:hAnsi="Google Sans"/>
            <w:color w:val="0000ee"/>
            <w:sz w:val="24"/>
            <w:szCs w:val="24"/>
            <w:u w:val="single"/>
            <w:rtl w:val="0"/>
          </w:rPr>
          <w:t xml:space="preserve">https://www.spec-india.com/blog/healthcare-api-integration</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DHIS - Digital Health Incentive Scheme | ABDM, </w:t>
      </w:r>
      <w:hyperlink r:id="rId43">
        <w:r w:rsidDel="00000000" w:rsidR="00000000" w:rsidRPr="00000000">
          <w:rPr>
            <w:rFonts w:ascii="Google Sans" w:cs="Google Sans" w:eastAsia="Google Sans" w:hAnsi="Google Sans"/>
            <w:color w:val="0000ee"/>
            <w:sz w:val="24"/>
            <w:szCs w:val="24"/>
            <w:u w:val="single"/>
            <w:rtl w:val="0"/>
          </w:rPr>
          <w:t xml:space="preserve">https://abdm.gov.in/DHIS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SupplyDelivery — Resources — FHIR R4 | HL7 Workbench - Saga IT, </w:t>
      </w:r>
      <w:hyperlink r:id="rId44">
        <w:r w:rsidDel="00000000" w:rsidR="00000000" w:rsidRPr="00000000">
          <w:rPr>
            <w:rFonts w:ascii="Google Sans" w:cs="Google Sans" w:eastAsia="Google Sans" w:hAnsi="Google Sans"/>
            <w:color w:val="0000ee"/>
            <w:sz w:val="24"/>
            <w:szCs w:val="24"/>
            <w:u w:val="single"/>
            <w:rtl w:val="0"/>
          </w:rPr>
          <w:t xml:space="preserve">https://saga-it.com/hl7workbench/fhir/r4/resources/SupplyDelivery</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Protecting Patient Data in India - DPDP Act 2023, </w:t>
      </w:r>
      <w:hyperlink r:id="rId45">
        <w:r w:rsidDel="00000000" w:rsidR="00000000" w:rsidRPr="00000000">
          <w:rPr>
            <w:rFonts w:ascii="Google Sans" w:cs="Google Sans" w:eastAsia="Google Sans" w:hAnsi="Google Sans"/>
            <w:color w:val="0000ee"/>
            <w:sz w:val="24"/>
            <w:szCs w:val="24"/>
            <w:u w:val="single"/>
            <w:rtl w:val="0"/>
          </w:rPr>
          <w:t xml:space="preserve">https://dpdpacts.com/blog/dpdp-compliance-for-hospitals/</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India, </w:t>
      </w:r>
      <w:hyperlink r:id="rId46">
        <w:r w:rsidDel="00000000" w:rsidR="00000000" w:rsidRPr="00000000">
          <w:rPr>
            <w:rFonts w:ascii="Google Sans" w:cs="Google Sans" w:eastAsia="Google Sans" w:hAnsi="Google Sans"/>
            <w:color w:val="0000ee"/>
            <w:sz w:val="24"/>
            <w:szCs w:val="24"/>
            <w:u w:val="single"/>
            <w:rtl w:val="0"/>
          </w:rPr>
          <w:t xml:space="preserve">https://www.dlapiperdataprotection.com/?t=law&amp;c=IN</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Record Security and Privacy in India | Ayu, </w:t>
      </w:r>
      <w:hyperlink r:id="rId47">
        <w:r w:rsidDel="00000000" w:rsidR="00000000" w:rsidRPr="00000000">
          <w:rPr>
            <w:rFonts w:ascii="Google Sans" w:cs="Google Sans" w:eastAsia="Google Sans" w:hAnsi="Google Sans"/>
            <w:color w:val="0000ee"/>
            <w:sz w:val="24"/>
            <w:szCs w:val="24"/>
            <w:u w:val="single"/>
            <w:rtl w:val="0"/>
          </w:rPr>
          <w:t xml:space="preserve">https://ayuapp.com/general/medical-record-security-privacy-india-comprehensive-guide</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Data Privacy Important? Definition, Examples, Laws &amp; | Alation, </w:t>
      </w:r>
      <w:hyperlink r:id="rId48">
        <w:r w:rsidDel="00000000" w:rsidR="00000000" w:rsidRPr="00000000">
          <w:rPr>
            <w:rFonts w:ascii="Google Sans" w:cs="Google Sans" w:eastAsia="Google Sans" w:hAnsi="Google Sans"/>
            <w:color w:val="0000ee"/>
            <w:sz w:val="24"/>
            <w:szCs w:val="24"/>
            <w:u w:val="single"/>
            <w:rtl w:val="0"/>
          </w:rPr>
          <w:t xml:space="preserve">https://www.alation.com/blog/why-data-privacy-is-important/</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Privacy Challenges, Systemic Oversight, and Patient, </w:t>
      </w:r>
      <w:hyperlink r:id="rId49">
        <w:r w:rsidDel="00000000" w:rsidR="00000000" w:rsidRPr="00000000">
          <w:rPr>
            <w:rFonts w:ascii="Google Sans" w:cs="Google Sans" w:eastAsia="Google Sans" w:hAnsi="Google Sans"/>
            <w:color w:val="0000ee"/>
            <w:sz w:val="24"/>
            <w:szCs w:val="24"/>
            <w:u w:val="single"/>
            <w:rtl w:val="0"/>
          </w:rPr>
          <w:t xml:space="preserve">https://www.mdpi.com/2076-3417/14/2/675</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Federated Learning with Privacy Preserving Techniques, </w:t>
      </w:r>
      <w:hyperlink r:id="rId50">
        <w:r w:rsidDel="00000000" w:rsidR="00000000" w:rsidRPr="00000000">
          <w:rPr>
            <w:rFonts w:ascii="Google Sans" w:cs="Google Sans" w:eastAsia="Google Sans" w:hAnsi="Google Sans"/>
            <w:color w:val="0000ee"/>
            <w:sz w:val="24"/>
            <w:szCs w:val="24"/>
            <w:u w:val="single"/>
            <w:rtl w:val="0"/>
          </w:rPr>
          <w:t xml:space="preserve">https://cdn.shakudo.io/images/blog/securing-federated-learning-privacy-techniques-file.pdf</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AI Models on Distributed, Private Datasets - Shyank Dev, </w:t>
      </w:r>
      <w:hyperlink r:id="rId51">
        <w:r w:rsidDel="00000000" w:rsidR="00000000" w:rsidRPr="00000000">
          <w:rPr>
            <w:rFonts w:ascii="Google Sans" w:cs="Google Sans" w:eastAsia="Google Sans" w:hAnsi="Google Sans"/>
            <w:color w:val="0000ee"/>
            <w:sz w:val="24"/>
            <w:szCs w:val="24"/>
            <w:u w:val="single"/>
            <w:rtl w:val="0"/>
          </w:rPr>
          <w:t xml:space="preserve">https://www.shyankdev.us/blogs/federated-learning-distributed-private-datasets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Differentially Private Federated Learning for Remaining Useful Life, </w:t>
      </w:r>
      <w:hyperlink r:id="rId52">
        <w:r w:rsidDel="00000000" w:rsidR="00000000" w:rsidRPr="00000000">
          <w:rPr>
            <w:rFonts w:ascii="Google Sans" w:cs="Google Sans" w:eastAsia="Google Sans" w:hAnsi="Google Sans"/>
            <w:color w:val="0000ee"/>
            <w:sz w:val="24"/>
            <w:szCs w:val="24"/>
            <w:u w:val="single"/>
            <w:rtl w:val="0"/>
          </w:rPr>
          <w:t xml:space="preserve">https://www.mdpi.com/2076-3417/16/6/2784</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for Healthcare AI Explained - Nirmitee.io, </w:t>
      </w:r>
      <w:hyperlink r:id="rId53">
        <w:r w:rsidDel="00000000" w:rsidR="00000000" w:rsidRPr="00000000">
          <w:rPr>
            <w:rFonts w:ascii="Google Sans" w:cs="Google Sans" w:eastAsia="Google Sans" w:hAnsi="Google Sans"/>
            <w:color w:val="0000ee"/>
            <w:sz w:val="24"/>
            <w:szCs w:val="24"/>
            <w:u w:val="single"/>
            <w:rtl w:val="0"/>
          </w:rPr>
          <w:t xml:space="preserve">https://nirmitee.io/blog/federated-learning-healthcare-training-across-hospitals-no-data-sharing/</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Learning-Enhanced Digital Twin for Intelligent, </w:t>
      </w:r>
      <w:hyperlink r:id="rId54">
        <w:r w:rsidDel="00000000" w:rsidR="00000000" w:rsidRPr="00000000">
          <w:rPr>
            <w:rFonts w:ascii="Google Sans" w:cs="Google Sans" w:eastAsia="Google Sans" w:hAnsi="Google Sans"/>
            <w:color w:val="0000ee"/>
            <w:sz w:val="24"/>
            <w:szCs w:val="24"/>
            <w:u w:val="single"/>
            <w:rtl w:val="0"/>
          </w:rPr>
          <w:t xml:space="preserve">https://www.spiedigitallibrary.org/proceedings/Download?urlId=10.1117%2F12.3121319&amp;downloadType=proceedings%20article&amp;isResultClick=True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Learning-Based Intelligent Product Lifecycle, </w:t>
      </w:r>
      <w:hyperlink r:id="rId55">
        <w:r w:rsidDel="00000000" w:rsidR="00000000" w:rsidRPr="00000000">
          <w:rPr>
            <w:rFonts w:ascii="Google Sans" w:cs="Google Sans" w:eastAsia="Google Sans" w:hAnsi="Google Sans"/>
            <w:color w:val="0000ee"/>
            <w:sz w:val="24"/>
            <w:szCs w:val="24"/>
            <w:u w:val="single"/>
            <w:rtl w:val="0"/>
          </w:rPr>
          <w:t xml:space="preserve">https://www.ijert.org/federated-learning-based-intelligent-product-lifecycle-management-framework-for-automotive-supply-chains-enhancing-data-privacy-predictive-analytics-and-collaborative-decision-making-ijertv15is052706</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Distributed AI in the Age | MI - 超智諮詢, </w:t>
      </w:r>
      <w:hyperlink r:id="rId56">
        <w:r w:rsidDel="00000000" w:rsidR="00000000" w:rsidRPr="00000000">
          <w:rPr>
            <w:rFonts w:ascii="Google Sans" w:cs="Google Sans" w:eastAsia="Google Sans" w:hAnsi="Google Sans"/>
            <w:color w:val="0000ee"/>
            <w:sz w:val="24"/>
            <w:szCs w:val="24"/>
            <w:u w:val="single"/>
            <w:rtl w:val="0"/>
          </w:rPr>
          <w:t xml:space="preserve">https://www.meta-intelligence.tech/en/insight-federated-learning</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Federated Learning with Bidirectional Quantized, </w:t>
      </w:r>
      <w:hyperlink r:id="rId57">
        <w:r w:rsidDel="00000000" w:rsidR="00000000" w:rsidRPr="00000000">
          <w:rPr>
            <w:rFonts w:ascii="Google Sans" w:cs="Google Sans" w:eastAsia="Google Sans" w:hAnsi="Google Sans"/>
            <w:color w:val="0000ee"/>
            <w:sz w:val="24"/>
            <w:szCs w:val="24"/>
            <w:u w:val="single"/>
            <w:rtl w:val="0"/>
          </w:rPr>
          <w:t xml:space="preserve">https://par.nsf.gov/servlets/purl/10427869</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Aggregation for Buffered Asynchronous Federated Learning, </w:t>
      </w:r>
      <w:hyperlink r:id="rId58">
        <w:r w:rsidDel="00000000" w:rsidR="00000000" w:rsidRPr="00000000">
          <w:rPr>
            <w:rFonts w:ascii="Google Sans" w:cs="Google Sans" w:eastAsia="Google Sans" w:hAnsi="Google Sans"/>
            <w:color w:val="0000ee"/>
            <w:sz w:val="24"/>
            <w:szCs w:val="24"/>
            <w:u w:val="single"/>
            <w:rtl w:val="0"/>
          </w:rPr>
          <w:t xml:space="preserve">https://neurips2021workshopfl.github.io/NFFL-2021/papers/2021/So2021.pdf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with Buffered Asynchronous Aggregation - arXiv, </w:t>
      </w:r>
      <w:hyperlink r:id="rId59">
        <w:r w:rsidDel="00000000" w:rsidR="00000000" w:rsidRPr="00000000">
          <w:rPr>
            <w:rFonts w:ascii="Google Sans" w:cs="Google Sans" w:eastAsia="Google Sans" w:hAnsi="Google Sans"/>
            <w:color w:val="0000ee"/>
            <w:sz w:val="24"/>
            <w:szCs w:val="24"/>
            <w:u w:val="single"/>
            <w:rtl w:val="0"/>
          </w:rPr>
          <w:t xml:space="preserve">https://arxiv.org/abs/2106.06639</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Federated Learning with Bidirectional Quantized, </w:t>
      </w:r>
      <w:hyperlink r:id="rId60">
        <w:r w:rsidDel="00000000" w:rsidR="00000000" w:rsidRPr="00000000">
          <w:rPr>
            <w:rFonts w:ascii="Google Sans" w:cs="Google Sans" w:eastAsia="Google Sans" w:hAnsi="Google Sans"/>
            <w:color w:val="0000ee"/>
            <w:sz w:val="24"/>
            <w:szCs w:val="24"/>
            <w:u w:val="single"/>
            <w:rtl w:val="0"/>
          </w:rPr>
          <w:t xml:space="preserve">https://arxiv.org/abs/2308.00263</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Federated Learning with Buffered Asynchronous Aggregation, </w:t>
      </w:r>
      <w:hyperlink r:id="rId61">
        <w:r w:rsidDel="00000000" w:rsidR="00000000" w:rsidRPr="00000000">
          <w:rPr>
            <w:rFonts w:ascii="Google Sans" w:cs="Google Sans" w:eastAsia="Google Sans" w:hAnsi="Google Sans"/>
            <w:color w:val="0000ee"/>
            <w:sz w:val="24"/>
            <w:szCs w:val="24"/>
            <w:u w:val="single"/>
            <w:rtl w:val="0"/>
          </w:rPr>
          <w:t xml:space="preserve">https://www.semanticscholar.org/paper/Federated-Learning-with-Buffered-Asynchronous-Nguyen-Malik/38fca90fef15b226dbae8db408c5efe8066dde1c</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with Patient Data: Privacy, Compliance, and Use Cases, </w:t>
      </w:r>
      <w:hyperlink r:id="rId62">
        <w:r w:rsidDel="00000000" w:rsidR="00000000" w:rsidRPr="00000000">
          <w:rPr>
            <w:rFonts w:ascii="Google Sans" w:cs="Google Sans" w:eastAsia="Google Sans" w:hAnsi="Google Sans"/>
            <w:color w:val="0000ee"/>
            <w:sz w:val="24"/>
            <w:szCs w:val="24"/>
            <w:u w:val="single"/>
            <w:rtl w:val="0"/>
          </w:rPr>
          <w:t xml:space="preserve">https://www.accountablehq.com/post/using-ai-with-patient-data-privacy-compliance-and-use-cases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privacy for public health data: An innovative tool to ... - PMC,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https://pmc.ncbi.nlm.nih.gov/articles/PMC8662814/</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with differential privacy for breast cancer ... - PMC,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https://pmc.ncbi.nlm.nih.gov/articles/PMC12003885/</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Differential Privacy Approach in Federated Learning - MDPI, </w:t>
      </w:r>
      <w:hyperlink r:id="rId65">
        <w:r w:rsidDel="00000000" w:rsidR="00000000" w:rsidRPr="00000000">
          <w:rPr>
            <w:rFonts w:ascii="Google Sans" w:cs="Google Sans" w:eastAsia="Google Sans" w:hAnsi="Google Sans"/>
            <w:color w:val="0000ee"/>
            <w:sz w:val="24"/>
            <w:szCs w:val="24"/>
            <w:u w:val="single"/>
            <w:rtl w:val="0"/>
          </w:rPr>
          <w:t xml:space="preserve">https://www.mdpi.com/2073-431X/13/11/277</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Privacy-Driven Framework for Enhancing Heart Disease, </w:t>
      </w:r>
      <w:hyperlink r:id="rId66">
        <w:r w:rsidDel="00000000" w:rsidR="00000000" w:rsidRPr="00000000">
          <w:rPr>
            <w:rFonts w:ascii="Google Sans" w:cs="Google Sans" w:eastAsia="Google Sans" w:hAnsi="Google Sans"/>
            <w:color w:val="0000ee"/>
            <w:sz w:val="24"/>
            <w:szCs w:val="24"/>
            <w:u w:val="single"/>
            <w:rtl w:val="0"/>
          </w:rPr>
          <w:t xml:space="preserve">https://arxiv.org/pdf/2504.18007</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Privacy-Preserving, Regulatory-Grade Real-Time Healthcare AI,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https://www.researchgate.net/publication/399071860_Privacy-Preserving_Regulatory-Grade_Real-Time_Healthcare_AI</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Differential Privacy Toolkits: Features, Pros, Cons, </w:t>
      </w:r>
      <w:hyperlink r:id="rId68">
        <w:r w:rsidDel="00000000" w:rsidR="00000000" w:rsidRPr="00000000">
          <w:rPr>
            <w:rFonts w:ascii="Google Sans" w:cs="Google Sans" w:eastAsia="Google Sans" w:hAnsi="Google Sans"/>
            <w:color w:val="0000ee"/>
            <w:sz w:val="24"/>
            <w:szCs w:val="24"/>
            <w:u w:val="single"/>
            <w:rtl w:val="0"/>
          </w:rPr>
          <w:t xml:space="preserve">https://www.rajeshkumar.xyz/blog/differential-privacy-toolkits/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Blood Supply Chain Demand Forecasting: A Case Study, </w:t>
      </w:r>
      <w:hyperlink r:id="rId69">
        <w:r w:rsidDel="00000000" w:rsidR="00000000" w:rsidRPr="00000000">
          <w:rPr>
            <w:rFonts w:ascii="Google Sans" w:cs="Google Sans" w:eastAsia="Google Sans" w:hAnsi="Google Sans"/>
            <w:color w:val="0000ee"/>
            <w:sz w:val="24"/>
            <w:szCs w:val="24"/>
            <w:u w:val="single"/>
            <w:rtl w:val="0"/>
          </w:rPr>
          <w:t xml:space="preserve">https://openreview.net/pdf?id=2c0hdQDvf5g</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forecasting with the Temporal Fusion Transformer, </w:t>
      </w:r>
      <w:hyperlink r:id="rId70">
        <w:r w:rsidDel="00000000" w:rsidR="00000000" w:rsidRPr="00000000">
          <w:rPr>
            <w:rFonts w:ascii="Google Sans" w:cs="Google Sans" w:eastAsia="Google Sans" w:hAnsi="Google Sans"/>
            <w:color w:val="0000ee"/>
            <w:sz w:val="24"/>
            <w:szCs w:val="24"/>
            <w:u w:val="single"/>
            <w:rtl w:val="0"/>
          </w:rPr>
          <w:t xml:space="preserve">https://pytorch-forecasting.readthedocs.io/en/v1.4.0/tutorials/stallion.html</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Reinforcement Learning for Inventory Management - arXiv, </w:t>
      </w:r>
      <w:hyperlink r:id="rId71">
        <w:r w:rsidDel="00000000" w:rsidR="00000000" w:rsidRPr="00000000">
          <w:rPr>
            <w:rFonts w:ascii="Google Sans" w:cs="Google Sans" w:eastAsia="Google Sans" w:hAnsi="Google Sans"/>
            <w:color w:val="0000ee"/>
            <w:sz w:val="24"/>
            <w:szCs w:val="24"/>
            <w:u w:val="single"/>
            <w:rtl w:val="0"/>
          </w:rPr>
          <w:t xml:space="preserve">https://arxiv.org/pdf/2308.01649</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Deep Learning for Time Series Forecasting, </w:t>
      </w:r>
      <w:hyperlink r:id="rId72">
        <w:r w:rsidDel="00000000" w:rsidR="00000000" w:rsidRPr="00000000">
          <w:rPr>
            <w:rFonts w:ascii="Google Sans" w:cs="Google Sans" w:eastAsia="Google Sans" w:hAnsi="Google Sans"/>
            <w:color w:val="0000ee"/>
            <w:sz w:val="24"/>
            <w:szCs w:val="24"/>
            <w:u w:val="single"/>
            <w:rtl w:val="0"/>
          </w:rPr>
          <w:t xml:space="preserve">https://research.google/blog/interpretable-deep-learning-for-time-series-forecasting/</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Methodology: Brookings India Health Monitor, </w:t>
      </w:r>
      <w:hyperlink r:id="rId73">
        <w:r w:rsidDel="00000000" w:rsidR="00000000" w:rsidRPr="00000000">
          <w:rPr>
            <w:rFonts w:ascii="Google Sans" w:cs="Google Sans" w:eastAsia="Google Sans" w:hAnsi="Google Sans"/>
            <w:color w:val="0000ee"/>
            <w:sz w:val="24"/>
            <w:szCs w:val="24"/>
            <w:u w:val="single"/>
            <w:rtl w:val="0"/>
          </w:rPr>
          <w:t xml:space="preserve">https://www.brookings.edu/wp-content/uploads/2017/06/bihm-methodology-document.pdf</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Mixed Integer Linear Programming Model of Order Allocation, </w:t>
      </w:r>
      <w:hyperlink r:id="rId74">
        <w:r w:rsidDel="00000000" w:rsidR="00000000" w:rsidRPr="00000000">
          <w:rPr>
            <w:rFonts w:ascii="Google Sans" w:cs="Google Sans" w:eastAsia="Google Sans" w:hAnsi="Google Sans"/>
            <w:color w:val="0000ee"/>
            <w:sz w:val="24"/>
            <w:szCs w:val="24"/>
            <w:u w:val="single"/>
            <w:rtl w:val="0"/>
          </w:rPr>
          <w:t xml:space="preserve">https://ejournal.uin-malang.ac.id/index.php/Math/article/download/15398/pdf</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Data-Driven Optimization Model for Medical Resource Allocation, </w:t>
      </w:r>
      <w:hyperlink r:id="rId75">
        <w:r w:rsidDel="00000000" w:rsidR="00000000" w:rsidRPr="00000000">
          <w:rPr>
            <w:rFonts w:ascii="Google Sans" w:cs="Google Sans" w:eastAsia="Google Sans" w:hAnsi="Google Sans"/>
            <w:color w:val="0000ee"/>
            <w:sz w:val="24"/>
            <w:szCs w:val="24"/>
            <w:u w:val="single"/>
            <w:rtl w:val="0"/>
          </w:rPr>
          <w:t xml:space="preserve">https://spectrum.library.concordia.ca/992520/1/Shi_MASc_S2023.pdf</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[2310.11240] A Novel Mixed-Integer Linear Programming ... - arXiv, </w:t>
      </w:r>
      <w:hyperlink r:id="rId76">
        <w:r w:rsidDel="00000000" w:rsidR="00000000" w:rsidRPr="00000000">
          <w:rPr>
            <w:rFonts w:ascii="Google Sans" w:cs="Google Sans" w:eastAsia="Google Sans" w:hAnsi="Google Sans"/>
            <w:color w:val="0000ee"/>
            <w:sz w:val="24"/>
            <w:szCs w:val="24"/>
            <w:u w:val="single"/>
            <w:rtl w:val="0"/>
          </w:rPr>
          <w:t xml:space="preserve">https://arxiv.org/abs/2310.11240</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Workforce problems at rural public health-centres in India - PMC - NIH,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https://pmc.ncbi.nlm.nih.gov/articles/PMC8796332/</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India Hypertension Control Initiative: decentralization of,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https://www.researchgate.net/publication/382827047_India_Hypertension_Control_Initiative_decentralization_of_hypertension_care_to_health_wellness_centres_in_Punjab_and_Maharashtra_India_2018-2022</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Demand Generation of Hospital Supplies on e-Aushadhi, </w:t>
      </w:r>
      <w:hyperlink r:id="rId79">
        <w:r w:rsidDel="00000000" w:rsidR="00000000" w:rsidRPr="00000000">
          <w:rPr>
            <w:rFonts w:ascii="Google Sans" w:cs="Google Sans" w:eastAsia="Google Sans" w:hAnsi="Google Sans"/>
            <w:color w:val="0000ee"/>
            <w:sz w:val="24"/>
            <w:szCs w:val="24"/>
            <w:u w:val="single"/>
            <w:rtl w:val="0"/>
          </w:rPr>
          <w:t xml:space="preserve">https://www.ahaindia.org/journal/article-5-online-demand-generation-hospital-supplies-e-aushadhi-software</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Valueset-supply-item - FHIR v4.0.1 - HL7.org, </w:t>
      </w:r>
      <w:hyperlink r:id="rId80">
        <w:r w:rsidDel="00000000" w:rsidR="00000000" w:rsidRPr="00000000">
          <w:rPr>
            <w:rFonts w:ascii="Google Sans" w:cs="Google Sans" w:eastAsia="Google Sans" w:hAnsi="Google Sans"/>
            <w:color w:val="0000ee"/>
            <w:sz w:val="24"/>
            <w:szCs w:val="24"/>
            <w:u w:val="single"/>
            <w:rtl w:val="0"/>
          </w:rPr>
          <w:t xml:space="preserve">http://hl7.org/fhir/R4/valueset-supply-item.html</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FedDP: Secure Federated Learning for Disease Prediction ... - bioRxiv, </w:t>
      </w:r>
      <w:hyperlink r:id="rId81">
        <w:r w:rsidDel="00000000" w:rsidR="00000000" w:rsidRPr="00000000">
          <w:rPr>
            <w:rFonts w:ascii="Google Sans" w:cs="Google Sans" w:eastAsia="Google Sans" w:hAnsi="Google Sans"/>
            <w:color w:val="1155cc"/>
            <w:sz w:val="24"/>
            <w:szCs w:val="24"/>
            <w:u w:val="single"/>
            <w:rtl w:val="0"/>
          </w:rPr>
          <w:t xml:space="preserve">FedDP: Secure Federated Learning for Disease Prediction with Imbalanced Genetic Data bioRxiv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dac.in/index.aspx?id=print_page&amp;print=ps_health_info_products" TargetMode="External"/><Relationship Id="rId42" Type="http://schemas.openxmlformats.org/officeDocument/2006/relationships/hyperlink" Target="https://www.spec-india.com/blog/healthcare-api-integration" TargetMode="External"/><Relationship Id="rId41" Type="http://schemas.openxmlformats.org/officeDocument/2006/relationships/hyperlink" Target="https://www.researchgate.net/publication/334821170_Electronic_Vaccine_Intelligence_Network_eVIN_Are_Cold_Chain_Handlers_Supporting_this_m_Health_An_Application_of_Kurt_Lewin_theory_of_Change_Management" TargetMode="External"/><Relationship Id="rId44" Type="http://schemas.openxmlformats.org/officeDocument/2006/relationships/hyperlink" Target="https://saga-it.com/hl7workbench/fhir/r4/resources/SupplyDelivery" TargetMode="External"/><Relationship Id="rId43" Type="http://schemas.openxmlformats.org/officeDocument/2006/relationships/hyperlink" Target="https://abdm.gov.in/DHIS" TargetMode="External"/><Relationship Id="rId46" Type="http://schemas.openxmlformats.org/officeDocument/2006/relationships/hyperlink" Target="https://www.dlapiperdataprotection.com/?t=law&amp;c=IN" TargetMode="External"/><Relationship Id="rId45" Type="http://schemas.openxmlformats.org/officeDocument/2006/relationships/hyperlink" Target="https://dpdpacts.com/blog/dpdp-compliance-for-hospitals/" TargetMode="External"/><Relationship Id="rId80" Type="http://schemas.openxmlformats.org/officeDocument/2006/relationships/hyperlink" Target="http://hl7.org/fhir/R4/valueset-supply-item.html" TargetMode="External"/><Relationship Id="rId81" Type="http://schemas.openxmlformats.org/officeDocument/2006/relationships/hyperlink" Target="https://www.biorxiv.org/content/10.1101/2023.01.17.524409v1.full-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alation.com/blog/why-data-privacy-is-important/" TargetMode="External"/><Relationship Id="rId47" Type="http://schemas.openxmlformats.org/officeDocument/2006/relationships/hyperlink" Target="https://ayuapp.com/general/medical-record-security-privacy-india-comprehensive-guide" TargetMode="External"/><Relationship Id="rId49" Type="http://schemas.openxmlformats.org/officeDocument/2006/relationships/hyperlink" Target="https://www.mdpi.com/2076-3417/14/2/675"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17.png"/><Relationship Id="rId73" Type="http://schemas.openxmlformats.org/officeDocument/2006/relationships/hyperlink" Target="https://www.brookings.edu/wp-content/uploads/2017/06/bihm-methodology-document.pdf" TargetMode="External"/><Relationship Id="rId72" Type="http://schemas.openxmlformats.org/officeDocument/2006/relationships/hyperlink" Target="https://research.google/blog/interpretable-deep-learning-for-time-series-forecasting/" TargetMode="External"/><Relationship Id="rId31" Type="http://schemas.openxmlformats.org/officeDocument/2006/relationships/hyperlink" Target="https://www.newindianexpress.com/states/tamil-nadu/2025/Mar/31/tale-of-tnmsc-a-pioneering-drug-procurement-model-for-the-country" TargetMode="External"/><Relationship Id="rId75" Type="http://schemas.openxmlformats.org/officeDocument/2006/relationships/hyperlink" Target="https://spectrum.library.concordia.ca/992520/1/Shi_MASc_S2023.pdf" TargetMode="External"/><Relationship Id="rId30" Type="http://schemas.openxmlformats.org/officeDocument/2006/relationships/hyperlink" Target="https://blogs.worldbank.org/en/governance/here-model-indian-states-can-implement-ensure-smooth-flow-medical-supplies-health-facilities" TargetMode="External"/><Relationship Id="rId74" Type="http://schemas.openxmlformats.org/officeDocument/2006/relationships/hyperlink" Target="https://ejournal.uin-malang.ac.id/index.php/Math/article/download/15398/pdf" TargetMode="External"/><Relationship Id="rId33" Type="http://schemas.openxmlformats.org/officeDocument/2006/relationships/hyperlink" Target="https://pmc.ncbi.nlm.nih.gov/articles/PMC12333384/" TargetMode="External"/><Relationship Id="rId77" Type="http://schemas.openxmlformats.org/officeDocument/2006/relationships/hyperlink" Target="https://pmc.ncbi.nlm.nih.gov/articles/PMC8796332/" TargetMode="External"/><Relationship Id="rId32" Type="http://schemas.openxmlformats.org/officeDocument/2006/relationships/hyperlink" Target="https://www.thehindu.com/news/cities/chennai/tnmsc-has-adopted-an-end-to-end-drug-distribution-management-system-says-minister/article67067736.ece" TargetMode="External"/><Relationship Id="rId76" Type="http://schemas.openxmlformats.org/officeDocument/2006/relationships/hyperlink" Target="https://arxiv.org/abs/2310.11240" TargetMode="External"/><Relationship Id="rId35" Type="http://schemas.openxmlformats.org/officeDocument/2006/relationships/hyperlink" Target="https://www.ihat.in/resources/redesigning-public-health-medicines-supply-chain-model-in-uttar-pradesh-india/" TargetMode="External"/><Relationship Id="rId79" Type="http://schemas.openxmlformats.org/officeDocument/2006/relationships/hyperlink" Target="https://www.ahaindia.org/journal/article-5-online-demand-generation-hospital-supplies-e-aushadhi-software" TargetMode="External"/><Relationship Id="rId34" Type="http://schemas.openxmlformats.org/officeDocument/2006/relationships/hyperlink" Target="https://nhsrcindia.org/sites/default/files/2025-08/Assessment%20of%20IT-enabled%20Supply%20Chain%20Management%20of%20Medicines.pdf" TargetMode="External"/><Relationship Id="rId78" Type="http://schemas.openxmlformats.org/officeDocument/2006/relationships/hyperlink" Target="https://www.researchgate.net/publication/382827047_India_Hypertension_Control_Initiative_decentralization_of_hypertension_care_to_health_wellness_centres_in_Punjab_and_Maharashtra_India_2018-2022" TargetMode="External"/><Relationship Id="rId71" Type="http://schemas.openxmlformats.org/officeDocument/2006/relationships/hyperlink" Target="https://arxiv.org/pdf/2308.01649" TargetMode="External"/><Relationship Id="rId70" Type="http://schemas.openxmlformats.org/officeDocument/2006/relationships/hyperlink" Target="https://pytorch-forecasting.readthedocs.io/en/v1.4.0/tutorials/stallion.html" TargetMode="External"/><Relationship Id="rId37" Type="http://schemas.openxmlformats.org/officeDocument/2006/relationships/hyperlink" Target="https://www.gktoday.in/evin-electronic-vaccine-intelligence-network/" TargetMode="External"/><Relationship Id="rId36" Type="http://schemas.openxmlformats.org/officeDocument/2006/relationships/hyperlink" Target="https://byjus.com/current-affairs/electronic-vaccine-intelligence-network-evin/" TargetMode="External"/><Relationship Id="rId39" Type="http://schemas.openxmlformats.org/officeDocument/2006/relationships/hyperlink" Target="https://www.undp.org/india/projects/improving-vaccination-systems-evin" TargetMode="External"/><Relationship Id="rId38" Type="http://schemas.openxmlformats.org/officeDocument/2006/relationships/hyperlink" Target="https://testbook.com/articles/electronic-vaccine-intelligence-network-evin" TargetMode="External"/><Relationship Id="rId62" Type="http://schemas.openxmlformats.org/officeDocument/2006/relationships/hyperlink" Target="https://www.accountablehq.com/post/using-ai-with-patient-data-privacy-compliance-and-use-cases" TargetMode="External"/><Relationship Id="rId61" Type="http://schemas.openxmlformats.org/officeDocument/2006/relationships/hyperlink" Target="https://www.semanticscholar.org/paper/Federated-Learning-with-Buffered-Asynchronous-Nguyen-Malik/38fca90fef15b226dbae8db408c5efe8066dde1c" TargetMode="External"/><Relationship Id="rId20" Type="http://schemas.openxmlformats.org/officeDocument/2006/relationships/image" Target="media/image6.png"/><Relationship Id="rId64" Type="http://schemas.openxmlformats.org/officeDocument/2006/relationships/hyperlink" Target="https://pmc.ncbi.nlm.nih.gov/articles/PMC12003885/" TargetMode="External"/><Relationship Id="rId63" Type="http://schemas.openxmlformats.org/officeDocument/2006/relationships/hyperlink" Target="https://pmc.ncbi.nlm.nih.gov/articles/PMC8662814/" TargetMode="External"/><Relationship Id="rId22" Type="http://schemas.openxmlformats.org/officeDocument/2006/relationships/image" Target="media/image4.png"/><Relationship Id="rId66" Type="http://schemas.openxmlformats.org/officeDocument/2006/relationships/hyperlink" Target="https://arxiv.org/pdf/2504.18007" TargetMode="External"/><Relationship Id="rId21" Type="http://schemas.openxmlformats.org/officeDocument/2006/relationships/image" Target="media/image7.png"/><Relationship Id="rId65" Type="http://schemas.openxmlformats.org/officeDocument/2006/relationships/hyperlink" Target="https://www.mdpi.com/2073-431X/13/11/277" TargetMode="External"/><Relationship Id="rId24" Type="http://schemas.openxmlformats.org/officeDocument/2006/relationships/hyperlink" Target="https://www.pib.gov.in/PressReleasePage.aspx?PRID=1943657" TargetMode="External"/><Relationship Id="rId68" Type="http://schemas.openxmlformats.org/officeDocument/2006/relationships/hyperlink" Target="https://www.rajeshkumar.xyz/blog/differential-privacy-toolkits/" TargetMode="External"/><Relationship Id="rId23" Type="http://schemas.openxmlformats.org/officeDocument/2006/relationships/hyperlink" Target="https://www.pib.gov.in/PressReleasePage.aspx?PRID=1947691" TargetMode="External"/><Relationship Id="rId67" Type="http://schemas.openxmlformats.org/officeDocument/2006/relationships/hyperlink" Target="https://www.researchgate.net/publication/399071860_Privacy-Preserving_Regulatory-Grade_Real-Time_Healthcare_AI" TargetMode="External"/><Relationship Id="rId60" Type="http://schemas.openxmlformats.org/officeDocument/2006/relationships/hyperlink" Target="https://arxiv.org/abs/2308.00263" TargetMode="External"/><Relationship Id="rId26" Type="http://schemas.openxmlformats.org/officeDocument/2006/relationships/hyperlink" Target="https://nhsrcindia.org/sites/default/files/2021-03/Operational%20Guidelines%20For%20Comprehensive%20Primary%20Health%20Care%20through%20Health%20and%20Wellness%20Centers.pdf" TargetMode="External"/><Relationship Id="rId25" Type="http://schemas.openxmlformats.org/officeDocument/2006/relationships/hyperlink" Target="https://www.emerald.com/jhom/article/40/9/266/1359052/Granular-evaluation-of-public-primary-healthcare" TargetMode="External"/><Relationship Id="rId69" Type="http://schemas.openxmlformats.org/officeDocument/2006/relationships/hyperlink" Target="https://openreview.net/pdf?id=2c0hdQDvf5g" TargetMode="External"/><Relationship Id="rId28" Type="http://schemas.openxmlformats.org/officeDocument/2006/relationships/hyperlink" Target="https://sambodhi.co.in/role-of-hmis-database-in-indian-healthcare/" TargetMode="External"/><Relationship Id="rId27" Type="http://schemas.openxmlformats.org/officeDocument/2006/relationships/hyperlink" Target="https://verixiv.org/articles/3-290" TargetMode="External"/><Relationship Id="rId29" Type="http://schemas.openxmlformats.org/officeDocument/2006/relationships/hyperlink" Target="https://www.researchgate.net/publication/339498675_A_study_to_review_drug_inventory_and_pharmacy_management_with_reference_to_IV_injectables_at_a_tertiary_municipal_care_hospital_with_1800_bedded_hospital" TargetMode="External"/><Relationship Id="rId51" Type="http://schemas.openxmlformats.org/officeDocument/2006/relationships/hyperlink" Target="https://www.shyankdev.us/blogs/federated-learning-distributed-private-datasets" TargetMode="External"/><Relationship Id="rId50" Type="http://schemas.openxmlformats.org/officeDocument/2006/relationships/hyperlink" Target="https://cdn.shakudo.io/images/blog/securing-federated-learning-privacy-techniques-file.pdf" TargetMode="External"/><Relationship Id="rId53" Type="http://schemas.openxmlformats.org/officeDocument/2006/relationships/hyperlink" Target="https://nirmitee.io/blog/federated-learning-healthcare-training-across-hospitals-no-data-sharing/" TargetMode="External"/><Relationship Id="rId52" Type="http://schemas.openxmlformats.org/officeDocument/2006/relationships/hyperlink" Target="https://www.mdpi.com/2076-3417/16/6/2784" TargetMode="External"/><Relationship Id="rId11" Type="http://schemas.openxmlformats.org/officeDocument/2006/relationships/image" Target="media/image2.png"/><Relationship Id="rId55" Type="http://schemas.openxmlformats.org/officeDocument/2006/relationships/hyperlink" Target="https://www.ijert.org/federated-learning-based-intelligent-product-lifecycle-management-framework-for-automotive-supply-chains-enhancing-data-privacy-predictive-analytics-and-collaborative-decision-making-ijertv15is052706" TargetMode="External"/><Relationship Id="rId10" Type="http://schemas.openxmlformats.org/officeDocument/2006/relationships/image" Target="media/image5.png"/><Relationship Id="rId54" Type="http://schemas.openxmlformats.org/officeDocument/2006/relationships/hyperlink" Target="https://www.spiedigitallibrary.org/proceedings/Download?urlId=10.1117/12.3121319&amp;downloadType=proceedings+article&amp;isResultClick=True" TargetMode="External"/><Relationship Id="rId13" Type="http://schemas.openxmlformats.org/officeDocument/2006/relationships/image" Target="media/image3.png"/><Relationship Id="rId57" Type="http://schemas.openxmlformats.org/officeDocument/2006/relationships/hyperlink" Target="https://par.nsf.gov/servlets/purl/10427869" TargetMode="External"/><Relationship Id="rId12" Type="http://schemas.openxmlformats.org/officeDocument/2006/relationships/image" Target="media/image11.png"/><Relationship Id="rId56" Type="http://schemas.openxmlformats.org/officeDocument/2006/relationships/hyperlink" Target="https://www.meta-intelligence.tech/en/insight-federated-learning" TargetMode="External"/><Relationship Id="rId15" Type="http://schemas.openxmlformats.org/officeDocument/2006/relationships/image" Target="media/image8.png"/><Relationship Id="rId59" Type="http://schemas.openxmlformats.org/officeDocument/2006/relationships/hyperlink" Target="https://arxiv.org/abs/2106.06639" TargetMode="External"/><Relationship Id="rId14" Type="http://schemas.openxmlformats.org/officeDocument/2006/relationships/image" Target="media/image13.png"/><Relationship Id="rId58" Type="http://schemas.openxmlformats.org/officeDocument/2006/relationships/hyperlink" Target="https://neurips2021workshopfl.github.io/NFFL-2021/papers/2021/So2021.pdf" TargetMode="External"/><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