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ond5ctbyk3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 Draft</w:t>
      </w:r>
      <w:r w:rsidDel="00000000" w:rsidR="00000000" w:rsidRPr="00000000">
        <w:rPr>
          <w:rtl w:val="0"/>
        </w:rPr>
      </w:r>
    </w:p>
    <w:p w:rsidR="00000000" w:rsidDel="00000000" w:rsidP="00000000" w:rsidRDefault="00000000" w:rsidRPr="00000000" w14:paraId="00000002">
      <w:pPr>
        <w:pStyle w:val="Heading1"/>
        <w:jc w:val="center"/>
        <w:rPr>
          <w:rFonts w:ascii="Times New Roman" w:cs="Times New Roman" w:eastAsia="Times New Roman" w:hAnsi="Times New Roman"/>
        </w:rPr>
      </w:pPr>
      <w:bookmarkStart w:colFirst="0" w:colLast="0" w:name="_gz368frbl1l" w:id="1"/>
      <w:bookmarkEnd w:id="1"/>
      <w:r w:rsidDel="00000000" w:rsidR="00000000" w:rsidRPr="00000000">
        <w:rPr>
          <w:rFonts w:ascii="Times New Roman" w:cs="Times New Roman" w:eastAsia="Times New Roman" w:hAnsi="Times New Roman"/>
          <w:rtl w:val="0"/>
        </w:rPr>
        <w:t xml:space="preserve">Rubric Mapping Work Trial</w:t>
      </w:r>
      <w:r w:rsidDel="00000000" w:rsidR="00000000" w:rsidRPr="00000000">
        <w:rPr>
          <w:rtl w:val="0"/>
        </w:rPr>
      </w:r>
    </w:p>
    <w:bookmarkStart w:colFirst="0" w:colLast="0" w:name="8rnurjtsc91v" w:id="2"/>
    <w:bookmarkEnd w:id="2"/>
    <w:p w:rsidR="00000000" w:rsidDel="00000000" w:rsidP="00000000" w:rsidRDefault="00000000" w:rsidRPr="00000000" w14:paraId="00000003">
      <w:pPr>
        <w:pStyle w:val="Heading2"/>
        <w:rPr>
          <w:rFonts w:ascii="Times New Roman" w:cs="Times New Roman" w:eastAsia="Times New Roman" w:hAnsi="Times New Roman"/>
        </w:rPr>
      </w:pPr>
      <w:bookmarkStart w:colFirst="0" w:colLast="0" w:name="_ilkqpu4fiqbn" w:id="3"/>
      <w:bookmarkEnd w:id="3"/>
      <w:r w:rsidDel="00000000" w:rsidR="00000000" w:rsidRPr="00000000">
        <w:rPr>
          <w:rFonts w:ascii="Times New Roman" w:cs="Times New Roman" w:eastAsia="Times New Roman" w:hAnsi="Times New Roman"/>
          <w:rtl w:val="0"/>
        </w:rPr>
        <w:t xml:space="preserve">Background / Context</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create tasks that evaluate financial modeling work. Each of these contains some components:</w:t>
      </w:r>
    </w:p>
    <w:p w:rsidR="00000000" w:rsidDel="00000000" w:rsidP="00000000" w:rsidRDefault="00000000" w:rsidRPr="00000000" w14:paraId="00000005">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model is given some instructions (instructions.md) and the input.xlsx and asked to produce an output Excel file (attempt.xlsx) that solves the problem outlined in the instructions. </w:t>
      </w:r>
    </w:p>
    <w:p w:rsidR="00000000" w:rsidDel="00000000" w:rsidP="00000000" w:rsidRDefault="00000000" w:rsidRPr="00000000" w14:paraId="00000006">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Instructions provide information about the company and type of model we are asking the agent to build. The Initial Excel file provides the structure of the model and necessary assumptions for the agent. The Complete file (complete.xlsx) is our verified version of the answer, created by our experts. </w:t>
      </w:r>
    </w:p>
    <w:p w:rsidR="00000000" w:rsidDel="00000000" w:rsidP="00000000" w:rsidRDefault="00000000" w:rsidRPr="00000000" w14:paraId="00000007">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“reward” is a score (float) between 0 and 1 that measures the correctness of an AI model’s attempt on a task.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ways to calculate this reward that we’ll focus on today is using rubrics with LLM-as-a-judge. Rubrics represent some codified listing of what is important to determine correctness, so that an LLM can “grade” some submission. That is, we orient an LLM to be a judge of correctness by providing it with some quantitative groundings and qualitative descriptions of what to look for. We will provide you with concrete examples of rubrics later in this doc, but for now you should peek at this </w:t>
      </w:r>
      <w:r w:rsidDel="00000000" w:rsidR="00000000" w:rsidRPr="00000000">
        <w:rPr>
          <w:rFonts w:ascii="Times New Roman" w:cs="Times New Roman" w:eastAsia="Times New Roman" w:hAnsi="Times New Roman"/>
          <w:sz w:val="24"/>
          <w:szCs w:val="24"/>
          <w:rtl w:val="0"/>
        </w:rPr>
        <w:t xml:space="preserve">schema</w:t>
      </w:r>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0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"task_id": "example_task",</w:t>
      </w:r>
    </w:p>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"total_points": 100.0,</w:t>
      </w:r>
    </w:p>
    <w:p w:rsidR="00000000" w:rsidDel="00000000" w:rsidP="00000000" w:rsidRDefault="00000000" w:rsidRPr="00000000" w14:paraId="000000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"chains": ,</w:t>
      </w:r>
    </w:p>
    <w:p w:rsidR="00000000" w:rsidDel="00000000" w:rsidP="00000000" w:rsidRDefault="00000000" w:rsidRPr="00000000" w14:paraId="000000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"criteria": {</w:t>
      </w:r>
    </w:p>
    <w:p w:rsidR="00000000" w:rsidDel="00000000" w:rsidP="00000000" w:rsidRDefault="00000000" w:rsidRPr="00000000" w14:paraId="000000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"criterion_1": {</w:t>
      </w:r>
    </w:p>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"criterion_id": 1,</w:t>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"description": "Description of the financial-model requirement.",</w:t>
      </w:r>
    </w:p>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"max_points": 10.0,</w:t>
      </w:r>
    </w:p>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"grading": [</w:t>
      </w:r>
    </w:p>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"item_id": "1.1",</w:t>
      </w:r>
    </w:p>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"points": 4.0,</w:t>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"method_points": 2.0,</w:t>
      </w:r>
    </w:p>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"numerical_points": 2.0,</w:t>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"condition": "Detailed condition used to evaluate the workbook."</w:t>
      </w:r>
    </w:p>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"cells": null,</w:t>
      </w:r>
    </w:p>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"criterion_type": null,</w:t>
      </w:r>
    </w:p>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"partial_credit": [</w:t>
      </w:r>
    </w:p>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"Partial-credit guidance."</w:t>
      </w:r>
    </w:p>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"grading_notes": [],</w:t>
      </w:r>
    </w:p>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"deductibles": [</w:t>
      </w:r>
    </w:p>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"condition": "Condition that triggers a deduction.",</w:t>
      </w:r>
    </w:p>
    <w:p w:rsidR="00000000" w:rsidDel="00000000" w:rsidP="00000000" w:rsidRDefault="00000000" w:rsidRPr="00000000" w14:paraId="000000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"points": null,</w:t>
      </w:r>
    </w:p>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"applies_to": null</w:t>
      </w:r>
    </w:p>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important to understand every field, but at a high level there are several criteria per rubric, each of which contains some amount of maximum points the judge can award. Within each criteria there are several items, each of which contains a specific description on what the judge should check for. Lastly, there are some special considerations at times, like partial credit and deductions, that provide the judge with global instructions on particular edge cases.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Critically, creating a good rubric is very expensive. A financial expert must understand the workbook, identify the important calculations, and write precise grading criteria. This process can take an expert &gt;20 hours if done manually. Therefore, a large component of our work is enabling experts to create rubrics more efficiently without compromising on quality. We do this by building clever AI agents and systems that automate parts of the process.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such system we consider is the process of creating a rubric for Excel Model B, given we have a very similar Excel model (Excel Model A) and the rubric for that model (Rubric A). Effectively, we are trying to re-use the rubrics we have to reduce the difficulty of making new rubrics. One critical step of this process is being able to map each part of a rubric to each of the parts in a financial model. This is what we will focus on in this work trial.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work over the next two days will center around building a system to construct this “mapping” between parts of an .xlsx (the financial model) and parts of a .json (the rubric). </w:t>
      </w:r>
      <w:r w:rsidDel="00000000" w:rsidR="00000000" w:rsidRPr="00000000">
        <w:rPr>
          <w:rFonts w:ascii="Times New Roman" w:cs="Times New Roman" w:eastAsia="Times New Roman" w:hAnsi="Times New Roman"/>
          <w:sz w:val="24"/>
          <w:szCs w:val="24"/>
          <w:rtl w:val="0"/>
        </w:rPr>
        <w:t xml:space="preserve">This will be split up into three parts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34">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high-level / overall sections of a financial model</w:t>
      </w:r>
    </w:p>
    <w:p w:rsidR="00000000" w:rsidDel="00000000" w:rsidP="00000000" w:rsidRDefault="00000000" w:rsidRPr="00000000" w14:paraId="00000035">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intermediate sections of a financial model</w:t>
      </w:r>
    </w:p>
    <w:p w:rsidR="00000000" w:rsidDel="00000000" w:rsidP="00000000" w:rsidRDefault="00000000" w:rsidRPr="00000000" w14:paraId="00000036">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rubric grading items to </w:t>
      </w:r>
      <w:r w:rsidDel="00000000" w:rsidR="00000000" w:rsidRPr="00000000">
        <w:rPr>
          <w:rFonts w:ascii="Times New Roman" w:cs="Times New Roman" w:eastAsia="Times New Roman" w:hAnsi="Times New Roman"/>
          <w:sz w:val="24"/>
          <w:szCs w:val="24"/>
          <w:rtl w:val="0"/>
        </w:rPr>
        <w:t xml:space="preserve">cells of the Excel workbook</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the document provides more detail on each of these components. Note that these are not entirely disjoint problems; your design decisions in one part may influence the results of a later part, and insights in later parts may make you consider refactoring earlier ideas you had.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system will of course use LLMs, most likely in the form of agents, for significant parts of this process. We have specific rules and suggestions about how to build your agent detailed in the </w:t>
      </w:r>
      <w:hyperlink w:anchor="ynuhl2bhf5eh">
        <w:r w:rsidDel="00000000" w:rsidR="00000000" w:rsidRPr="00000000">
          <w:rPr>
            <w:rFonts w:ascii="Times New Roman" w:cs="Times New Roman" w:eastAsia="Times New Roman" w:hAnsi="Times New Roman"/>
            <w:color w:val="1155cc"/>
            <w:sz w:val="24"/>
            <w:szCs w:val="24"/>
            <w:u w:val="single"/>
            <w:rtl w:val="0"/>
          </w:rPr>
          <w:t xml:space="preserve">Evaluation, Cost</w:t>
        </w:r>
      </w:hyperlink>
      <w:r w:rsidDel="00000000" w:rsidR="00000000" w:rsidRPr="00000000">
        <w:rPr>
          <w:rFonts w:ascii="Times New Roman" w:cs="Times New Roman" w:eastAsia="Times New Roman" w:hAnsi="Times New Roman"/>
          <w:sz w:val="24"/>
          <w:szCs w:val="24"/>
          <w:rtl w:val="0"/>
        </w:rPr>
        <w:t xml:space="preserve"> section.</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note that the main deliverables we will quantitatively grade you on are the outputs of part 1 and part 3. These are the only two parts that come with labeled data for you to work with, and a corresponding held-out set that we use to see how well your solution generalizes. More on this aspect in the </w:t>
      </w:r>
      <w:hyperlink w:anchor="3exra05juv7n">
        <w:r w:rsidDel="00000000" w:rsidR="00000000" w:rsidRPr="00000000">
          <w:rPr>
            <w:rFonts w:ascii="Times New Roman" w:cs="Times New Roman" w:eastAsia="Times New Roman" w:hAnsi="Times New Roman"/>
            <w:color w:val="1155cc"/>
            <w:sz w:val="24"/>
            <w:szCs w:val="24"/>
            <w:u w:val="single"/>
            <w:rtl w:val="0"/>
          </w:rPr>
          <w:t xml:space="preserve">Metrics and Evaluation</w:t>
        </w:r>
      </w:hyperlink>
      <w:r w:rsidDel="00000000" w:rsidR="00000000" w:rsidRPr="00000000">
        <w:rPr>
          <w:rFonts w:ascii="Times New Roman" w:cs="Times New Roman" w:eastAsia="Times New Roman" w:hAnsi="Times New Roman"/>
          <w:sz w:val="24"/>
          <w:szCs w:val="24"/>
          <w:rtl w:val="0"/>
        </w:rPr>
        <w:t xml:space="preserve"> section.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said, a lot of the magic is in part 2. Having good results for part 2 is useful for part 3. Besides, we will evaluate the system as a whole, looking for qualitative decisions across why you set up things the way you did. For that reason, please keep in mind that it’s important to share your thought process / architectural decisions in documentation (in a doc called DESIGN_NOTES.md). </w:t>
      </w:r>
    </w:p>
    <w:bookmarkStart w:colFirst="0" w:colLast="0" w:name="js5a3usrlkd1" w:id="4"/>
    <w:bookmarkEnd w:id="4"/>
    <w:p w:rsidR="00000000" w:rsidDel="00000000" w:rsidP="00000000" w:rsidRDefault="00000000" w:rsidRPr="00000000" w14:paraId="0000003F">
      <w:pPr>
        <w:pStyle w:val="Heading2"/>
        <w:rPr>
          <w:rFonts w:ascii="Times New Roman" w:cs="Times New Roman" w:eastAsia="Times New Roman" w:hAnsi="Times New Roman"/>
          <w:sz w:val="24"/>
          <w:szCs w:val="24"/>
        </w:rPr>
      </w:pPr>
      <w:bookmarkStart w:colFirst="0" w:colLast="0" w:name="_shpenoffh17w" w:id="5"/>
      <w:bookmarkEnd w:id="5"/>
      <w:r w:rsidDel="00000000" w:rsidR="00000000" w:rsidRPr="00000000">
        <w:rPr>
          <w:rFonts w:ascii="Times New Roman" w:cs="Times New Roman" w:eastAsia="Times New Roman" w:hAnsi="Times New Roman"/>
          <w:rtl w:val="0"/>
        </w:rPr>
        <w:t xml:space="preserve">Part 1 – Overall Section Creation</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Sections are, at their core, just groups of cells. At a very simplified level, if an Excel sheet has 100 cells, it is possible that 25 cells are in section A, 45 cells are in section B, and 30 cells are in section C. However, what makes sections “good” instead of just random collections of cells is that all cells in a section comprise a cohesive set of financial objects. There is no exact d</w:t>
      </w:r>
      <w:r w:rsidDel="00000000" w:rsidR="00000000" w:rsidRPr="00000000">
        <w:rPr>
          <w:rFonts w:ascii="Times New Roman" w:cs="Times New Roman" w:eastAsia="Times New Roman" w:hAnsi="Times New Roman"/>
          <w:sz w:val="24"/>
          <w:szCs w:val="24"/>
          <w:rtl w:val="0"/>
        </w:rPr>
        <w:t xml:space="preserve">efinit</w:t>
      </w:r>
      <w:r w:rsidDel="00000000" w:rsidR="00000000" w:rsidRPr="00000000">
        <w:rPr>
          <w:rFonts w:ascii="Times New Roman" w:cs="Times New Roman" w:eastAsia="Times New Roman" w:hAnsi="Times New Roman"/>
          <w:sz w:val="24"/>
          <w:szCs w:val="24"/>
          <w:rtl w:val="0"/>
        </w:rPr>
        <w:t xml:space="preserve">ion for “cohesive,” but it roughly corresponds with how financial experts decompose Excel workbooks into several parts. This likely still sounds hazy</w:t>
      </w:r>
      <w:r w:rsidDel="00000000" w:rsidR="00000000" w:rsidRPr="00000000">
        <w:rPr>
          <w:rFonts w:ascii="Times New Roman" w:cs="Times New Roman" w:eastAsia="Times New Roman" w:hAnsi="Times New Roman"/>
          <w:sz w:val="24"/>
          <w:szCs w:val="24"/>
          <w:rtl w:val="0"/>
        </w:rPr>
        <w:t xml:space="preserve">, so to make things a little more concrete, we provide </w:t>
      </w:r>
      <w:hyperlink r:id="rId6">
        <w:r w:rsidDel="00000000" w:rsidR="00000000" w:rsidRPr="00000000">
          <w:rPr>
            <w:rFonts w:ascii="Times New Roman" w:cs="Times New Roman" w:eastAsia="Times New Roman" w:hAnsi="Times New Roman"/>
            <w:color w:val="1155cc"/>
            <w:sz w:val="24"/>
            <w:szCs w:val="24"/>
            <w:u w:val="single"/>
            <w:rtl w:val="0"/>
          </w:rPr>
          <w:t xml:space="preserve">three sectioning examples</w:t>
        </w:r>
      </w:hyperlink>
      <w:r w:rsidDel="00000000" w:rsidR="00000000" w:rsidRPr="00000000">
        <w:rPr>
          <w:rFonts w:ascii="Times New Roman" w:cs="Times New Roman" w:eastAsia="Times New Roman" w:hAnsi="Times New Roman"/>
          <w:sz w:val="24"/>
          <w:szCs w:val="24"/>
          <w:rtl w:val="0"/>
        </w:rPr>
        <w:t xml:space="preserve">, each </w:t>
      </w:r>
      <w:r w:rsidDel="00000000" w:rsidR="00000000" w:rsidRPr="00000000">
        <w:rPr>
          <w:rFonts w:ascii="Times New Roman" w:cs="Times New Roman" w:eastAsia="Times New Roman" w:hAnsi="Times New Roman"/>
          <w:sz w:val="24"/>
          <w:szCs w:val="24"/>
          <w:rtl w:val="0"/>
        </w:rPr>
        <w:t xml:space="preserve">containing:</w:t>
      </w:r>
      <w:r w:rsidDel="00000000" w:rsidR="00000000" w:rsidRPr="00000000">
        <w:rPr>
          <w:rtl w:val="0"/>
        </w:rPr>
      </w:r>
    </w:p>
    <w:p w:rsidR="00000000" w:rsidDel="00000000" w:rsidP="00000000" w:rsidRDefault="00000000" w:rsidRPr="00000000" w14:paraId="00000041">
      <w:pPr>
        <w:numPr>
          <w:ilvl w:val="0"/>
          <w:numId w:val="9"/>
        </w:numPr>
        <w:spacing w:after="0" w:afterAutospacing="0" w:before="60" w:lineRule="auto"/>
        <w:ind w:left="720" w:hanging="360"/>
      </w:pPr>
      <w:r w:rsidDel="00000000" w:rsidR="00000000" w:rsidRPr="00000000">
        <w:rPr>
          <w:rFonts w:ascii="Times New Roman" w:cs="Times New Roman" w:eastAsia="Times New Roman" w:hAnsi="Times New Roman"/>
          <w:sz w:val="24"/>
          <w:szCs w:val="24"/>
          <w:rtl w:val="0"/>
        </w:rPr>
        <w:t xml:space="preserve">An input.xlsx, complete.xlsx, and instructions.md that make up a particular financial task</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 machine-readable gold sectioning (sections.json)</w:t>
      </w:r>
    </w:p>
    <w:p w:rsidR="00000000" w:rsidDel="00000000" w:rsidP="00000000" w:rsidRDefault="00000000" w:rsidRPr="00000000" w14:paraId="00000043">
      <w:pPr>
        <w:numPr>
          <w:ilvl w:val="0"/>
          <w:numId w:val="9"/>
        </w:numPr>
        <w:spacing w:after="36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visual annotations of the same gold sectioning (&lt;task_name&gt;-sections-revi</w:t>
      </w:r>
      <w:r w:rsidDel="00000000" w:rsidR="00000000" w:rsidRPr="00000000">
        <w:rPr>
          <w:rFonts w:ascii="Times New Roman" w:cs="Times New Roman" w:eastAsia="Times New Roman" w:hAnsi="Times New Roman"/>
          <w:sz w:val="24"/>
          <w:szCs w:val="24"/>
          <w:rtl w:val="0"/>
        </w:rPr>
        <w:t xml:space="preserve">ew.xslx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labeled examples demonstrate what correct high level sections look like.</w:t>
      </w:r>
      <w:r w:rsidDel="00000000" w:rsidR="00000000" w:rsidRPr="00000000">
        <w:rPr>
          <w:rFonts w:ascii="Times New Roman" w:cs="Times New Roman" w:eastAsia="Times New Roman" w:hAnsi="Times New Roman"/>
          <w:sz w:val="24"/>
          <w:szCs w:val="24"/>
          <w:rtl w:val="0"/>
        </w:rPr>
        <w:t xml:space="preserve"> We also provide a </w:t>
      </w:r>
      <w:hyperlink r:id="rId7">
        <w:r w:rsidDel="00000000" w:rsidR="00000000" w:rsidRPr="00000000">
          <w:rPr>
            <w:rFonts w:ascii="Times New Roman" w:cs="Times New Roman" w:eastAsia="Times New Roman" w:hAnsi="Times New Roman"/>
            <w:color w:val="1155cc"/>
            <w:sz w:val="24"/>
            <w:szCs w:val="24"/>
            <w:u w:val="single"/>
            <w:rtl w:val="0"/>
          </w:rPr>
          <w:t xml:space="preserve">video</w:t>
        </w:r>
      </w:hyperlink>
      <w:r w:rsidDel="00000000" w:rsidR="00000000" w:rsidRPr="00000000">
        <w:rPr>
          <w:rFonts w:ascii="Times New Roman" w:cs="Times New Roman" w:eastAsia="Times New Roman" w:hAnsi="Times New Roman"/>
          <w:sz w:val="24"/>
          <w:szCs w:val="24"/>
          <w:rtl w:val="0"/>
        </w:rPr>
        <w:t xml:space="preserve"> that walks through these sections from a financial perspective. We recommend first examining the visual annotations, these are just Excel workbooks with outlines drawn around sections that we’ve created. They are examples, not a guarantee that every workbook follows the same layout or contains the same section types. </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to measure that you have not overfit extensively to the examples that we have provided, we maintain a held out set of evals which we will use to ensure your system generalizes. The exact statistics we will compute for this section are detailed in the </w:t>
      </w:r>
      <w:hyperlink w:anchor="3exra05juv7n">
        <w:r w:rsidDel="00000000" w:rsidR="00000000" w:rsidRPr="00000000">
          <w:rPr>
            <w:rFonts w:ascii="Times New Roman" w:cs="Times New Roman" w:eastAsia="Times New Roman" w:hAnsi="Times New Roman"/>
            <w:color w:val="1155cc"/>
            <w:sz w:val="24"/>
            <w:szCs w:val="24"/>
            <w:u w:val="single"/>
            <w:rtl w:val="0"/>
          </w:rPr>
          <w:t xml:space="preserve">Metrics and Evaluation section</w:t>
        </w:r>
      </w:hyperlink>
      <w:r w:rsidDel="00000000" w:rsidR="00000000" w:rsidRPr="00000000">
        <w:rPr>
          <w:rFonts w:ascii="Times New Roman" w:cs="Times New Roman" w:eastAsia="Times New Roman" w:hAnsi="Times New Roman"/>
          <w:sz w:val="24"/>
          <w:szCs w:val="24"/>
          <w:rtl w:val="0"/>
        </w:rPr>
        <w:t xml:space="preserve">, but at a high level we will compare the sections.json that your system produced for a given task to a hand created sections.json that we know to be correct. </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With that in mind, please have a function named create_overall_section in your codebase with the following shape, as described in pseudocode:</w:t>
        <w:br w:type="textWrapping"/>
        <w:br w:type="textWrapping"/>
        <w:t xml:space="preserve">create_overall_section(input.xlsx, complete.xlsx, instructions.md) → sections.json</w:t>
        <w:br w:type="textWrapping"/>
        <w:br w:type="textWrapping"/>
        <w:t xml:space="preserve">Of course, you need not use all the arguments of input, complete, and instructions if you do not want to. However, note that you CANNOT feed the rubric in as an argument to this function; this is intentional, there are often scenarios where you want to compute the sections without already having a rubric. </w:t>
      </w:r>
      <w:r w:rsidDel="00000000" w:rsidR="00000000" w:rsidRPr="00000000">
        <w:rPr>
          <w:rFonts w:ascii="Times New Roman" w:cs="Times New Roman" w:eastAsia="Times New Roman" w:hAnsi="Times New Roman"/>
          <w:sz w:val="24"/>
          <w:szCs w:val="24"/>
          <w:rtl w:val="0"/>
        </w:rPr>
        <w:t xml:space="preserve">In terms of output, please have sections.json use the same format as the sections.json that we provided to you.</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evaluating your produced sections.json files, we also care to see your reasoning laid out in the documentation. Specifically, please include tradeoffs considered / why you made the decisions that you did for part 1 in your DESIGN_NOTES.md. </w:t>
      </w:r>
    </w:p>
    <w:bookmarkStart w:colFirst="0" w:colLast="0" w:name="wnsrwqa9tbrc" w:id="6"/>
    <w:bookmarkEnd w:id="6"/>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rPr>
      </w:pPr>
      <w:bookmarkStart w:colFirst="0" w:colLast="0" w:name="_i7tj6u3fat1o" w:id="7"/>
      <w:bookmarkEnd w:id="7"/>
      <w:r w:rsidDel="00000000" w:rsidR="00000000" w:rsidRPr="00000000">
        <w:rPr>
          <w:rFonts w:ascii="Times New Roman" w:cs="Times New Roman" w:eastAsia="Times New Roman" w:hAnsi="Times New Roman"/>
          <w:rtl w:val="0"/>
        </w:rPr>
        <w:t xml:space="preserve">Part 2 – Intermediate Sections</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larger goal within this exercise is to map grading items in a rubric to grading cells within an Excel model. A grading item is one specific condition inside a rubric criterion, together with its associated points. A cell is a value, formula, or label at a particular sheet and coordinate. You can read more about this in Part 3. </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this goal, we need to think further about the types of sections we create. This is where </w:t>
      </w:r>
      <w:r w:rsidDel="00000000" w:rsidR="00000000" w:rsidRPr="00000000">
        <w:rPr>
          <w:rFonts w:ascii="Times New Roman" w:cs="Times New Roman" w:eastAsia="Times New Roman" w:hAnsi="Times New Roman"/>
          <w:sz w:val="24"/>
          <w:szCs w:val="24"/>
          <w:rtl w:val="0"/>
        </w:rPr>
        <w:t xml:space="preserve">semantic context about the underlying financial objective becomes critical. Here are some examples of semantic context we think about that influence how we treat sections: </w:t>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Projections and historicals: Historicals</w:t>
      </w:r>
      <w:r w:rsidDel="00000000" w:rsidR="00000000" w:rsidRPr="00000000">
        <w:rPr>
          <w:rFonts w:ascii="Times New Roman" w:cs="Times New Roman" w:eastAsia="Times New Roman" w:hAnsi="Times New Roman"/>
          <w:sz w:val="24"/>
          <w:szCs w:val="24"/>
          <w:rtl w:val="0"/>
        </w:rPr>
        <w:t xml:space="preserve"> are the parts of a financial model that show what has already happened—for example, a company’s actual revenue, expenses, and profits from 2023–2025. </w:t>
      </w:r>
      <w:r w:rsidDel="00000000" w:rsidR="00000000" w:rsidRPr="00000000">
        <w:rPr>
          <w:rFonts w:ascii="Times New Roman" w:cs="Times New Roman" w:eastAsia="Times New Roman" w:hAnsi="Times New Roman"/>
          <w:b w:val="1"/>
          <w:bCs w:val="1"/>
          <w:sz w:val="24"/>
          <w:szCs w:val="24"/>
          <w:rtl w:val="0"/>
        </w:rPr>
        <w:t xml:space="preserve">Projections</w:t>
      </w:r>
      <w:r w:rsidDel="00000000" w:rsidR="00000000" w:rsidRPr="00000000">
        <w:rPr>
          <w:rFonts w:ascii="Times New Roman" w:cs="Times New Roman" w:eastAsia="Times New Roman" w:hAnsi="Times New Roman"/>
          <w:sz w:val="24"/>
          <w:szCs w:val="24"/>
          <w:rtl w:val="0"/>
        </w:rPr>
        <w:t xml:space="preserve"> are estimates of what might happen in the future, such as revenue for 2027–2028. Projections are built using assumptions—for example, “revenue grows 10% per year”—and formulas that translate those assumptions into forecasted financial results. Many line items in a financial model have a historical portion and a projection portion. Grading items in the rubric often treat historicals and projections differently. In some cases, one row may have two grading items: one for historicals, and one for projections. In other cases, one grading item may cover both portions.</w:t>
      </w:r>
    </w:p>
    <w:p w:rsidR="00000000" w:rsidDel="00000000" w:rsidP="00000000" w:rsidRDefault="00000000" w:rsidRPr="00000000" w14:paraId="0000004C">
      <w:pPr>
        <w:numPr>
          <w:ilvl w:val="0"/>
          <w:numId w:val="11"/>
        </w:numPr>
        <w:pBdr>
          <w:top w:space="0" w:sz="0" w:val="nil"/>
          <w:left w:space="0" w:sz="0" w:val="nil"/>
          <w:bottom w:space="0" w:sz="0" w:val="nil"/>
          <w:right w:space="0" w:sz="0" w:val="nil"/>
          <w:between w:space="0" w:sz="0" w:val="nil"/>
        </w:pBd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Inputs and assumptions vs. calculated outputs: Inputs and assumptions</w:t>
      </w:r>
      <w:r w:rsidDel="00000000" w:rsidR="00000000" w:rsidRPr="00000000">
        <w:rPr>
          <w:rFonts w:ascii="Times New Roman" w:cs="Times New Roman" w:eastAsia="Times New Roman" w:hAnsi="Times New Roman"/>
          <w:sz w:val="24"/>
          <w:szCs w:val="24"/>
          <w:rtl w:val="0"/>
        </w:rPr>
        <w:t xml:space="preserve"> are values entered into a financial model that reflect a judgment, expectation, or externally sourced estimate rather than being calculated by the model itself. For example, last year’s revenue is an input (it is externally sourced), and the revenue growth for the coming year is an assumption. </w:t>
      </w:r>
      <w:r w:rsidDel="00000000" w:rsidR="00000000" w:rsidRPr="00000000">
        <w:rPr>
          <w:rFonts w:ascii="Times New Roman" w:cs="Times New Roman" w:eastAsia="Times New Roman" w:hAnsi="Times New Roman"/>
          <w:b w:val="1"/>
          <w:bCs w:val="1"/>
          <w:sz w:val="24"/>
          <w:szCs w:val="24"/>
          <w:rtl w:val="0"/>
        </w:rPr>
        <w:t xml:space="preserve">Calculated outputs</w:t>
      </w:r>
      <w:r w:rsidDel="00000000" w:rsidR="00000000" w:rsidRPr="00000000">
        <w:rPr>
          <w:rFonts w:ascii="Times New Roman" w:cs="Times New Roman" w:eastAsia="Times New Roman" w:hAnsi="Times New Roman"/>
          <w:sz w:val="24"/>
          <w:szCs w:val="24"/>
          <w:rtl w:val="0"/>
        </w:rPr>
        <w:t xml:space="preserve"> are formula-derived results that rely on these inputs (all other values in the financial model). In many cases, one grading item may correspond to the assumptions and another to the outputs for the sections as defined in Part 1.</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these details, our team chooses to make smaller sections that are more detailed than the ones provided in Section 1. We call these subsections. Some other example considerations we think about as subsections are introduced include: </w:t>
      </w:r>
      <w:r w:rsidDel="00000000" w:rsidR="00000000" w:rsidRPr="00000000">
        <w:rPr>
          <w:rtl w:val="0"/>
        </w:rPr>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subsections be non-contiguous? Or must a subsection be spatially connected?</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subsections be rectangular? Or can they be shapes that are not human interpretable?</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subsections be of a certain size? Or can some subsections be much larger than others?</w:t>
      </w:r>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multiple grading items be mapped to the same subsection? Can one grading item be mapped to multiple subsections?</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 provide two examples of how these considerations surface in the way we define subsections: </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22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4224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Example 1: Found within the Keysight model on the Financials sheet, this is a set of controls that helps with overall settings for the model. This would be considered separate from the financial analysis sections of the model and therefore deserves to be its own section.</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12192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 2: Found within the Textron model in the Operating sheet, this section has actual values for the historicals in columns F, G, and H, meaning we don’t need to consider different financial outlooks. We can leave those values blank. Therefore, these cells aren’t included as part of the subsection, and should not be considered as part of the grading items. </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want to do some post-processing or pre-processing of the create_overall_section function, or perhaps abandon it altogether in favor of a new function or functions, but you have entire creative flexibility here, please do whatever you think is best for your system. You are not required to make smaller sections beyond Part 1 if you have another idea for how to approach the problem, but you must take into account the considerations that we present above in some part of your system. We only ask that you do not provide the rubric as an argument, for the aforementioned reason that we often want to create sections without already having the rubric.</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this part is less strictly defined, we especially care to see your reasoning laid out in the documentation. Specifically, please include tradeoffs considered / why you made the decisions that you did for part 2 in your DESIGN_NOTES.md. </w:t>
      </w:r>
    </w:p>
    <w:bookmarkStart w:colFirst="0" w:colLast="0" w:name="mblzdxsunaj" w:id="8"/>
    <w:bookmarkEnd w:id="8"/>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rPr>
      </w:pPr>
      <w:bookmarkStart w:colFirst="0" w:colLast="0" w:name="_xb8umetoui39" w:id="9"/>
      <w:bookmarkEnd w:id="9"/>
      <w:r w:rsidDel="00000000" w:rsidR="00000000" w:rsidRPr="00000000">
        <w:rPr>
          <w:rFonts w:ascii="Times New Roman" w:cs="Times New Roman" w:eastAsia="Times New Roman" w:hAnsi="Times New Roman"/>
          <w:rtl w:val="0"/>
        </w:rPr>
        <w:t xml:space="preserve">Part 3 – Items-To-Cells Mapping</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Top-level note: we herein refer to Items-To-Cells as “I2C” for brevity.</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quick reminder, a cell is a value, formula, or label at a particular sheet and coordinate, and a grading item is one specific condition inside a rubric criterion, together with its associated points. </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 asks you to connect each grading item to the workbook cells that an evaluator should inspect when judging whether the condition has been satisfied. </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the “diff” is the complete set of workbook cells where either (1) the Complete workbook contains cell content where the corresponding Input cell is blank / does not contain that content, or (2) the Complete workbook contains a formula that is different from the formula in the corresponding Input cell. These are the cells we are interested in grading, and they are represented as a list of cells identified by sheet name + cell coordinate. </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 to follow is that you should only map grading items to cells that are part of the diff. It is possible that some cells in the diff will not be mapped to any grading criterion, though this tends to be less than 1% of all relevant cells. </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most precise mapping in the assignment. A good I2C mapping focuses a judge on the relevant workbook evidence, makes the rubric's coverage inspectable, and gives us a concrete way to measure whether your system has tied rubric language to the correct parts of the financial model. The sectioning and C2S work from earlier parts will likely be useful here. We note that one grading cell can be mapped to multiple grading items. </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step you may find helpful is to first map grading items to the abstractions of sections you created in Part 1 and Part 2. Tying these concepts together helps us understand which major parts of a model are covered by the rubric, gives a judge more focused workbook context, and creates a bridge between sectioning and the more precise mapping in part 3. It may also expose weaknesses in an earlier design: if a criterion cannot be described cleanly using your sections, you may want to reconsider their granularity or representation. However, you aren’t required to pursue this strategy at all, particularly if you took a different approach in Part 2. </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the expected result concrete, we will provide </w:t>
      </w:r>
      <w:hyperlink r:id="rId10">
        <w:r w:rsidDel="00000000" w:rsidR="00000000" w:rsidRPr="00000000">
          <w:rPr>
            <w:rFonts w:ascii="Times New Roman" w:cs="Times New Roman" w:eastAsia="Times New Roman" w:hAnsi="Times New Roman"/>
            <w:color w:val="1155cc"/>
            <w:sz w:val="24"/>
            <w:szCs w:val="24"/>
            <w:u w:val="single"/>
            <w:rtl w:val="0"/>
          </w:rPr>
          <w:t xml:space="preserve">three labeled I2C examples</w:t>
        </w:r>
      </w:hyperlink>
      <w:r w:rsidDel="00000000" w:rsidR="00000000" w:rsidRPr="00000000">
        <w:rPr>
          <w:rFonts w:ascii="Times New Roman" w:cs="Times New Roman" w:eastAsia="Times New Roman" w:hAnsi="Times New Roman"/>
          <w:sz w:val="24"/>
          <w:szCs w:val="24"/>
          <w:rtl w:val="0"/>
        </w:rPr>
        <w:t xml:space="preserve">. Each example contains:</w:t>
      </w:r>
      <w:r w:rsidDel="00000000" w:rsidR="00000000" w:rsidRPr="00000000">
        <w:rPr>
          <w:rtl w:val="0"/>
        </w:rPr>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input.xlsx, complete.xlsx, and instructions.md that make up a particular financial task</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task's rubric.json</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machine-readable gold Items-To-Cells mapping (items_to_cells.json)</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items_to_cells mapping is often very granular, we will forgo providing visual annotations of the gold mapping. However, it may be helpful for you to visualize these in a manner you see fit.</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machine-readable file associates each item_id in the rubric with its gold workbook cells. These are examples of the expected behavior and schema, not a guarantee that every new task will use the same layout, vocabulary, or financial objects.</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quantitatively evaluate I2C on a held-out set of tasks. At a high level, we will run your system on a task you have not seen and compare the items_to_cells.json it produces with a hand-created mapping that we know to be correct. See the </w:t>
      </w:r>
      <w:hyperlink w:anchor="3exra05juv7n">
        <w:r w:rsidDel="00000000" w:rsidR="00000000" w:rsidRPr="00000000">
          <w:rPr>
            <w:rFonts w:ascii="Times New Roman" w:cs="Times New Roman" w:eastAsia="Times New Roman" w:hAnsi="Times New Roman"/>
            <w:color w:val="1155cc"/>
            <w:sz w:val="24"/>
            <w:szCs w:val="24"/>
            <w:u w:val="single"/>
            <w:rtl w:val="0"/>
          </w:rPr>
          <w:t xml:space="preserve">Metrics and Evaluation section</w:t>
        </w:r>
      </w:hyperlink>
      <w:r w:rsidDel="00000000" w:rsidR="00000000" w:rsidRPr="00000000">
        <w:rPr>
          <w:rFonts w:ascii="Times New Roman" w:cs="Times New Roman" w:eastAsia="Times New Roman" w:hAnsi="Times New Roman"/>
          <w:sz w:val="24"/>
          <w:szCs w:val="24"/>
          <w:rtl w:val="0"/>
        </w:rPr>
        <w:t xml:space="preserve"> for the exact statistics and scoring details.</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that in mind, please have a function named create_items_to_cells_mapping in your codebase with the following shape, as described in pseudocode:</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create_items_to_cells_mapping(input.xlsx, complete.xlsx, instructions.md, rubric.json) → items_to_cells.json</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implementation may call the functions or consume the artifacts you created in parts 1 through 3, but it does not have to. Unlike section creation, the rubric is an expected input here because the grading items are the objects being mapped. In terms of output, please have items_to_cells.json use the same format as the labeled examples we provided.</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evaluating your produced items_to_cells.json files, one of the most important things we are evaluating you on is your reasoning and ability to communicate this reasoning. We want to see this reasoning laid out in documentation. In your DESIGN_NOTES.md, explain the signals and intermediate representations you used, how this part interacts with parts 1 through 3, the tradeoffs you considered, which kinds of mappings you expect your system to get wrong or mark as uncertain, and any other miscellaneous information that’s helpful for us to understand.</w:t>
      </w:r>
    </w:p>
    <w:bookmarkStart w:colFirst="0" w:colLast="0" w:name="3exra05juv7n" w:id="10"/>
    <w:bookmarkEnd w:id="10"/>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bookmarkStart w:colFirst="0" w:colLast="0" w:name="_779qapp9kcft" w:id="11"/>
      <w:bookmarkEnd w:id="11"/>
      <w:r w:rsidDel="00000000" w:rsidR="00000000" w:rsidRPr="00000000">
        <w:rPr>
          <w:rFonts w:ascii="Times New Roman" w:cs="Times New Roman" w:eastAsia="Times New Roman" w:hAnsi="Times New Roman"/>
          <w:rtl w:val="0"/>
        </w:rPr>
        <w:t xml:space="preserve">Metrics and Evaluation</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labeled examples</w:t>
      </w:r>
      <w:r w:rsidDel="00000000" w:rsidR="00000000" w:rsidRPr="00000000">
        <w:rPr>
          <w:rFonts w:ascii="Times New Roman" w:cs="Times New Roman" w:eastAsia="Times New Roman" w:hAnsi="Times New Roman"/>
          <w:sz w:val="24"/>
          <w:szCs w:val="24"/>
          <w:rtl w:val="0"/>
        </w:rPr>
        <w:t xml:space="preserve"> in Parts 1 and 3 show the expected outputs and allow you to evaluate your system during development. We will also evaluate your submission on held-out tasks that are not provided during the work trial. These tasks use the same inputs, outputs, and metrics, but may contain different workbook layouts, financial content, and rubric language.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both parts, we record three measurements:</w:t>
      </w:r>
    </w:p>
    <w:p w:rsidR="00000000" w:rsidDel="00000000" w:rsidP="00000000" w:rsidRDefault="00000000" w:rsidRPr="00000000" w14:paraId="0000006E">
      <w:pPr>
        <w:numPr>
          <w:ilvl w:val="0"/>
          <w:numId w:val="12"/>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asks: Of everything your system predicted, how much was correct? Mathematically, Precision = correct predictions / all predictions</w:t>
      </w:r>
    </w:p>
    <w:p w:rsidR="00000000" w:rsidDel="00000000" w:rsidP="00000000" w:rsidRDefault="00000000" w:rsidRPr="00000000" w14:paraId="0000006F">
      <w:pPr>
        <w:numPr>
          <w:ilvl w:val="0"/>
          <w:numId w:val="12"/>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asks: Of everything in the gold answer, how much did your system find? Mathematically, Recall = correct predictions / all gold answers</w:t>
      </w:r>
    </w:p>
    <w:p w:rsidR="00000000" w:rsidDel="00000000" w:rsidP="00000000" w:rsidRDefault="00000000" w:rsidRPr="00000000" w14:paraId="00000070">
      <w:pPr>
        <w:numPr>
          <w:ilvl w:val="0"/>
          <w:numId w:val="12"/>
        </w:numPr>
        <w:pBdr>
          <w:top w:space="0" w:sz="0" w:val="nil"/>
          <w:left w:space="0" w:sz="0" w:val="nil"/>
          <w:bottom w:space="0" w:sz="0" w:val="nil"/>
          <w:right w:space="0" w:sz="0" w:val="nil"/>
          <w:between w:space="0" w:sz="0" w:val="nil"/>
        </w:pBdr>
        <w:shd w:fill="ffffff" w:val="clea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w:t>
      </w:r>
      <w:r w:rsidDel="00000000" w:rsidR="00000000" w:rsidRPr="00000000">
        <w:rPr>
          <w:rFonts w:ascii="Times New Roman" w:cs="Times New Roman" w:eastAsia="Times New Roman" w:hAnsi="Times New Roman"/>
          <w:sz w:val="24"/>
          <w:szCs w:val="24"/>
          <w:rtl w:val="0"/>
        </w:rPr>
        <w:t xml:space="preserve"> combines precision and recall into one score that is high only when both are high. Mathematically, F1 = 2 × precision × recall / (precision + recall)</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 1, a “prediction” is a pair of cells grouped together. In Part 3, a “prediction” is a cell assigned to a grading item.</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metric we’ll evaluate you on is the F1 associated with part 3. Part 1 and 2 are still relevant, but exist mostly in service of guiding you along the right path to part 3. With that in mind, we’ve created a standalone repo, </w:t>
      </w:r>
      <w:hyperlink r:id="rId11">
        <w:r w:rsidDel="00000000" w:rsidR="00000000" w:rsidRPr="00000000">
          <w:rPr>
            <w:rFonts w:ascii="Times New Roman" w:cs="Times New Roman" w:eastAsia="Times New Roman" w:hAnsi="Times New Roman"/>
            <w:color w:val="1155cc"/>
            <w:sz w:val="24"/>
            <w:szCs w:val="24"/>
            <w:u w:val="single"/>
            <w:rtl w:val="0"/>
          </w:rPr>
          <w:t xml:space="preserve">rubric-eval-mapping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which contains standard python scripts to compute the different metrics we describe. Details are in the README.md.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to note, however, is that you may feel that there are better metrics that you want to compute in your personal development process. That is totally reasonable, and can definitely be helpful, especially for evaluating your agents on intermediary steps. Please let us know if and how you used these additional metrics in your DESIGN_NOTES.md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said, the following sections are a more detailed description of each of the ways we will evaluate your submission. </w:t>
      </w: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rPr>
      </w:pPr>
      <w:bookmarkStart w:colFirst="0" w:colLast="0" w:name="_6599ei8xq1yj" w:id="12"/>
      <w:bookmarkEnd w:id="12"/>
      <w:r w:rsidDel="00000000" w:rsidR="00000000" w:rsidRPr="00000000">
        <w:rPr>
          <w:rFonts w:ascii="Times New Roman" w:cs="Times New Roman" w:eastAsia="Times New Roman" w:hAnsi="Times New Roman"/>
          <w:rtl w:val="0"/>
        </w:rPr>
        <w:t xml:space="preserve">Metrics, Part 1</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names and identifiers are arbitrary, so we will not try to match sections by name or position. Instead, we will evaluate the grouping decisions represented by the sections. Each cell is identified by its sheet name and coordinate. Two cells form a </w:t>
      </w:r>
      <w:r w:rsidDel="00000000" w:rsidR="00000000" w:rsidRPr="00000000">
        <w:rPr>
          <w:rFonts w:ascii="Times New Roman" w:cs="Times New Roman" w:eastAsia="Times New Roman" w:hAnsi="Times New Roman"/>
          <w:sz w:val="24"/>
          <w:szCs w:val="24"/>
          <w:rtl w:val="0"/>
        </w:rPr>
        <w:t xml:space="preserve">grouped pair</w:t>
      </w:r>
      <w:r w:rsidDel="00000000" w:rsidR="00000000" w:rsidRPr="00000000">
        <w:rPr>
          <w:rFonts w:ascii="Times New Roman" w:cs="Times New Roman" w:eastAsia="Times New Roman" w:hAnsi="Times New Roman"/>
          <w:sz w:val="24"/>
          <w:szCs w:val="24"/>
          <w:rtl w:val="0"/>
        </w:rPr>
        <w:t xml:space="preserve"> when they appear together in at least one section. We construct one set of grouped pairs from your sections.json and another from the hand-created gold sections.json. For evaluation purposes, a cell is also paired with itself whenever it is assigned to a section. This makes omitted cells, extra cells, and one-cell sections visible to the same metric, without requiring a separate coverage score.</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task, we calculate:</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Grouping precision: the fraction of pairs produced by your system that also appear in the gold. This falls when your sections combine cells that the gold keeps separate.</w:t>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Grouping recall: the fraction of gold pairs that your system recovered. This falls when your sections split apart cells that the gold keeps together or omit cells entirely.</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Grouping F1: the harmonic mean of grouping precision and grouping recall. This is the primary quantitative score for part 1, while precision and recall will also be reported separately so that merging and fragmentation failures remain distinguishable.</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suppose the gold solution groups cells A1, A2, and A3 together, but your system groups only A1 and A2. The relationship your system did identify is correct, so precision will remain high. Recall will be lower because the relationships involving A3 were missed. Conversely, adding an unrelated cell to the section will lower precision because it creates incorrect relationships.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rPr>
      </w:pPr>
      <w:bookmarkStart w:colFirst="0" w:colLast="0" w:name="_mp339a3i6krj" w:id="13"/>
      <w:bookmarkEnd w:id="13"/>
      <w:r w:rsidDel="00000000" w:rsidR="00000000" w:rsidRPr="00000000">
        <w:rPr>
          <w:rFonts w:ascii="Times New Roman" w:cs="Times New Roman" w:eastAsia="Times New Roman" w:hAnsi="Times New Roman"/>
          <w:rtl w:val="0"/>
        </w:rPr>
        <w:t xml:space="preserve">Metrics, Part 3</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given item_id, your items_to_cells.json defines a predicted set of workbook cells and the hand-created mapping defines the gold set. We compare those two sets directly; there is no section matching step in this evaluation.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grading item, we calculate:</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 precision: the fraction of cells your system selected for the item that are also in the gold mapping. This falls when the mapping includes cells that are not relevant to that grading item.</w:t>
      </w:r>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 recall: </w:t>
      </w:r>
      <w:r w:rsidDel="00000000" w:rsidR="00000000" w:rsidRPr="00000000">
        <w:rPr>
          <w:rFonts w:ascii="Times New Roman" w:cs="Times New Roman" w:eastAsia="Times New Roman" w:hAnsi="Times New Roman"/>
          <w:sz w:val="24"/>
          <w:szCs w:val="24"/>
          <w:rtl w:val="0"/>
        </w:rPr>
        <w:t xml:space="preserve">the fraction of the item's gold cells that your system selected. This falls when the mapping misses workbook evidence needed to evaluate the item.</w:t>
      </w:r>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 F1: the harmonic mean of cell precision and cell recall. </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suppose a grading item has 10 gold cells. If your system selects 13 cells, of which 8 are correct:</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is 8 / 13, or approximately 62%.</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is 8 / 10, or 80%.</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is approximately 70%.</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first average the item-level scores within each rubric criterion and then average the criteria equally. For example, a criterion containing nine grading items receives the same overall weight as a criterion containing two items. We will also report the average across all individual items and the percentage of items for which the system produced a mapping.</w:t>
      </w:r>
    </w:p>
    <w:bookmarkStart w:colFirst="0" w:colLast="0" w:name="ynuhl2bhf5eh" w:id="14"/>
    <w:bookmarkEnd w:id="14"/>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rPr>
      </w:pPr>
      <w:bookmarkStart w:colFirst="0" w:colLast="0" w:name="_xomhpu3qgme8" w:id="15"/>
      <w:bookmarkEnd w:id="15"/>
      <w:r w:rsidDel="00000000" w:rsidR="00000000" w:rsidRPr="00000000">
        <w:rPr>
          <w:rFonts w:ascii="Times New Roman" w:cs="Times New Roman" w:eastAsia="Times New Roman" w:hAnsi="Times New Roman"/>
          <w:rtl w:val="0"/>
        </w:rPr>
        <w:t xml:space="preserve">Evaluation, Cost</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care about the practical API cost of running your system. There is often a tension between accuracy (as measured by the metrics listed above) and cost; in the ideal world the system is extremely cheap and very accurate, but in reality we often have to make decisions about what components we can afford to have less LLM calls / use less intelligent models while compromising on quality. For instance, you may use GPT-5.6-Terra for some pre-processing, and GPT-5.6-Sol for decisions about whether to merge sections. </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purposes of this work trial, you will use OpenAI models in your system. </w:t>
      </w:r>
      <w:r w:rsidDel="00000000" w:rsidR="00000000" w:rsidRPr="00000000">
        <w:rPr>
          <w:rFonts w:ascii="Times New Roman" w:cs="Times New Roman" w:eastAsia="Times New Roman" w:hAnsi="Times New Roman"/>
          <w:sz w:val="24"/>
          <w:szCs w:val="24"/>
          <w:rtl w:val="0"/>
        </w:rPr>
        <w:t xml:space="preserve">You will receive an OpenAI API Key with a limit of $300 set on it, which will be your budget. Besides that budget, you have full flexibility here. </w:t>
      </w:r>
      <w:r w:rsidDel="00000000" w:rsidR="00000000" w:rsidRPr="00000000">
        <w:rPr>
          <w:rFonts w:ascii="Times New Roman" w:cs="Times New Roman" w:eastAsia="Times New Roman" w:hAnsi="Times New Roman"/>
          <w:sz w:val="24"/>
          <w:szCs w:val="24"/>
          <w:rtl w:val="0"/>
        </w:rPr>
        <w:t xml:space="preserve">In our experience, the OpenAI models released after and including GPT-5.4 are significantly better at financial tasks than older models. Another thing you may consider is that not all parts of your system need to use LLMs. They are obviously critical for certain steps, but other times you may be able to do some deterministic processing, which could improve your performance and cost metrics.</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nice thing about using OpenAI models is that they have some built-in functionality in the API that should make your life easier. In particular, the </w:t>
      </w:r>
      <w:hyperlink r:id="rId12">
        <w:r w:rsidDel="00000000" w:rsidR="00000000" w:rsidRPr="00000000">
          <w:rPr>
            <w:rFonts w:ascii="Times New Roman" w:cs="Times New Roman" w:eastAsia="Times New Roman" w:hAnsi="Times New Roman"/>
            <w:color w:val="1155cc"/>
            <w:sz w:val="24"/>
            <w:szCs w:val="24"/>
            <w:u w:val="single"/>
            <w:rtl w:val="0"/>
          </w:rPr>
          <w:t xml:space="preserve">code interpreter tool</w:t>
        </w:r>
      </w:hyperlink>
      <w:r w:rsidDel="00000000" w:rsidR="00000000" w:rsidRPr="00000000">
        <w:rPr>
          <w:rFonts w:ascii="Times New Roman" w:cs="Times New Roman" w:eastAsia="Times New Roman" w:hAnsi="Times New Roman"/>
          <w:sz w:val="24"/>
          <w:szCs w:val="24"/>
          <w:rtl w:val="0"/>
        </w:rPr>
        <w:t xml:space="preserve"> and/or </w:t>
      </w:r>
      <w:hyperlink r:id="rId13">
        <w:r w:rsidDel="00000000" w:rsidR="00000000" w:rsidRPr="00000000">
          <w:rPr>
            <w:rFonts w:ascii="Times New Roman" w:cs="Times New Roman" w:eastAsia="Times New Roman" w:hAnsi="Times New Roman"/>
            <w:color w:val="1155cc"/>
            <w:sz w:val="24"/>
            <w:szCs w:val="24"/>
            <w:u w:val="single"/>
            <w:rtl w:val="0"/>
          </w:rPr>
          <w:t xml:space="preserve">shell tool</w:t>
        </w:r>
      </w:hyperlink>
      <w:r w:rsidDel="00000000" w:rsidR="00000000" w:rsidRPr="00000000">
        <w:rPr>
          <w:rFonts w:ascii="Times New Roman" w:cs="Times New Roman" w:eastAsia="Times New Roman" w:hAnsi="Times New Roman"/>
          <w:sz w:val="24"/>
          <w:szCs w:val="24"/>
          <w:rtl w:val="0"/>
        </w:rPr>
        <w:t xml:space="preserve"> are tools that allow your agent to write and execute code, which may be useful for letting the agents interact with Excel files. We suggest doing some research on different setups for agents to interact with Excel files ahead of implementing your approach (e.g. both OpenAI and Anthropic have example SKILL.md files for this). In fact, feel free to reuse and/or modify any of these existing implementations in your code if you choose.</w:t>
      </w:r>
      <w:r w:rsidDel="00000000" w:rsidR="00000000" w:rsidRPr="00000000">
        <w:rPr>
          <w:rtl w:val="0"/>
        </w:rPr>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rPr>
      </w:pPr>
      <w:bookmarkStart w:colFirst="0" w:colLast="0" w:name="_ple2d0p1hdm0" w:id="16"/>
      <w:bookmarkEnd w:id="16"/>
      <w:r w:rsidDel="00000000" w:rsidR="00000000" w:rsidRPr="00000000">
        <w:rPr>
          <w:rFonts w:ascii="Times New Roman" w:cs="Times New Roman" w:eastAsia="Times New Roman" w:hAnsi="Times New Roman"/>
          <w:rtl w:val="0"/>
        </w:rPr>
        <w:t xml:space="preserve">Evaluation, Qualitative Aspects</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elements of the codebase that we will review holistically. These include:</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understanding:</w:t>
      </w:r>
      <w:r w:rsidDel="00000000" w:rsidR="00000000" w:rsidRPr="00000000">
        <w:rPr>
          <w:rFonts w:ascii="Times New Roman" w:cs="Times New Roman" w:eastAsia="Times New Roman" w:hAnsi="Times New Roman"/>
          <w:sz w:val="24"/>
          <w:szCs w:val="24"/>
          <w:rtl w:val="0"/>
        </w:rPr>
        <w:t xml:space="preserve"> Whether your approach reflects a thoughtful understanding of spreadsheet structure, financial semantics, rubric criteria, and the relationship between the four parts of the assignment.</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Creativity and experimental design:</w:t>
      </w:r>
      <w:r w:rsidDel="00000000" w:rsidR="00000000" w:rsidRPr="00000000">
        <w:rPr>
          <w:rFonts w:ascii="Times New Roman" w:cs="Times New Roman" w:eastAsia="Times New Roman" w:hAnsi="Times New Roman"/>
          <w:sz w:val="24"/>
          <w:szCs w:val="24"/>
          <w:rtl w:val="0"/>
        </w:rPr>
        <w:t xml:space="preserve"> Whether you explored promising approaches, used available signals effectively, and learned from intermediate results. A good candidate has clear and well-designed experiments to collect data, which they then use to test out hypotheses and adapt their ideas. A bad candidate just blindly follows what Claude told them without understanding or validating the ideas, or is defensive about their intuitions without evidence to back their claims.</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architecture:</w:t>
      </w:r>
      <w:r w:rsidDel="00000000" w:rsidR="00000000" w:rsidRPr="00000000">
        <w:rPr>
          <w:rFonts w:ascii="Times New Roman" w:cs="Times New Roman" w:eastAsia="Times New Roman" w:hAnsi="Times New Roman"/>
          <w:sz w:val="24"/>
          <w:szCs w:val="24"/>
          <w:rtl w:val="0"/>
        </w:rPr>
        <w:t xml:space="preserve"> Whether the stages, intermediate representations, schemas, and interfaces form a coherent system. </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Quality of engineering decisions:</w:t>
      </w:r>
      <w:r w:rsidDel="00000000" w:rsidR="00000000" w:rsidRPr="00000000">
        <w:rPr>
          <w:rFonts w:ascii="Times New Roman" w:cs="Times New Roman" w:eastAsia="Times New Roman" w:hAnsi="Times New Roman"/>
          <w:sz w:val="24"/>
          <w:szCs w:val="24"/>
          <w:rtl w:val="0"/>
        </w:rPr>
        <w:t xml:space="preserve"> Whether important tradeoffs were identified and resolved thoughtfully. We are interested both in the decisions you made and in why those decisions were reasonable given the time and information available.</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Practicality:</w:t>
      </w:r>
      <w:r w:rsidDel="00000000" w:rsidR="00000000" w:rsidRPr="00000000">
        <w:rPr>
          <w:rFonts w:ascii="Times New Roman" w:cs="Times New Roman" w:eastAsia="Times New Roman" w:hAnsi="Times New Roman"/>
          <w:sz w:val="24"/>
          <w:szCs w:val="24"/>
          <w:rtl w:val="0"/>
        </w:rPr>
        <w:t xml:space="preserve"> Whether the submission can be run reproducibly, produces outputs in the required formats, and represents a credible foundation for further development.</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quality:</w:t>
      </w:r>
      <w:r w:rsidDel="00000000" w:rsidR="00000000" w:rsidRPr="00000000">
        <w:rPr>
          <w:rFonts w:ascii="Times New Roman" w:cs="Times New Roman" w:eastAsia="Times New Roman" w:hAnsi="Times New Roman"/>
          <w:sz w:val="24"/>
          <w:szCs w:val="24"/>
          <w:rtl w:val="0"/>
        </w:rPr>
        <w:t xml:space="preserve"> Whether the submission had high code quality and attention to detail, including but not limited to documentation, readability, clear logging and error handling, etc.</w:t>
      </w:r>
      <w:r w:rsidDel="00000000" w:rsidR="00000000" w:rsidRPr="00000000">
        <w:rPr>
          <w:rtl w:val="0"/>
        </w:rPr>
      </w:r>
    </w:p>
    <w:bookmarkStart w:colFirst="0" w:colLast="0" w:name="hyxiu2uiuc9z" w:id="17"/>
    <w:bookmarkEnd w:id="17"/>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rPr>
      </w:pPr>
      <w:bookmarkStart w:colFirst="0" w:colLast="0" w:name="_asonhx8ww4g3" w:id="18"/>
      <w:bookmarkEnd w:id="18"/>
      <w:r w:rsidDel="00000000" w:rsidR="00000000" w:rsidRPr="00000000">
        <w:rPr>
          <w:rFonts w:ascii="Times New Roman" w:cs="Times New Roman" w:eastAsia="Times New Roman" w:hAnsi="Times New Roman"/>
          <w:rtl w:val="0"/>
        </w:rPr>
        <w:t xml:space="preserve">Deliverables</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 private GitHub repo shared with the following GitHub users: </w:t>
      </w:r>
      <w:r w:rsidDel="00000000" w:rsidR="00000000" w:rsidRPr="00000000">
        <w:rPr>
          <w:rFonts w:ascii="Times New Roman" w:cs="Times New Roman" w:eastAsia="Times New Roman" w:hAnsi="Times New Roman"/>
          <w:color w:val="188038"/>
          <w:sz w:val="24"/>
          <w:szCs w:val="24"/>
          <w:rtl w:val="0"/>
        </w:rPr>
        <w:t xml:space="preserve">Gurvir36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tanmay-a-sharma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naveenr45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calicartels, joaobose, Rayan-Garg</w:t>
      </w:r>
      <w:r w:rsidDel="00000000" w:rsidR="00000000" w:rsidRPr="00000000">
        <w:rPr>
          <w:rFonts w:ascii="Times New Roman" w:cs="Times New Roman" w:eastAsia="Times New Roman" w:hAnsi="Times New Roman"/>
          <w:sz w:val="24"/>
          <w:szCs w:val="24"/>
          <w:rtl w:val="0"/>
        </w:rPr>
        <w:t xml:space="preserve">. It should contain the following:</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complete implementation, including the required Part 1 and Part 3 entry points and any work for Parts 2 and 3.</w:t>
      </w:r>
    </w:p>
    <w:p w:rsidR="00000000" w:rsidDel="00000000" w:rsidP="00000000" w:rsidRDefault="00000000" w:rsidRPr="00000000" w14:paraId="00000097">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README.md with installation, configuration, and exact commands for running the system and evaluating it on the labeled examples.</w:t>
      </w:r>
    </w:p>
    <w:p w:rsidR="00000000" w:rsidDel="00000000" w:rsidP="00000000" w:rsidRDefault="00000000" w:rsidRPr="00000000" w14:paraId="00000098">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 for each labeled example: sections.json, items_to_cells.json, and any useful intermediate artifacts.</w:t>
      </w:r>
    </w:p>
    <w:p w:rsidR="00000000" w:rsidDel="00000000" w:rsidP="00000000" w:rsidRDefault="00000000" w:rsidRPr="00000000" w14:paraId="00000099">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eval_results.json reporting the Part 1 and Part 3 precision, recall, and F1 metrics for each example.</w:t>
      </w:r>
    </w:p>
    <w:p w:rsidR="00000000" w:rsidDel="00000000" w:rsidP="00000000" w:rsidRDefault="00000000" w:rsidRPr="00000000" w14:paraId="0000009A">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DESIGN_NOTES.md explaining your architecture, key tradeoffs, experiments, known limitations, and what you would do with more time.</w:t>
      </w:r>
    </w:p>
    <w:p w:rsidR="00000000" w:rsidDel="00000000" w:rsidP="00000000" w:rsidRDefault="00000000" w:rsidRPr="00000000" w14:paraId="0000009B">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tests or validation tooling used to verify the system.</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pacing w:after="240" w:lineRule="auto"/>
        <w:rPr>
          <w:rFonts w:ascii="Times New Roman" w:cs="Times New Roman" w:eastAsia="Times New Roman" w:hAnsi="Times New Roman"/>
        </w:rPr>
      </w:pPr>
      <w:bookmarkStart w:colFirst="0" w:colLast="0" w:name="_bbqi1r639yk0" w:id="19"/>
      <w:bookmarkEnd w:id="19"/>
      <w:r w:rsidDel="00000000" w:rsidR="00000000" w:rsidRPr="00000000">
        <w:rPr>
          <w:rFonts w:ascii="Times New Roman" w:cs="Times New Roman" w:eastAsia="Times New Roman" w:hAnsi="Times New Roman"/>
          <w:rtl w:val="0"/>
        </w:rPr>
        <w:t xml:space="preserve">Presentation</w:t>
      </w:r>
    </w:p>
    <w:p w:rsidR="00000000" w:rsidDel="00000000" w:rsidP="00000000" w:rsidRDefault="00000000" w:rsidRPr="00000000" w14:paraId="0000009D">
      <w:pPr>
        <w:rPr>
          <w:rFonts w:ascii="Times New Roman" w:cs="Times New Roman" w:eastAsia="Times New Roman" w:hAnsi="Times New Roman"/>
          <w:sz w:val="24"/>
          <w:szCs w:val="24"/>
        </w:rPr>
        <w:sectPr>
          <w:headerReference r:id="rId14"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At the end of your second day, we will arrange a call with the engineering team, where we’ll talk through your design, ask follow up questions, and dig into how your system may be useful to broader business goals. This portion of the call will be around 30 minutes, of which the first 10 minutes will be you walking through your design. We’ve found this is most useful when you are screen sharing an architecture diagram that explains your solution! </w:t>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15" w:type="default"/>
          <w:type w:val="nextPage"/>
          <w:pgSz w:h="15840" w:w="12240" w:orient="portrait"/>
          <w:pgMar w:bottom="1440" w:top="1440" w:left="1440" w:right="1440" w:header="720" w:footer="720"/>
          <w:pgNumType w:start="1"/>
        </w:sectPr>
      </w:pPr>
      <w:bookmarkStart w:colFirst="0" w:colLast="0" w:name="_xd3k7qggefug"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Handoff Meeting Guide</w:t>
      </w:r>
      <w:r w:rsidDel="00000000" w:rsidR="00000000" w:rsidRPr="00000000">
        <w:rPr>
          <w:rtl w:val="0"/>
        </w:rPr>
      </w:r>
    </w:p>
    <w:p w:rsidR="00000000" w:rsidDel="00000000" w:rsidP="00000000" w:rsidRDefault="00000000" w:rsidRPr="00000000" w14:paraId="0000009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Prerequisites (contact a theta team member if you do not have these provisioned in your kick off meeting): </w:t>
        <w:br w:type="textWrapping"/>
      </w:r>
    </w:p>
    <w:p w:rsidR="00000000" w:rsidDel="00000000" w:rsidP="00000000" w:rsidRDefault="00000000" w:rsidRPr="00000000" w14:paraId="000000A0">
      <w:pPr>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Added to slack channel, so you can communicate with us</w:t>
      </w:r>
    </w:p>
    <w:p w:rsidR="00000000" w:rsidDel="00000000" w:rsidP="00000000" w:rsidRDefault="00000000" w:rsidRPr="00000000" w14:paraId="000000A1">
      <w:pPr>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openai API key</w:t>
      </w:r>
    </w:p>
    <w:p w:rsidR="00000000" w:rsidDel="00000000" w:rsidP="00000000" w:rsidRDefault="00000000" w:rsidRPr="00000000" w14:paraId="000000A2">
      <w:pPr>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access to the rubric-mapping-eval repo on GitHub</w:t>
      </w:r>
    </w:p>
    <w:p w:rsidR="00000000" w:rsidDel="00000000" w:rsidP="00000000" w:rsidRDefault="00000000" w:rsidRPr="00000000" w14:paraId="000000A3">
      <w:pPr>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access to the sectioning examples and I2C examples on Google Drive</w:t>
      </w:r>
    </w:p>
    <w:p w:rsidR="00000000" w:rsidDel="00000000" w:rsidP="00000000" w:rsidRDefault="00000000" w:rsidRPr="00000000" w14:paraId="000000A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 the end of your first day, please send a message in the Slack channel with the following:</w:t>
        <w:br w:type="textWrapping"/>
      </w:r>
    </w:p>
    <w:p w:rsidR="00000000" w:rsidDel="00000000" w:rsidP="00000000" w:rsidRDefault="00000000" w:rsidRPr="00000000" w14:paraId="000000A6">
      <w:pPr>
        <w:numPr>
          <w:ilvl w:val="0"/>
          <w:numId w:val="1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summary of what you accomplished / where you are leaving off. </w:t>
      </w:r>
    </w:p>
    <w:p w:rsidR="00000000" w:rsidDel="00000000" w:rsidP="00000000" w:rsidRDefault="00000000" w:rsidRPr="00000000" w14:paraId="000000A7">
      <w:pPr>
        <w:numPr>
          <w:ilvl w:val="0"/>
          <w:numId w:val="1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questions you have for the team that you would like answered. Feel free to ask away! We will answer all of them before you begin work on Day 2. </w:t>
      </w:r>
    </w:p>
    <w:sectPr>
      <w:headerReference r:id="rId1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d1c1d"/>
        <w:sz w:val="23"/>
        <w:szCs w:val="23"/>
        <w:u w:val="none"/>
      </w:rPr>
    </w:lvl>
    <w:lvl w:ilvl="1">
      <w:start w:val="1"/>
      <w:numFmt w:val="bullet"/>
      <w:lvlText w:val="○"/>
      <w:lvlJc w:val="left"/>
      <w:pPr>
        <w:ind w:left="1440" w:hanging="360"/>
      </w:pPr>
      <w:rPr>
        <w:rFonts w:ascii="Arial" w:cs="Arial" w:eastAsia="Arial" w:hAnsi="Arial"/>
        <w:b w:val="0"/>
        <w:bCs w:val="0"/>
        <w:i w:val="0"/>
        <w:iCs w:val="0"/>
        <w:smallCaps w:val="0"/>
        <w:color w:val="1d1c1d"/>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Theta-Software-Inc/rubric-mapping-eval" TargetMode="External"/><Relationship Id="rId10" Type="http://schemas.openxmlformats.org/officeDocument/2006/relationships/hyperlink" Target="https://drive.google.com/drive/folders/11fIic5Ed2DPDits-MN7eevLDJryLgGgW?usp=drive_link" TargetMode="External"/><Relationship Id="rId13" Type="http://schemas.openxmlformats.org/officeDocument/2006/relationships/hyperlink" Target="https://developers.openai.com/api/docs/guides/tools-shell" TargetMode="External"/><Relationship Id="rId12" Type="http://schemas.openxmlformats.org/officeDocument/2006/relationships/hyperlink" Target="https://developers.openai.com/api/docs/guides/tools-code-interpre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drive.google.com/drive/folders/1W4WfBKKqMNJPKjWU4s_-GOd0Rbk581p_?usp=sharing" TargetMode="External"/><Relationship Id="rId7" Type="http://schemas.openxmlformats.org/officeDocument/2006/relationships/hyperlink" Target="https://www.loom.com/share/f79374632a624c6c99d8097701fbd098"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