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CDE2" w14:textId="1306B3F5" w:rsidR="008A332E" w:rsidRDefault="00560073">
      <w:pPr>
        <w:rPr>
          <w:b/>
          <w:bCs/>
          <w:sz w:val="32"/>
          <w:szCs w:val="32"/>
        </w:rPr>
      </w:pPr>
      <w:r w:rsidRPr="00560073">
        <w:rPr>
          <w:b/>
          <w:bCs/>
          <w:sz w:val="32"/>
          <w:szCs w:val="32"/>
        </w:rPr>
        <w:t>1 Ethics</w:t>
      </w:r>
    </w:p>
    <w:p w14:paraId="523BFAD9" w14:textId="72860224" w:rsidR="00560073" w:rsidRPr="00673322" w:rsidRDefault="00560073" w:rsidP="00560073">
      <w:pPr>
        <w:rPr>
          <w:b/>
          <w:bCs/>
          <w:color w:val="4472C4" w:themeColor="accent1"/>
          <w:sz w:val="24"/>
          <w:szCs w:val="24"/>
        </w:rPr>
      </w:pPr>
      <w:r w:rsidRPr="00673322">
        <w:rPr>
          <w:b/>
          <w:bCs/>
          <w:color w:val="4472C4" w:themeColor="accent1"/>
          <w:sz w:val="24"/>
          <w:szCs w:val="24"/>
        </w:rPr>
        <w:t>1.</w:t>
      </w:r>
      <w:r>
        <w:rPr>
          <w:b/>
          <w:bCs/>
          <w:color w:val="4472C4" w:themeColor="accent1"/>
          <w:sz w:val="24"/>
          <w:szCs w:val="24"/>
        </w:rPr>
        <w:t>1</w:t>
      </w:r>
      <w:r w:rsidRPr="00673322">
        <w:rPr>
          <w:b/>
          <w:bCs/>
          <w:color w:val="4472C4" w:themeColor="accent1"/>
          <w:sz w:val="24"/>
          <w:szCs w:val="24"/>
        </w:rPr>
        <w:t xml:space="preserve"> Reforming Passive Euthanasia in India</w:t>
      </w:r>
    </w:p>
    <w:p w14:paraId="6213420D" w14:textId="77777777" w:rsidR="00560073" w:rsidRPr="00673322" w:rsidRDefault="00560073" w:rsidP="00560073">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17D9EA28" w14:textId="77777777" w:rsidR="00560073" w:rsidRPr="00673322" w:rsidRDefault="00560073" w:rsidP="00560073">
      <w:pPr>
        <w:rPr>
          <w:sz w:val="24"/>
          <w:szCs w:val="24"/>
        </w:rPr>
      </w:pPr>
      <w:r w:rsidRPr="00673322">
        <w:rPr>
          <w:sz w:val="24"/>
          <w:szCs w:val="24"/>
        </w:rPr>
        <w:pict w14:anchorId="3F0D606E">
          <v:rect id="_x0000_i1025" style="width:0;height:1.5pt" o:hralign="center" o:hrstd="t" o:hr="t" fillcolor="#a0a0a0" stroked="f"/>
        </w:pict>
      </w:r>
    </w:p>
    <w:p w14:paraId="1DF8B68F" w14:textId="77777777" w:rsidR="00560073" w:rsidRPr="00673322" w:rsidRDefault="00560073" w:rsidP="00560073">
      <w:pPr>
        <w:rPr>
          <w:b/>
          <w:bCs/>
          <w:sz w:val="24"/>
          <w:szCs w:val="24"/>
        </w:rPr>
      </w:pPr>
      <w:r w:rsidRPr="00673322">
        <w:rPr>
          <w:b/>
          <w:bCs/>
          <w:sz w:val="24"/>
          <w:szCs w:val="24"/>
        </w:rPr>
        <w:t>Key Points for UPSC Syllabus</w:t>
      </w:r>
    </w:p>
    <w:p w14:paraId="69803E00" w14:textId="77777777" w:rsidR="00560073" w:rsidRPr="00673322" w:rsidRDefault="00560073" w:rsidP="00560073">
      <w:pPr>
        <w:rPr>
          <w:sz w:val="24"/>
          <w:szCs w:val="24"/>
        </w:rPr>
      </w:pPr>
      <w:r w:rsidRPr="00673322">
        <w:rPr>
          <w:b/>
          <w:bCs/>
          <w:sz w:val="24"/>
          <w:szCs w:val="24"/>
        </w:rPr>
        <w:t>Passive vs. Active Euthanasia</w:t>
      </w:r>
      <w:r w:rsidRPr="00673322">
        <w:rPr>
          <w:sz w:val="24"/>
          <w:szCs w:val="24"/>
        </w:rPr>
        <w:t xml:space="preserve"> </w:t>
      </w:r>
    </w:p>
    <w:p w14:paraId="77D76CB9" w14:textId="77777777" w:rsidR="00560073" w:rsidRPr="00673322" w:rsidRDefault="00560073" w:rsidP="00560073">
      <w:pPr>
        <w:numPr>
          <w:ilvl w:val="0"/>
          <w:numId w:val="1"/>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1E72F689" w14:textId="77777777" w:rsidR="00560073" w:rsidRPr="00673322" w:rsidRDefault="00560073" w:rsidP="00560073">
      <w:pPr>
        <w:numPr>
          <w:ilvl w:val="0"/>
          <w:numId w:val="1"/>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3B68AD07" w14:textId="77777777" w:rsidR="00560073" w:rsidRPr="00673322" w:rsidRDefault="00560073" w:rsidP="00560073">
      <w:pPr>
        <w:rPr>
          <w:sz w:val="24"/>
          <w:szCs w:val="24"/>
        </w:rPr>
      </w:pPr>
      <w:r w:rsidRPr="00673322">
        <w:rPr>
          <w:b/>
          <w:bCs/>
          <w:sz w:val="24"/>
          <w:szCs w:val="24"/>
        </w:rPr>
        <w:t>Constitutional and Legal Basis in India</w:t>
      </w:r>
      <w:r w:rsidRPr="00673322">
        <w:rPr>
          <w:sz w:val="24"/>
          <w:szCs w:val="24"/>
        </w:rPr>
        <w:t xml:space="preserve"> </w:t>
      </w:r>
    </w:p>
    <w:p w14:paraId="39C2B56B" w14:textId="77777777" w:rsidR="00560073" w:rsidRPr="00673322" w:rsidRDefault="00560073" w:rsidP="00560073">
      <w:pPr>
        <w:numPr>
          <w:ilvl w:val="0"/>
          <w:numId w:val="2"/>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7DB69578" w14:textId="77777777" w:rsidR="00560073" w:rsidRPr="00673322" w:rsidRDefault="00560073" w:rsidP="00560073">
      <w:pPr>
        <w:numPr>
          <w:ilvl w:val="0"/>
          <w:numId w:val="2"/>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6091275C" w14:textId="77777777" w:rsidR="00560073" w:rsidRPr="00673322" w:rsidRDefault="00560073" w:rsidP="00560073">
      <w:pPr>
        <w:numPr>
          <w:ilvl w:val="1"/>
          <w:numId w:val="2"/>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3B9FDD8C" w14:textId="77777777" w:rsidR="00560073" w:rsidRPr="00673322" w:rsidRDefault="00560073" w:rsidP="00560073">
      <w:pPr>
        <w:numPr>
          <w:ilvl w:val="1"/>
          <w:numId w:val="2"/>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7F0317A0" w14:textId="77777777" w:rsidR="00560073" w:rsidRPr="00673322" w:rsidRDefault="00560073" w:rsidP="00560073">
      <w:pPr>
        <w:numPr>
          <w:ilvl w:val="1"/>
          <w:numId w:val="2"/>
        </w:numPr>
        <w:rPr>
          <w:sz w:val="24"/>
          <w:szCs w:val="24"/>
        </w:rPr>
      </w:pPr>
      <w:r w:rsidRPr="00673322">
        <w:rPr>
          <w:sz w:val="24"/>
          <w:szCs w:val="24"/>
        </w:rPr>
        <w:t>These delays can amount to "cruelty" for terminally ill patients and their families, often forcing them to make informal decisions outside the legal framework.</w:t>
      </w:r>
    </w:p>
    <w:p w14:paraId="34AE582D" w14:textId="77777777" w:rsidR="00560073" w:rsidRPr="00673322" w:rsidRDefault="00560073" w:rsidP="00560073">
      <w:pPr>
        <w:rPr>
          <w:b/>
          <w:bCs/>
          <w:sz w:val="24"/>
          <w:szCs w:val="24"/>
        </w:rPr>
      </w:pPr>
      <w:r w:rsidRPr="00673322">
        <w:rPr>
          <w:b/>
          <w:bCs/>
          <w:sz w:val="24"/>
          <w:szCs w:val="24"/>
        </w:rPr>
        <w:t>Proposed Reforms and the Way Forward</w:t>
      </w:r>
    </w:p>
    <w:p w14:paraId="1F79845A" w14:textId="77777777" w:rsidR="00560073" w:rsidRPr="00673322" w:rsidRDefault="00560073" w:rsidP="00560073">
      <w:pPr>
        <w:rPr>
          <w:sz w:val="24"/>
          <w:szCs w:val="24"/>
        </w:rPr>
      </w:pPr>
      <w:r w:rsidRPr="00673322">
        <w:rPr>
          <w:sz w:val="24"/>
          <w:szCs w:val="24"/>
        </w:rPr>
        <w:t>The article argues that India should refine its passive euthanasia protocol rather than adopting active euthanasia.</w:t>
      </w:r>
    </w:p>
    <w:p w14:paraId="13D7278C" w14:textId="77777777" w:rsidR="00560073" w:rsidRPr="00673322" w:rsidRDefault="00560073" w:rsidP="00560073">
      <w:pPr>
        <w:numPr>
          <w:ilvl w:val="0"/>
          <w:numId w:val="3"/>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4014D7D6" w14:textId="77777777" w:rsidR="00560073" w:rsidRPr="00673322" w:rsidRDefault="00560073" w:rsidP="00560073">
      <w:pPr>
        <w:numPr>
          <w:ilvl w:val="1"/>
          <w:numId w:val="3"/>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7AA90C7F" w14:textId="77777777" w:rsidR="00560073" w:rsidRPr="00673322" w:rsidRDefault="00560073" w:rsidP="00560073">
      <w:pPr>
        <w:numPr>
          <w:ilvl w:val="1"/>
          <w:numId w:val="3"/>
        </w:numPr>
        <w:rPr>
          <w:sz w:val="24"/>
          <w:szCs w:val="24"/>
        </w:rPr>
      </w:pPr>
      <w:r w:rsidRPr="00673322">
        <w:rPr>
          <w:b/>
          <w:bCs/>
          <w:sz w:val="24"/>
          <w:szCs w:val="24"/>
        </w:rPr>
        <w:t>Online Validation</w:t>
      </w:r>
      <w:r w:rsidRPr="00673322">
        <w:rPr>
          <w:sz w:val="24"/>
          <w:szCs w:val="24"/>
        </w:rPr>
        <w:t>: A treating physician should validate the patient's mental capacity and intent online.</w:t>
      </w:r>
    </w:p>
    <w:p w14:paraId="42516996" w14:textId="77777777" w:rsidR="00560073" w:rsidRPr="00673322" w:rsidRDefault="00560073" w:rsidP="00560073">
      <w:pPr>
        <w:numPr>
          <w:ilvl w:val="0"/>
          <w:numId w:val="3"/>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484C664D" w14:textId="77777777" w:rsidR="00560073" w:rsidRPr="00673322" w:rsidRDefault="00560073" w:rsidP="00560073">
      <w:pPr>
        <w:numPr>
          <w:ilvl w:val="1"/>
          <w:numId w:val="3"/>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35FD6467" w14:textId="77777777" w:rsidR="00560073" w:rsidRPr="00673322" w:rsidRDefault="00560073" w:rsidP="00560073">
      <w:pPr>
        <w:numPr>
          <w:ilvl w:val="0"/>
          <w:numId w:val="3"/>
        </w:numPr>
        <w:rPr>
          <w:sz w:val="24"/>
          <w:szCs w:val="24"/>
        </w:rPr>
      </w:pPr>
      <w:r w:rsidRPr="00673322">
        <w:rPr>
          <w:b/>
          <w:bCs/>
          <w:sz w:val="24"/>
          <w:szCs w:val="24"/>
        </w:rPr>
        <w:t>Mandatory Safeguards</w:t>
      </w:r>
      <w:r w:rsidRPr="00673322">
        <w:rPr>
          <w:sz w:val="24"/>
          <w:szCs w:val="24"/>
        </w:rPr>
        <w:t>: The process must include safeguards to prevent misuse, such as a cooling-off period, psychological counseling, and palliative care review.</w:t>
      </w:r>
    </w:p>
    <w:p w14:paraId="55018162" w14:textId="77777777" w:rsidR="00560073" w:rsidRPr="00673322" w:rsidRDefault="00560073" w:rsidP="00560073">
      <w:pPr>
        <w:numPr>
          <w:ilvl w:val="0"/>
          <w:numId w:val="3"/>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35CD6EC2" w14:textId="77777777" w:rsidR="00560073" w:rsidRPr="00673322" w:rsidRDefault="00560073" w:rsidP="00560073">
      <w:pPr>
        <w:rPr>
          <w:sz w:val="24"/>
          <w:szCs w:val="24"/>
        </w:rPr>
      </w:pPr>
      <w:r w:rsidRPr="00673322">
        <w:rPr>
          <w:sz w:val="24"/>
          <w:szCs w:val="24"/>
        </w:rPr>
        <w:pict w14:anchorId="7F393F3D">
          <v:rect id="_x0000_i1026" style="width:0;height:1.5pt" o:hralign="center" o:hrstd="t" o:hr="t" fillcolor="#a0a0a0" stroked="f"/>
        </w:pict>
      </w:r>
    </w:p>
    <w:p w14:paraId="251EE05F" w14:textId="77777777" w:rsidR="00560073" w:rsidRPr="00673322" w:rsidRDefault="00560073" w:rsidP="00560073">
      <w:pPr>
        <w:rPr>
          <w:b/>
          <w:bCs/>
          <w:sz w:val="24"/>
          <w:szCs w:val="24"/>
        </w:rPr>
      </w:pPr>
      <w:r w:rsidRPr="00673322">
        <w:rPr>
          <w:b/>
          <w:bCs/>
          <w:sz w:val="24"/>
          <w:szCs w:val="24"/>
        </w:rPr>
        <w:t>Strategic Use for UPSC Preparation</w:t>
      </w:r>
    </w:p>
    <w:p w14:paraId="2C925276" w14:textId="77777777" w:rsidR="00560073" w:rsidRPr="00673322" w:rsidRDefault="00560073" w:rsidP="00560073">
      <w:pPr>
        <w:rPr>
          <w:sz w:val="24"/>
          <w:szCs w:val="24"/>
        </w:rPr>
      </w:pPr>
      <w:r w:rsidRPr="00673322">
        <w:rPr>
          <w:sz w:val="24"/>
          <w:szCs w:val="24"/>
        </w:rPr>
        <w:t>This article provides an excellent case study for questions on legal and ethical dilemmas in governance and social justice.</w:t>
      </w:r>
    </w:p>
    <w:p w14:paraId="04724A51" w14:textId="77777777" w:rsidR="00560073" w:rsidRPr="00673322" w:rsidRDefault="00560073" w:rsidP="00560073">
      <w:pPr>
        <w:numPr>
          <w:ilvl w:val="0"/>
          <w:numId w:val="4"/>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analyze the flaws in the current system and propose specific, digitally-driven reforms.</w:t>
      </w:r>
    </w:p>
    <w:p w14:paraId="2F99C9E9" w14:textId="77777777" w:rsidR="00560073" w:rsidRPr="00673322" w:rsidRDefault="00560073" w:rsidP="00560073">
      <w:pPr>
        <w:numPr>
          <w:ilvl w:val="0"/>
          <w:numId w:val="4"/>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39E3CA3C" w14:textId="77777777" w:rsidR="00560073" w:rsidRPr="00673322" w:rsidRDefault="00560073" w:rsidP="00560073">
      <w:pPr>
        <w:numPr>
          <w:ilvl w:val="1"/>
          <w:numId w:val="4"/>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72D22A6C" w14:textId="77777777" w:rsidR="00560073" w:rsidRPr="00673322" w:rsidRDefault="00560073" w:rsidP="00560073">
      <w:pPr>
        <w:numPr>
          <w:ilvl w:val="1"/>
          <w:numId w:val="4"/>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03B26E25" w14:textId="77777777" w:rsidR="00560073" w:rsidRPr="00673322" w:rsidRDefault="00560073" w:rsidP="00560073">
      <w:pPr>
        <w:numPr>
          <w:ilvl w:val="1"/>
          <w:numId w:val="4"/>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6F382D1F" w14:textId="77777777" w:rsidR="00560073" w:rsidRPr="00673322" w:rsidRDefault="00560073" w:rsidP="00560073">
      <w:pPr>
        <w:numPr>
          <w:ilvl w:val="1"/>
          <w:numId w:val="4"/>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449C664D" w14:textId="77777777" w:rsidR="00560073" w:rsidRPr="00560073" w:rsidRDefault="00560073">
      <w:pPr>
        <w:rPr>
          <w:sz w:val="24"/>
          <w:szCs w:val="24"/>
        </w:rPr>
      </w:pPr>
    </w:p>
    <w:sectPr w:rsidR="00560073" w:rsidRPr="00560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17308"/>
    <w:multiLevelType w:val="multilevel"/>
    <w:tmpl w:val="A7AA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632B3"/>
    <w:multiLevelType w:val="multilevel"/>
    <w:tmpl w:val="7E20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3D2E"/>
    <w:multiLevelType w:val="multilevel"/>
    <w:tmpl w:val="B70E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044AD"/>
    <w:multiLevelType w:val="multilevel"/>
    <w:tmpl w:val="B32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903572">
    <w:abstractNumId w:val="3"/>
  </w:num>
  <w:num w:numId="2" w16cid:durableId="973482381">
    <w:abstractNumId w:val="0"/>
  </w:num>
  <w:num w:numId="3" w16cid:durableId="1406031952">
    <w:abstractNumId w:val="1"/>
  </w:num>
  <w:num w:numId="4" w16cid:durableId="1215462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EA"/>
    <w:rsid w:val="004C18D6"/>
    <w:rsid w:val="00560073"/>
    <w:rsid w:val="008A332E"/>
    <w:rsid w:val="00CD70EA"/>
    <w:rsid w:val="00F636C4"/>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D968"/>
  <w15:chartTrackingRefBased/>
  <w15:docId w15:val="{9E3DB357-7276-44D8-8BBA-C051CF39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0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0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0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0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0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0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0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0EA"/>
    <w:rPr>
      <w:rFonts w:eastAsiaTheme="majorEastAsia" w:cstheme="majorBidi"/>
      <w:color w:val="272727" w:themeColor="text1" w:themeTint="D8"/>
    </w:rPr>
  </w:style>
  <w:style w:type="paragraph" w:styleId="Title">
    <w:name w:val="Title"/>
    <w:basedOn w:val="Normal"/>
    <w:next w:val="Normal"/>
    <w:link w:val="TitleChar"/>
    <w:uiPriority w:val="10"/>
    <w:qFormat/>
    <w:rsid w:val="00CD7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0EA"/>
    <w:pPr>
      <w:spacing w:before="160"/>
      <w:jc w:val="center"/>
    </w:pPr>
    <w:rPr>
      <w:i/>
      <w:iCs/>
      <w:color w:val="404040" w:themeColor="text1" w:themeTint="BF"/>
    </w:rPr>
  </w:style>
  <w:style w:type="character" w:customStyle="1" w:styleId="QuoteChar">
    <w:name w:val="Quote Char"/>
    <w:basedOn w:val="DefaultParagraphFont"/>
    <w:link w:val="Quote"/>
    <w:uiPriority w:val="29"/>
    <w:rsid w:val="00CD70EA"/>
    <w:rPr>
      <w:i/>
      <w:iCs/>
      <w:color w:val="404040" w:themeColor="text1" w:themeTint="BF"/>
    </w:rPr>
  </w:style>
  <w:style w:type="paragraph" w:styleId="ListParagraph">
    <w:name w:val="List Paragraph"/>
    <w:basedOn w:val="Normal"/>
    <w:uiPriority w:val="34"/>
    <w:qFormat/>
    <w:rsid w:val="00CD70EA"/>
    <w:pPr>
      <w:ind w:left="720"/>
      <w:contextualSpacing/>
    </w:pPr>
  </w:style>
  <w:style w:type="character" w:styleId="IntenseEmphasis">
    <w:name w:val="Intense Emphasis"/>
    <w:basedOn w:val="DefaultParagraphFont"/>
    <w:uiPriority w:val="21"/>
    <w:qFormat/>
    <w:rsid w:val="00CD70EA"/>
    <w:rPr>
      <w:i/>
      <w:iCs/>
      <w:color w:val="2F5496" w:themeColor="accent1" w:themeShade="BF"/>
    </w:rPr>
  </w:style>
  <w:style w:type="paragraph" w:styleId="IntenseQuote">
    <w:name w:val="Intense Quote"/>
    <w:basedOn w:val="Normal"/>
    <w:next w:val="Normal"/>
    <w:link w:val="IntenseQuoteChar"/>
    <w:uiPriority w:val="30"/>
    <w:qFormat/>
    <w:rsid w:val="00CD7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0EA"/>
    <w:rPr>
      <w:i/>
      <w:iCs/>
      <w:color w:val="2F5496" w:themeColor="accent1" w:themeShade="BF"/>
    </w:rPr>
  </w:style>
  <w:style w:type="character" w:styleId="IntenseReference">
    <w:name w:val="Intense Reference"/>
    <w:basedOn w:val="DefaultParagraphFont"/>
    <w:uiPriority w:val="32"/>
    <w:qFormat/>
    <w:rsid w:val="00CD70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2</cp:revision>
  <dcterms:created xsi:type="dcterms:W3CDTF">2025-10-07T17:59:00Z</dcterms:created>
  <dcterms:modified xsi:type="dcterms:W3CDTF">2025-10-07T18:00:00Z</dcterms:modified>
</cp:coreProperties>
</file>