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memorandum-of-understanding"/>
    <w:p>
      <w:pPr>
        <w:pStyle w:val="Heading1"/>
      </w:pPr>
      <w:r>
        <w:t xml:space="preserve">MEMORANDUM OF UNDERSTANDING</w:t>
      </w:r>
    </w:p>
    <w:bookmarkStart w:id="10" w:name="X281fd9bff2237fc4b3385fdc05ef23f29938814"/>
    <w:p>
      <w:pPr>
        <w:pStyle w:val="Heading2"/>
      </w:pPr>
      <w:r>
        <w:t xml:space="preserve">BETWEEN THE FOUNDING PARTNERS OF THYNK EDUTECH LLP</w:t>
      </w:r>
    </w:p>
    <w:p>
      <w:pPr>
        <w:pStyle w:val="FirstParagraph"/>
      </w:pPr>
      <w:r>
        <w:t xml:space="preserve">This Memorandum of Understanding (</w:t>
      </w:r>
      <w:r>
        <w:t xml:space="preserve">“MOU”</w:t>
      </w:r>
      <w:r>
        <w:t xml:space="preserve">) is made and executed on this ___ day of __________, 2026, at Mumbai, Maharashtra.</w:t>
      </w:r>
    </w:p>
    <w:bookmarkStart w:id="9" w:name="between"/>
    <w:p>
      <w:pPr>
        <w:pStyle w:val="Heading3"/>
      </w:pPr>
      <w:r>
        <w:t xml:space="preserve">BETWEEN</w:t>
      </w:r>
    </w:p>
    <w:p>
      <w:pPr>
        <w:pStyle w:val="FirstParagraph"/>
      </w:pPr>
      <w:r>
        <w:rPr>
          <w:b/>
          <w:bCs/>
        </w:rPr>
        <w:t xml:space="preserve">MR. PRANAV SHETH</w:t>
      </w:r>
      <w:r>
        <w:t xml:space="preserve">,</w:t>
      </w:r>
      <w:r>
        <w:br/>
      </w:r>
      <w:r>
        <w:t xml:space="preserve">hereinafter referred to as</w:t>
      </w:r>
      <w:r>
        <w:t xml:space="preserve"> </w:t>
      </w:r>
      <w:r>
        <w:rPr>
          <w:b/>
          <w:bCs/>
        </w:rPr>
        <w:t xml:space="preserve">“Partner 1”</w:t>
      </w:r>
      <w:r>
        <w:t xml:space="preserve">;</w:t>
      </w:r>
    </w:p>
    <w:p>
      <w:pPr>
        <w:pStyle w:val="BodyText"/>
      </w:pPr>
      <w:r>
        <w:rPr>
          <w:b/>
          <w:bCs/>
        </w:rPr>
        <w:t xml:space="preserve">AND</w:t>
      </w:r>
    </w:p>
    <w:p>
      <w:pPr>
        <w:pStyle w:val="BodyText"/>
      </w:pPr>
      <w:r>
        <w:rPr>
          <w:b/>
          <w:bCs/>
        </w:rPr>
        <w:t xml:space="preserve">MS. ARADHANA ZAVERI</w:t>
      </w:r>
      <w:r>
        <w:t xml:space="preserve">,</w:t>
      </w:r>
      <w:r>
        <w:br/>
      </w:r>
      <w:r>
        <w:t xml:space="preserve">hereinafter referred to as</w:t>
      </w:r>
      <w:r>
        <w:t xml:space="preserve"> </w:t>
      </w:r>
      <w:r>
        <w:rPr>
          <w:b/>
          <w:bCs/>
        </w:rPr>
        <w:t xml:space="preserve">“Partner 2”</w:t>
      </w:r>
      <w:r>
        <w:t xml:space="preserve">;</w:t>
      </w:r>
    </w:p>
    <w:p>
      <w:pPr>
        <w:pStyle w:val="BodyText"/>
      </w:pPr>
      <w:r>
        <w:t xml:space="preserve">Partner 1 and Partner 2 are collectively referred to as the</w:t>
      </w:r>
      <w:r>
        <w:t xml:space="preserve"> </w:t>
      </w:r>
      <w:r>
        <w:rPr>
          <w:b/>
          <w:bCs/>
        </w:rPr>
        <w:t xml:space="preserve">“Partners”</w:t>
      </w:r>
      <w:r>
        <w:t xml:space="preserve">.</w:t>
      </w:r>
    </w:p>
    <w:p>
      <w:pPr>
        <w:pStyle w:val="BodyText"/>
      </w:pPr>
      <w:r>
        <w:t xml:space="preserve">The Partners have mutually agreed to establish and operate an educational and skill-development business under the legal entity</w:t>
      </w:r>
      <w:r>
        <w:t xml:space="preserve"> </w:t>
      </w:r>
      <w:r>
        <w:rPr>
          <w:b/>
          <w:bCs/>
        </w:rPr>
        <w:t xml:space="preserve">THYNK Edutech LLP</w:t>
      </w:r>
      <w:r>
        <w:t xml:space="preserve"> </w:t>
      </w:r>
      <w:r>
        <w:t xml:space="preserve">(</w:t>
      </w:r>
      <w:r>
        <w:t xml:space="preserve">“the LLP”</w:t>
      </w:r>
      <w:r>
        <w:t xml:space="preserve">), operating primarily under the brand</w:t>
      </w:r>
      <w:r>
        <w:t xml:space="preserve"> </w:t>
      </w:r>
      <w:r>
        <w:rPr>
          <w:b/>
          <w:bCs/>
        </w:rPr>
        <w:t xml:space="preserve">“THYNK – The Hub for Young Next-gen Knowledge.”</w:t>
      </w:r>
    </w:p>
    <w:p>
      <w:pPr>
        <w:pStyle w:val="BodyText"/>
      </w:pPr>
      <w:r>
        <w:t xml:space="preserve">The Partners now wish to record their mutual understanding regarding the ownership, management, responsibilities, financial arrangements, intellectual property, decision-making and other matters relating to the LLP.</w:t>
      </w:r>
    </w:p>
    <w:p>
      <w:r>
        <w:pict>
          <v:rect style="width:0;height:1.5pt" o:hralign="center" o:hrstd="t" o:hr="t"/>
        </w:pict>
      </w:r>
    </w:p>
    <w:bookmarkEnd w:id="9"/>
    <w:bookmarkEnd w:id="10"/>
    <w:bookmarkEnd w:id="11"/>
    <w:bookmarkStart w:id="14" w:name="name-of-the-llp"/>
    <w:p>
      <w:pPr>
        <w:pStyle w:val="Heading1"/>
      </w:pPr>
      <w:r>
        <w:t xml:space="preserve">1. NAME OF THE LLP</w:t>
      </w:r>
    </w:p>
    <w:p>
      <w:pPr>
        <w:pStyle w:val="FirstParagraph"/>
      </w:pPr>
      <w:r>
        <w:t xml:space="preserve">The legal name of the business shall be:</w:t>
      </w:r>
    </w:p>
    <w:bookmarkStart w:id="12" w:name="thynk-edutech-llp"/>
    <w:p>
      <w:pPr>
        <w:pStyle w:val="Heading3"/>
      </w:pPr>
      <w:r>
        <w:rPr>
          <w:b/>
          <w:bCs/>
        </w:rPr>
        <w:t xml:space="preserve">THYNK Edutech LLP</w:t>
      </w:r>
    </w:p>
    <w:p>
      <w:pPr>
        <w:pStyle w:val="FirstParagraph"/>
      </w:pPr>
      <w:r>
        <w:t xml:space="preserve">The LLP may conduct its educational programs, products and services under the brand:</w:t>
      </w:r>
    </w:p>
    <w:bookmarkEnd w:id="12"/>
    <w:bookmarkStart w:id="13" w:name="X7bb21d5abf3a0ee93adc782a5c63dbbd90adc1a"/>
    <w:p>
      <w:pPr>
        <w:pStyle w:val="Heading3"/>
      </w:pPr>
      <w:r>
        <w:rPr>
          <w:b/>
          <w:bCs/>
        </w:rPr>
        <w:t xml:space="preserve">THYNK – The Hub for Young Next-gen Knowledge</w:t>
      </w:r>
    </w:p>
    <w:p>
      <w:pPr>
        <w:pStyle w:val="FirstParagraph"/>
      </w:pPr>
      <w:r>
        <w:t xml:space="preserve">Any additional brand names, products, programs or sub-brands may be introduced with the mutual consent of both Partners.</w:t>
      </w:r>
    </w:p>
    <w:p>
      <w:r>
        <w:pict>
          <v:rect style="width:0;height:1.5pt" o:hralign="center" o:hrstd="t" o:hr="t"/>
        </w:pict>
      </w:r>
    </w:p>
    <w:bookmarkEnd w:id="13"/>
    <w:bookmarkEnd w:id="14"/>
    <w:bookmarkStart w:id="15" w:name="purpose-and-objectives"/>
    <w:p>
      <w:pPr>
        <w:pStyle w:val="Heading1"/>
      </w:pPr>
      <w:r>
        <w:t xml:space="preserve">2. PURPOSE AND OBJECTIVES</w:t>
      </w:r>
    </w:p>
    <w:p>
      <w:pPr>
        <w:pStyle w:val="FirstParagraph"/>
      </w:pPr>
      <w:r>
        <w:t xml:space="preserve">The principal objective of THYNK Edutech LLP is to provide education, training, skill development and learning solutions for children, students, schools, institutions and other relevant stakeholders.</w:t>
      </w:r>
    </w:p>
    <w:p>
      <w:pPr>
        <w:pStyle w:val="BodyText"/>
      </w:pPr>
      <w:r>
        <w:t xml:space="preserve">The activities of the LLP may include, but shall not be limited to:</w:t>
      </w:r>
    </w:p>
    <w:p>
      <w:pPr>
        <w:pStyle w:val="Compact"/>
        <w:numPr>
          <w:ilvl w:val="0"/>
          <w:numId w:val="1001"/>
        </w:numPr>
      </w:pPr>
      <w:r>
        <w:t xml:space="preserve">Coding and programming education.</w:t>
      </w:r>
    </w:p>
    <w:p>
      <w:pPr>
        <w:pStyle w:val="Compact"/>
        <w:numPr>
          <w:ilvl w:val="0"/>
          <w:numId w:val="1001"/>
        </w:numPr>
      </w:pPr>
      <w:r>
        <w:t xml:space="preserve">Scratch programming, game development and computational thinking.</w:t>
      </w:r>
    </w:p>
    <w:p>
      <w:pPr>
        <w:pStyle w:val="Compact"/>
        <w:numPr>
          <w:ilvl w:val="0"/>
          <w:numId w:val="1001"/>
        </w:numPr>
      </w:pPr>
      <w:r>
        <w:t xml:space="preserve">Vedic Maths and mental mathematics.</w:t>
      </w:r>
    </w:p>
    <w:p>
      <w:pPr>
        <w:pStyle w:val="Compact"/>
        <w:numPr>
          <w:ilvl w:val="0"/>
          <w:numId w:val="1001"/>
        </w:numPr>
      </w:pPr>
      <w:r>
        <w:t xml:space="preserve">Cognitive development and logical reasoning.</w:t>
      </w:r>
    </w:p>
    <w:p>
      <w:pPr>
        <w:pStyle w:val="Compact"/>
        <w:numPr>
          <w:ilvl w:val="0"/>
          <w:numId w:val="1001"/>
        </w:numPr>
      </w:pPr>
      <w:r>
        <w:t xml:space="preserve">STEM and technology education.</w:t>
      </w:r>
    </w:p>
    <w:p>
      <w:pPr>
        <w:pStyle w:val="Compact"/>
        <w:numPr>
          <w:ilvl w:val="0"/>
          <w:numId w:val="1001"/>
        </w:numPr>
      </w:pPr>
      <w:r>
        <w:t xml:space="preserve">Artificial Intelligence and emerging technology education.</w:t>
      </w:r>
    </w:p>
    <w:p>
      <w:pPr>
        <w:pStyle w:val="Compact"/>
        <w:numPr>
          <w:ilvl w:val="0"/>
          <w:numId w:val="1001"/>
        </w:numPr>
      </w:pPr>
      <w:r>
        <w:t xml:space="preserve">Educational workshops, camps and training programs.</w:t>
      </w:r>
    </w:p>
    <w:p>
      <w:pPr>
        <w:pStyle w:val="Compact"/>
        <w:numPr>
          <w:ilvl w:val="0"/>
          <w:numId w:val="1001"/>
        </w:numPr>
      </w:pPr>
      <w:r>
        <w:t xml:space="preserve">Development and delivery of academic and skill-development courses.</w:t>
      </w:r>
    </w:p>
    <w:p>
      <w:pPr>
        <w:pStyle w:val="Compact"/>
        <w:numPr>
          <w:ilvl w:val="0"/>
          <w:numId w:val="1001"/>
        </w:numPr>
      </w:pPr>
      <w:r>
        <w:t xml:space="preserve">Development of curriculum and educational methodologies.</w:t>
      </w:r>
    </w:p>
    <w:p>
      <w:pPr>
        <w:pStyle w:val="Compact"/>
        <w:numPr>
          <w:ilvl w:val="0"/>
          <w:numId w:val="1001"/>
        </w:numPr>
      </w:pPr>
      <w:r>
        <w:t xml:space="preserve">Development, publication and distribution of workbooks, books and study materials.</w:t>
      </w:r>
    </w:p>
    <w:p>
      <w:pPr>
        <w:pStyle w:val="Compact"/>
        <w:numPr>
          <w:ilvl w:val="0"/>
          <w:numId w:val="1001"/>
        </w:numPr>
      </w:pPr>
      <w:r>
        <w:t xml:space="preserve">Development of digital educational content.</w:t>
      </w:r>
    </w:p>
    <w:p>
      <w:pPr>
        <w:pStyle w:val="Compact"/>
        <w:numPr>
          <w:ilvl w:val="0"/>
          <w:numId w:val="1001"/>
        </w:numPr>
      </w:pPr>
      <w:r>
        <w:t xml:space="preserve">Online and offline education and training.</w:t>
      </w:r>
    </w:p>
    <w:p>
      <w:pPr>
        <w:pStyle w:val="Compact"/>
        <w:numPr>
          <w:ilvl w:val="0"/>
          <w:numId w:val="1001"/>
        </w:numPr>
      </w:pPr>
      <w:r>
        <w:t xml:space="preserve">Partnerships and programs with schools and educational institutions.</w:t>
      </w:r>
    </w:p>
    <w:p>
      <w:pPr>
        <w:pStyle w:val="Compact"/>
        <w:numPr>
          <w:ilvl w:val="0"/>
          <w:numId w:val="1001"/>
        </w:numPr>
      </w:pPr>
      <w:r>
        <w:t xml:space="preserve">Parent and student engagement programs.</w:t>
      </w:r>
    </w:p>
    <w:p>
      <w:pPr>
        <w:pStyle w:val="Compact"/>
        <w:numPr>
          <w:ilvl w:val="0"/>
          <w:numId w:val="1001"/>
        </w:numPr>
      </w:pPr>
      <w:r>
        <w:t xml:space="preserve">Development of educational software, applications and digital learning platforms.</w:t>
      </w:r>
    </w:p>
    <w:p>
      <w:pPr>
        <w:pStyle w:val="Compact"/>
        <w:numPr>
          <w:ilvl w:val="0"/>
          <w:numId w:val="1001"/>
        </w:numPr>
      </w:pPr>
      <w:r>
        <w:t xml:space="preserve">Any other educational, training, technology or skill-development activity mutually agreed upon by the Partners and permitted under applicable law.</w:t>
      </w:r>
    </w:p>
    <w:p>
      <w:r>
        <w:pict>
          <v:rect style="width:0;height:1.5pt" o:hralign="center" o:hrstd="t" o:hr="t"/>
        </w:pict>
      </w:r>
    </w:p>
    <w:bookmarkEnd w:id="15"/>
    <w:bookmarkStart w:id="18" w:name="founding-partners"/>
    <w:p>
      <w:pPr>
        <w:pStyle w:val="Heading1"/>
      </w:pPr>
      <w:r>
        <w:t xml:space="preserve">3. FOUNDING PARTNERS</w:t>
      </w:r>
    </w:p>
    <w:p>
      <w:pPr>
        <w:pStyle w:val="FirstParagraph"/>
      </w:pPr>
      <w:r>
        <w:t xml:space="preserve">The founding Partners of the LLP shall be:</w:t>
      </w:r>
    </w:p>
    <w:bookmarkStart w:id="16" w:name="partner-1"/>
    <w:p>
      <w:pPr>
        <w:pStyle w:val="Heading3"/>
      </w:pPr>
      <w:r>
        <w:t xml:space="preserve">Partner 1</w:t>
      </w:r>
    </w:p>
    <w:p>
      <w:pPr>
        <w:pStyle w:val="FirstParagraph"/>
      </w:pPr>
      <w:r>
        <w:rPr>
          <w:b/>
          <w:bCs/>
        </w:rPr>
        <w:t xml:space="preserve">Name:</w:t>
      </w:r>
      <w:r>
        <w:t xml:space="preserve"> </w:t>
      </w:r>
      <w:r>
        <w:t xml:space="preserve">Pranav Sheth</w:t>
      </w:r>
    </w:p>
    <w:bookmarkEnd w:id="16"/>
    <w:bookmarkStart w:id="17" w:name="partner-2"/>
    <w:p>
      <w:pPr>
        <w:pStyle w:val="Heading3"/>
      </w:pPr>
      <w:r>
        <w:t xml:space="preserve">Partner 2</w:t>
      </w:r>
    </w:p>
    <w:p>
      <w:pPr>
        <w:pStyle w:val="FirstParagraph"/>
      </w:pPr>
      <w:r>
        <w:rPr>
          <w:b/>
          <w:bCs/>
        </w:rPr>
        <w:t xml:space="preserve">Name:</w:t>
      </w:r>
      <w:r>
        <w:t xml:space="preserve"> </w:t>
      </w:r>
      <w:r>
        <w:t xml:space="preserve">Aradhana Zaveri</w:t>
      </w:r>
    </w:p>
    <w:p>
      <w:pPr>
        <w:pStyle w:val="BodyText"/>
      </w:pPr>
      <w:r>
        <w:t xml:space="preserve">Both Partners shall have equal ownership and equal participation in the business, subject to the terms of the formal LLP Agreement.</w:t>
      </w:r>
    </w:p>
    <w:p>
      <w:r>
        <w:pict>
          <v:rect style="width:0;height:1.5pt" o:hralign="center" o:hrstd="t" o:hr="t"/>
        </w:pict>
      </w:r>
    </w:p>
    <w:bookmarkEnd w:id="17"/>
    <w:bookmarkEnd w:id="18"/>
    <w:bookmarkStart w:id="19" w:name="ownership-and-profit-sharing"/>
    <w:p>
      <w:pPr>
        <w:pStyle w:val="Heading1"/>
      </w:pPr>
      <w:r>
        <w:t xml:space="preserve">4. OWNERSHIP AND PROFIT-SHARING</w:t>
      </w:r>
    </w:p>
    <w:p>
      <w:pPr>
        <w:pStyle w:val="FirstParagraph"/>
      </w:pPr>
      <w:r>
        <w:t xml:space="preserve">The Partners agree to the following ownership and profit-sharing arrangement: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Partner</w:t>
            </w:r>
          </w:p>
        </w:tc>
        <w:tc>
          <w:tcPr/>
          <w:p>
            <w:pPr>
              <w:pStyle w:val="Compact"/>
              <w:jc w:val="right"/>
            </w:pPr>
            <w:r>
              <w:t xml:space="preserve">Ownership</w:t>
            </w:r>
          </w:p>
        </w:tc>
        <w:tc>
          <w:tcPr/>
          <w:p>
            <w:pPr>
              <w:pStyle w:val="Compact"/>
              <w:jc w:val="right"/>
            </w:pPr>
            <w:r>
              <w:t xml:space="preserve">Profit Share</w:t>
            </w:r>
          </w:p>
        </w:tc>
        <w:tc>
          <w:tcPr/>
          <w:p>
            <w:pPr>
              <w:pStyle w:val="Compact"/>
              <w:jc w:val="right"/>
            </w:pPr>
            <w:r>
              <w:t xml:space="preserve">Loss Share</w:t>
            </w:r>
          </w:p>
        </w:tc>
      </w:tr>
      <w:tr>
        <w:tc>
          <w:tcPr/>
          <w:p>
            <w:pPr>
              <w:pStyle w:val="Compact"/>
            </w:pPr>
            <w:r>
              <w:rPr>
                <w:b/>
                <w:bCs/>
              </w:rPr>
              <w:t xml:space="preserve">Pranav Sheth</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50%</w:t>
            </w:r>
          </w:p>
        </w:tc>
      </w:tr>
      <w:tr>
        <w:tc>
          <w:tcPr/>
          <w:p>
            <w:pPr>
              <w:pStyle w:val="Compact"/>
            </w:pPr>
            <w:r>
              <w:rPr>
                <w:b/>
                <w:bCs/>
              </w:rPr>
              <w:t xml:space="preserve">Aradhana Zaveri</w:t>
            </w:r>
          </w:p>
        </w:tc>
        <w:tc>
          <w:tcPr/>
          <w:p>
            <w:pPr>
              <w:pStyle w:val="Compact"/>
              <w:jc w:val="right"/>
            </w:pPr>
            <w:r>
              <w:t xml:space="preserve">50%</w:t>
            </w:r>
          </w:p>
        </w:tc>
        <w:tc>
          <w:tcPr/>
          <w:p>
            <w:pPr>
              <w:pStyle w:val="Compact"/>
              <w:jc w:val="right"/>
            </w:pPr>
            <w:r>
              <w:t xml:space="preserve">50%</w:t>
            </w:r>
          </w:p>
        </w:tc>
        <w:tc>
          <w:tcPr/>
          <w:p>
            <w:pPr>
              <w:pStyle w:val="Compact"/>
              <w:jc w:val="right"/>
            </w:pPr>
            <w:r>
              <w:t xml:space="preserve">50%</w:t>
            </w:r>
          </w:p>
        </w:tc>
      </w:tr>
    </w:tbl>
    <w:p>
      <w:pPr>
        <w:pStyle w:val="BodyText"/>
      </w:pPr>
      <w:r>
        <w:t xml:space="preserve">Neither Partner’s ownership or profit-sharing percentage shall be changed without the written consent of both Partners.</w:t>
      </w:r>
    </w:p>
    <w:p>
      <w:r>
        <w:pict>
          <v:rect style="width:0;height:1.5pt" o:hralign="center" o:hrstd="t" o:hr="t"/>
        </w:pict>
      </w:r>
    </w:p>
    <w:bookmarkEnd w:id="19"/>
    <w:bookmarkStart w:id="20" w:name="capital-contribution"/>
    <w:p>
      <w:pPr>
        <w:pStyle w:val="Heading1"/>
      </w:pPr>
      <w:r>
        <w:t xml:space="preserve">5. CAPITAL CONTRIBUTION</w:t>
      </w:r>
    </w:p>
    <w:p>
      <w:pPr>
        <w:pStyle w:val="FirstParagraph"/>
      </w:pPr>
      <w:r>
        <w:t xml:space="preserve">The initial capital contribution of each Partner shall be mutually agreed and recorded in the LLP’s records and formal LLP Agreement.</w:t>
      </w:r>
    </w:p>
    <w:p>
      <w:pPr>
        <w:pStyle w:val="BodyText"/>
      </w:pPr>
      <w:r>
        <w:t xml:space="preserve">Unless otherwise mutually agreed in writing:</w:t>
      </w:r>
    </w:p>
    <w:p>
      <w:pPr>
        <w:pStyle w:val="Compact"/>
        <w:numPr>
          <w:ilvl w:val="0"/>
          <w:numId w:val="1002"/>
        </w:numPr>
      </w:pPr>
      <w:r>
        <w:t xml:space="preserve">Both Partners shall contribute equally towards the initial capital requirement.</w:t>
      </w:r>
    </w:p>
    <w:p>
      <w:pPr>
        <w:pStyle w:val="Compact"/>
        <w:numPr>
          <w:ilvl w:val="0"/>
          <w:numId w:val="1002"/>
        </w:numPr>
      </w:pPr>
      <w:r>
        <w:t xml:space="preserve">Any additional capital required for the business shall be contributed equally.</w:t>
      </w:r>
    </w:p>
    <w:p>
      <w:pPr>
        <w:pStyle w:val="Compact"/>
        <w:numPr>
          <w:ilvl w:val="0"/>
          <w:numId w:val="1002"/>
        </w:numPr>
      </w:pPr>
      <w:r>
        <w:t xml:space="preserve">No Partner shall be compelled to make an additional capital contribution without their consent.</w:t>
      </w:r>
    </w:p>
    <w:p>
      <w:pPr>
        <w:pStyle w:val="Compact"/>
        <w:numPr>
          <w:ilvl w:val="0"/>
          <w:numId w:val="1002"/>
        </w:numPr>
      </w:pPr>
      <w:r>
        <w:t xml:space="preserve">Any amount introduced by a Partner beyond the agreed capital contribution shall be properly recorded as capital, loan, advance or otherwise as mutually agreed and permitted under applicable law.</w:t>
      </w:r>
    </w:p>
    <w:p>
      <w:r>
        <w:pict>
          <v:rect style="width:0;height:1.5pt" o:hralign="center" o:hrstd="t" o:hr="t"/>
        </w:pict>
      </w:r>
    </w:p>
    <w:bookmarkEnd w:id="20"/>
    <w:bookmarkStart w:id="27" w:name="roles-and-responsibilities"/>
    <w:p>
      <w:pPr>
        <w:pStyle w:val="Heading1"/>
      </w:pPr>
      <w:r>
        <w:t xml:space="preserve">6. ROLES AND RESPONSIBILITIES</w:t>
      </w:r>
    </w:p>
    <w:p>
      <w:pPr>
        <w:pStyle w:val="FirstParagraph"/>
      </w:pPr>
      <w:r>
        <w:t xml:space="preserve">The Partners agree that, at the initial stage of the business, both Partners shall have</w:t>
      </w:r>
      <w:r>
        <w:t xml:space="preserve"> </w:t>
      </w:r>
      <w:r>
        <w:rPr>
          <w:b/>
          <w:bCs/>
        </w:rPr>
        <w:t xml:space="preserve">equal and substantially similar roles and responsibilities</w:t>
      </w:r>
      <w:r>
        <w:t xml:space="preserve">.</w:t>
      </w:r>
    </w:p>
    <w:p>
      <w:pPr>
        <w:pStyle w:val="BodyText"/>
      </w:pPr>
      <w:r>
        <w:t xml:space="preserve">Both Partners shall actively participate in the following areas:</w:t>
      </w:r>
    </w:p>
    <w:bookmarkStart w:id="21" w:name="business-development"/>
    <w:p>
      <w:pPr>
        <w:pStyle w:val="Heading3"/>
      </w:pPr>
      <w:r>
        <w:t xml:space="preserve">6.1 Business Development</w:t>
      </w:r>
    </w:p>
    <w:p>
      <w:pPr>
        <w:pStyle w:val="FirstParagraph"/>
      </w:pPr>
      <w:r>
        <w:t xml:space="preserve">Both Partners shall participate in:</w:t>
      </w:r>
    </w:p>
    <w:p>
      <w:pPr>
        <w:pStyle w:val="Compact"/>
        <w:numPr>
          <w:ilvl w:val="0"/>
          <w:numId w:val="1003"/>
        </w:numPr>
      </w:pPr>
      <w:r>
        <w:t xml:space="preserve">Identifying new business opportunities.</w:t>
      </w:r>
    </w:p>
    <w:p>
      <w:pPr>
        <w:pStyle w:val="Compact"/>
        <w:numPr>
          <w:ilvl w:val="0"/>
          <w:numId w:val="1003"/>
        </w:numPr>
      </w:pPr>
      <w:r>
        <w:t xml:space="preserve">Developing relationships with schools and institutions.</w:t>
      </w:r>
    </w:p>
    <w:p>
      <w:pPr>
        <w:pStyle w:val="Compact"/>
        <w:numPr>
          <w:ilvl w:val="0"/>
          <w:numId w:val="1003"/>
        </w:numPr>
      </w:pPr>
      <w:r>
        <w:t xml:space="preserve">Exploring new markets and geographic opportunities.</w:t>
      </w:r>
    </w:p>
    <w:p>
      <w:pPr>
        <w:pStyle w:val="Compact"/>
        <w:numPr>
          <w:ilvl w:val="0"/>
          <w:numId w:val="1003"/>
        </w:numPr>
      </w:pPr>
      <w:r>
        <w:t xml:space="preserve">Developing strategic partnerships and collaborations.</w:t>
      </w:r>
    </w:p>
    <w:p>
      <w:pPr>
        <w:pStyle w:val="Compact"/>
        <w:numPr>
          <w:ilvl w:val="0"/>
          <w:numId w:val="1003"/>
        </w:numPr>
      </w:pPr>
      <w:r>
        <w:t xml:space="preserve">Expanding THYNK’s customer and institutional base.</w:t>
      </w:r>
    </w:p>
    <w:bookmarkEnd w:id="21"/>
    <w:bookmarkStart w:id="22" w:name="school-and-institutional-relationships"/>
    <w:p>
      <w:pPr>
        <w:pStyle w:val="Heading3"/>
      </w:pPr>
      <w:r>
        <w:t xml:space="preserve">6.2 School and Institutional Relationships</w:t>
      </w:r>
    </w:p>
    <w:p>
      <w:pPr>
        <w:pStyle w:val="FirstParagraph"/>
      </w:pPr>
      <w:r>
        <w:t xml:space="preserve">Both Partners shall participate in:</w:t>
      </w:r>
    </w:p>
    <w:p>
      <w:pPr>
        <w:pStyle w:val="Compact"/>
        <w:numPr>
          <w:ilvl w:val="0"/>
          <w:numId w:val="1004"/>
        </w:numPr>
      </w:pPr>
      <w:r>
        <w:t xml:space="preserve">Building and maintaining relationships with schools.</w:t>
      </w:r>
    </w:p>
    <w:p>
      <w:pPr>
        <w:pStyle w:val="Compact"/>
        <w:numPr>
          <w:ilvl w:val="0"/>
          <w:numId w:val="1004"/>
        </w:numPr>
      </w:pPr>
      <w:r>
        <w:t xml:space="preserve">Conducting school and institutional meetings.</w:t>
      </w:r>
    </w:p>
    <w:p>
      <w:pPr>
        <w:pStyle w:val="Compact"/>
        <w:numPr>
          <w:ilvl w:val="0"/>
          <w:numId w:val="1004"/>
        </w:numPr>
      </w:pPr>
      <w:r>
        <w:t xml:space="preserve">Presenting THYNK programs to schools and institutions.</w:t>
      </w:r>
    </w:p>
    <w:p>
      <w:pPr>
        <w:pStyle w:val="Compact"/>
        <w:numPr>
          <w:ilvl w:val="0"/>
          <w:numId w:val="1004"/>
        </w:numPr>
      </w:pPr>
      <w:r>
        <w:t xml:space="preserve">Negotiating and managing institutional relationships.</w:t>
      </w:r>
    </w:p>
    <w:p>
      <w:pPr>
        <w:pStyle w:val="Compact"/>
        <w:numPr>
          <w:ilvl w:val="0"/>
          <w:numId w:val="1004"/>
        </w:numPr>
      </w:pPr>
      <w:r>
        <w:t xml:space="preserve">Developing long-term school partnerships.</w:t>
      </w:r>
    </w:p>
    <w:bookmarkEnd w:id="22"/>
    <w:bookmarkStart w:id="23" w:name="strategic-decisions"/>
    <w:p>
      <w:pPr>
        <w:pStyle w:val="Heading3"/>
      </w:pPr>
      <w:r>
        <w:t xml:space="preserve">6.3 Strategic Decisions</w:t>
      </w:r>
    </w:p>
    <w:p>
      <w:pPr>
        <w:pStyle w:val="FirstParagraph"/>
      </w:pPr>
      <w:r>
        <w:t xml:space="preserve">Both Partners shall:</w:t>
      </w:r>
    </w:p>
    <w:p>
      <w:pPr>
        <w:pStyle w:val="Compact"/>
        <w:numPr>
          <w:ilvl w:val="0"/>
          <w:numId w:val="1005"/>
        </w:numPr>
      </w:pPr>
      <w:r>
        <w:t xml:space="preserve">Participate equally in strategic planning.</w:t>
      </w:r>
    </w:p>
    <w:p>
      <w:pPr>
        <w:pStyle w:val="Compact"/>
        <w:numPr>
          <w:ilvl w:val="0"/>
          <w:numId w:val="1005"/>
        </w:numPr>
      </w:pPr>
      <w:r>
        <w:t xml:space="preserve">Develop the long-term vision and growth strategy of THYNK.</w:t>
      </w:r>
    </w:p>
    <w:p>
      <w:pPr>
        <w:pStyle w:val="Compact"/>
        <w:numPr>
          <w:ilvl w:val="0"/>
          <w:numId w:val="1005"/>
        </w:numPr>
      </w:pPr>
      <w:r>
        <w:t xml:space="preserve">Evaluate new programs, markets and opportunities.</w:t>
      </w:r>
    </w:p>
    <w:p>
      <w:pPr>
        <w:pStyle w:val="Compact"/>
        <w:numPr>
          <w:ilvl w:val="0"/>
          <w:numId w:val="1005"/>
        </w:numPr>
      </w:pPr>
      <w:r>
        <w:t xml:space="preserve">Make major business decisions jointly.</w:t>
      </w:r>
    </w:p>
    <w:bookmarkEnd w:id="23"/>
    <w:bookmarkStart w:id="24" w:name="curriculum-and-program-development"/>
    <w:p>
      <w:pPr>
        <w:pStyle w:val="Heading3"/>
      </w:pPr>
      <w:r>
        <w:t xml:space="preserve">6.4 Curriculum and Program Development</w:t>
      </w:r>
    </w:p>
    <w:p>
      <w:pPr>
        <w:pStyle w:val="FirstParagraph"/>
      </w:pPr>
      <w:r>
        <w:t xml:space="preserve">Both Partners shall participate in:</w:t>
      </w:r>
    </w:p>
    <w:p>
      <w:pPr>
        <w:pStyle w:val="Compact"/>
        <w:numPr>
          <w:ilvl w:val="0"/>
          <w:numId w:val="1006"/>
        </w:numPr>
      </w:pPr>
      <w:r>
        <w:t xml:space="preserve">Developing THYNK curriculum.</w:t>
      </w:r>
    </w:p>
    <w:p>
      <w:pPr>
        <w:pStyle w:val="Compact"/>
        <w:numPr>
          <w:ilvl w:val="0"/>
          <w:numId w:val="1006"/>
        </w:numPr>
      </w:pPr>
      <w:r>
        <w:t xml:space="preserve">Designing and improving educational programs.</w:t>
      </w:r>
    </w:p>
    <w:p>
      <w:pPr>
        <w:pStyle w:val="Compact"/>
        <w:numPr>
          <w:ilvl w:val="0"/>
          <w:numId w:val="1006"/>
        </w:numPr>
      </w:pPr>
      <w:r>
        <w:t xml:space="preserve">Developing course structures and learning methodologies.</w:t>
      </w:r>
    </w:p>
    <w:p>
      <w:pPr>
        <w:pStyle w:val="Compact"/>
        <w:numPr>
          <w:ilvl w:val="0"/>
          <w:numId w:val="1006"/>
        </w:numPr>
      </w:pPr>
      <w:r>
        <w:t xml:space="preserve">Reviewing educational content.</w:t>
      </w:r>
    </w:p>
    <w:p>
      <w:pPr>
        <w:pStyle w:val="Compact"/>
        <w:numPr>
          <w:ilvl w:val="0"/>
          <w:numId w:val="1006"/>
        </w:numPr>
      </w:pPr>
      <w:r>
        <w:t xml:space="preserve">Ensuring that programs remain age-appropriate and engaging.</w:t>
      </w:r>
    </w:p>
    <w:p>
      <w:pPr>
        <w:pStyle w:val="Compact"/>
        <w:numPr>
          <w:ilvl w:val="0"/>
          <w:numId w:val="1006"/>
        </w:numPr>
      </w:pPr>
      <w:r>
        <w:t xml:space="preserve">Developing new programs based on student, parent and market requirements.</w:t>
      </w:r>
    </w:p>
    <w:bookmarkEnd w:id="24"/>
    <w:bookmarkStart w:id="25" w:name="operations-and-academic-activities"/>
    <w:p>
      <w:pPr>
        <w:pStyle w:val="Heading3"/>
      </w:pPr>
      <w:r>
        <w:t xml:space="preserve">6.5 Operations and Academic Activities</w:t>
      </w:r>
    </w:p>
    <w:p>
      <w:pPr>
        <w:pStyle w:val="FirstParagraph"/>
      </w:pPr>
      <w:r>
        <w:t xml:space="preserve">Both Partners shall participate in:</w:t>
      </w:r>
    </w:p>
    <w:p>
      <w:pPr>
        <w:pStyle w:val="Compact"/>
        <w:numPr>
          <w:ilvl w:val="0"/>
          <w:numId w:val="1007"/>
        </w:numPr>
      </w:pPr>
      <w:r>
        <w:t xml:space="preserve">Day-to-day business operations.</w:t>
      </w:r>
    </w:p>
    <w:p>
      <w:pPr>
        <w:pStyle w:val="Compact"/>
        <w:numPr>
          <w:ilvl w:val="0"/>
          <w:numId w:val="1007"/>
        </w:numPr>
      </w:pPr>
      <w:r>
        <w:t xml:space="preserve">Program implementation.</w:t>
      </w:r>
    </w:p>
    <w:p>
      <w:pPr>
        <w:pStyle w:val="Compact"/>
        <w:numPr>
          <w:ilvl w:val="0"/>
          <w:numId w:val="1007"/>
        </w:numPr>
      </w:pPr>
      <w:r>
        <w:t xml:space="preserve">Academic coordination.</w:t>
      </w:r>
    </w:p>
    <w:p>
      <w:pPr>
        <w:pStyle w:val="Compact"/>
        <w:numPr>
          <w:ilvl w:val="0"/>
          <w:numId w:val="1007"/>
        </w:numPr>
      </w:pPr>
      <w:r>
        <w:t xml:space="preserve">Coordination with teachers, mentors and trainers.</w:t>
      </w:r>
    </w:p>
    <w:p>
      <w:pPr>
        <w:pStyle w:val="Compact"/>
        <w:numPr>
          <w:ilvl w:val="0"/>
          <w:numId w:val="1007"/>
        </w:numPr>
      </w:pPr>
      <w:r>
        <w:t xml:space="preserve">Quality control of educational programs.</w:t>
      </w:r>
    </w:p>
    <w:p>
      <w:pPr>
        <w:pStyle w:val="Compact"/>
        <w:numPr>
          <w:ilvl w:val="0"/>
          <w:numId w:val="1007"/>
        </w:numPr>
      </w:pPr>
      <w:r>
        <w:t xml:space="preserve">Operational planning and execution.</w:t>
      </w:r>
    </w:p>
    <w:bookmarkEnd w:id="25"/>
    <w:bookmarkStart w:id="26" w:name="student-and-parent-engagement"/>
    <w:p>
      <w:pPr>
        <w:pStyle w:val="Heading3"/>
      </w:pPr>
      <w:r>
        <w:t xml:space="preserve">6.6 Student and Parent Engagement</w:t>
      </w:r>
    </w:p>
    <w:p>
      <w:pPr>
        <w:pStyle w:val="FirstParagraph"/>
      </w:pPr>
      <w:r>
        <w:t xml:space="preserve">Both Partners shall participate in:</w:t>
      </w:r>
    </w:p>
    <w:p>
      <w:pPr>
        <w:pStyle w:val="Compact"/>
        <w:numPr>
          <w:ilvl w:val="0"/>
          <w:numId w:val="1008"/>
        </w:numPr>
      </w:pPr>
      <w:r>
        <w:t xml:space="preserve">Student interaction and engagement.</w:t>
      </w:r>
    </w:p>
    <w:p>
      <w:pPr>
        <w:pStyle w:val="Compact"/>
        <w:numPr>
          <w:ilvl w:val="0"/>
          <w:numId w:val="1008"/>
        </w:numPr>
      </w:pPr>
      <w:r>
        <w:t xml:space="preserve">Parent communication.</w:t>
      </w:r>
    </w:p>
    <w:p>
      <w:pPr>
        <w:pStyle w:val="Compact"/>
        <w:numPr>
          <w:ilvl w:val="0"/>
          <w:numId w:val="1008"/>
        </w:numPr>
      </w:pPr>
      <w:r>
        <w:t xml:space="preserve">Parent feedback and support.</w:t>
      </w:r>
    </w:p>
    <w:p>
      <w:pPr>
        <w:pStyle w:val="Compact"/>
        <w:numPr>
          <w:ilvl w:val="0"/>
          <w:numId w:val="1008"/>
        </w:numPr>
      </w:pPr>
      <w:r>
        <w:t xml:space="preserve">Student feedback and learning assessments.</w:t>
      </w:r>
    </w:p>
    <w:p>
      <w:pPr>
        <w:pStyle w:val="Compact"/>
        <w:numPr>
          <w:ilvl w:val="0"/>
          <w:numId w:val="1008"/>
        </w:numPr>
      </w:pPr>
      <w:r>
        <w:t xml:space="preserve">Improving the overall student and parent experience.</w:t>
      </w:r>
    </w:p>
    <w:p>
      <w:pPr>
        <w:pStyle w:val="FirstParagraph"/>
      </w:pPr>
      <w:r>
        <w:t xml:space="preserve">The Partners may subsequently divide specific operational responsibilities between themselves by mutual written or recorded agreement without changing their equal ownership.</w:t>
      </w:r>
    </w:p>
    <w:p>
      <w:r>
        <w:pict>
          <v:rect style="width:0;height:1.5pt" o:hralign="center" o:hrstd="t" o:hr="t"/>
        </w:pict>
      </w:r>
    </w:p>
    <w:bookmarkEnd w:id="26"/>
    <w:bookmarkEnd w:id="27"/>
    <w:bookmarkStart w:id="28" w:name="equal-status-of-partners"/>
    <w:p>
      <w:pPr>
        <w:pStyle w:val="Heading1"/>
      </w:pPr>
      <w:r>
        <w:t xml:space="preserve">7. EQUAL STATUS OF PARTNERS</w:t>
      </w:r>
    </w:p>
    <w:p>
      <w:pPr>
        <w:pStyle w:val="FirstParagraph"/>
      </w:pPr>
      <w:r>
        <w:t xml:space="preserve">Both Partners acknowledge that THYNK Edutech LLP is being established as an equal partnership between the two founding Partners.</w:t>
      </w:r>
    </w:p>
    <w:p>
      <w:pPr>
        <w:pStyle w:val="BodyText"/>
      </w:pPr>
      <w:r>
        <w:t xml:space="preserve">Neither Partner shall have superior ownership rights solely because of:</w:t>
      </w:r>
    </w:p>
    <w:p>
      <w:pPr>
        <w:pStyle w:val="Compact"/>
        <w:numPr>
          <w:ilvl w:val="0"/>
          <w:numId w:val="1009"/>
        </w:numPr>
      </w:pPr>
      <w:r>
        <w:t xml:space="preserve">Their designation;</w:t>
      </w:r>
    </w:p>
    <w:p>
      <w:pPr>
        <w:pStyle w:val="Compact"/>
        <w:numPr>
          <w:ilvl w:val="0"/>
          <w:numId w:val="1009"/>
        </w:numPr>
      </w:pPr>
      <w:r>
        <w:t xml:space="preserve">Their area of responsibility;</w:t>
      </w:r>
    </w:p>
    <w:p>
      <w:pPr>
        <w:pStyle w:val="Compact"/>
        <w:numPr>
          <w:ilvl w:val="0"/>
          <w:numId w:val="1009"/>
        </w:numPr>
      </w:pPr>
      <w:r>
        <w:t xml:space="preserve">Their individual contribution of time;</w:t>
      </w:r>
    </w:p>
    <w:p>
      <w:pPr>
        <w:pStyle w:val="Compact"/>
        <w:numPr>
          <w:ilvl w:val="0"/>
          <w:numId w:val="1009"/>
        </w:numPr>
      </w:pPr>
      <w:r>
        <w:t xml:space="preserve">Their individual business relationships; or</w:t>
      </w:r>
    </w:p>
    <w:p>
      <w:pPr>
        <w:pStyle w:val="Compact"/>
        <w:numPr>
          <w:ilvl w:val="0"/>
          <w:numId w:val="1009"/>
        </w:numPr>
      </w:pPr>
      <w:r>
        <w:t xml:space="preserve">Their involvement in a particular activity.</w:t>
      </w:r>
    </w:p>
    <w:p>
      <w:pPr>
        <w:pStyle w:val="FirstParagraph"/>
      </w:pPr>
      <w:r>
        <w:t xml:space="preserve">Both Partners shall have equal rights in relation to major decisions affecting the LLP.</w:t>
      </w:r>
    </w:p>
    <w:p>
      <w:r>
        <w:pict>
          <v:rect style="width:0;height:1.5pt" o:hralign="center" o:hrstd="t" o:hr="t"/>
        </w:pict>
      </w:r>
    </w:p>
    <w:bookmarkEnd w:id="28"/>
    <w:bookmarkStart w:id="29" w:name="management-of-the-llp"/>
    <w:p>
      <w:pPr>
        <w:pStyle w:val="Heading1"/>
      </w:pPr>
      <w:r>
        <w:t xml:space="preserve">8. MANAGEMENT OF THE LLP</w:t>
      </w:r>
    </w:p>
    <w:p>
      <w:pPr>
        <w:pStyle w:val="FirstParagraph"/>
      </w:pPr>
      <w:r>
        <w:t xml:space="preserve">The LLP shall be jointly managed by the Partners.</w:t>
      </w:r>
    </w:p>
    <w:p>
      <w:pPr>
        <w:pStyle w:val="BodyText"/>
      </w:pPr>
      <w:r>
        <w:t xml:space="preserve">Both Partners shall have reasonable access to:</w:t>
      </w:r>
    </w:p>
    <w:p>
      <w:pPr>
        <w:pStyle w:val="Compact"/>
        <w:numPr>
          <w:ilvl w:val="0"/>
          <w:numId w:val="1010"/>
        </w:numPr>
      </w:pPr>
      <w:r>
        <w:t xml:space="preserve">Financial records;</w:t>
      </w:r>
    </w:p>
    <w:p>
      <w:pPr>
        <w:pStyle w:val="Compact"/>
        <w:numPr>
          <w:ilvl w:val="0"/>
          <w:numId w:val="1010"/>
        </w:numPr>
      </w:pPr>
      <w:r>
        <w:t xml:space="preserve">Business records;</w:t>
      </w:r>
    </w:p>
    <w:p>
      <w:pPr>
        <w:pStyle w:val="Compact"/>
        <w:numPr>
          <w:ilvl w:val="0"/>
          <w:numId w:val="1010"/>
        </w:numPr>
      </w:pPr>
      <w:r>
        <w:t xml:space="preserve">Customer and institutional information;</w:t>
      </w:r>
    </w:p>
    <w:p>
      <w:pPr>
        <w:pStyle w:val="Compact"/>
        <w:numPr>
          <w:ilvl w:val="0"/>
          <w:numId w:val="1010"/>
        </w:numPr>
      </w:pPr>
      <w:r>
        <w:t xml:space="preserve">Contracts;</w:t>
      </w:r>
    </w:p>
    <w:p>
      <w:pPr>
        <w:pStyle w:val="Compact"/>
        <w:numPr>
          <w:ilvl w:val="0"/>
          <w:numId w:val="1010"/>
        </w:numPr>
      </w:pPr>
      <w:r>
        <w:t xml:space="preserve">Business accounts;</w:t>
      </w:r>
    </w:p>
    <w:p>
      <w:pPr>
        <w:pStyle w:val="Compact"/>
        <w:numPr>
          <w:ilvl w:val="0"/>
          <w:numId w:val="1010"/>
        </w:numPr>
      </w:pPr>
      <w:r>
        <w:t xml:space="preserve">Intellectual property;</w:t>
      </w:r>
    </w:p>
    <w:p>
      <w:pPr>
        <w:pStyle w:val="Compact"/>
        <w:numPr>
          <w:ilvl w:val="0"/>
          <w:numId w:val="1010"/>
        </w:numPr>
      </w:pPr>
      <w:r>
        <w:t xml:space="preserve">Digital assets;</w:t>
      </w:r>
    </w:p>
    <w:p>
      <w:pPr>
        <w:pStyle w:val="Compact"/>
        <w:numPr>
          <w:ilvl w:val="0"/>
          <w:numId w:val="1010"/>
        </w:numPr>
      </w:pPr>
      <w:r>
        <w:t xml:space="preserve">Important business correspondence; and</w:t>
      </w:r>
    </w:p>
    <w:p>
      <w:pPr>
        <w:pStyle w:val="Compact"/>
        <w:numPr>
          <w:ilvl w:val="0"/>
          <w:numId w:val="1010"/>
        </w:numPr>
      </w:pPr>
      <w:r>
        <w:t xml:space="preserve">Other material business information.</w:t>
      </w:r>
    </w:p>
    <w:p>
      <w:pPr>
        <w:pStyle w:val="FirstParagraph"/>
      </w:pPr>
      <w:r>
        <w:t xml:space="preserve">Neither Partner shall intentionally withhold material business information from the other Partner.</w:t>
      </w:r>
    </w:p>
    <w:p>
      <w:r>
        <w:pict>
          <v:rect style="width:0;height:1.5pt" o:hralign="center" o:hrstd="t" o:hr="t"/>
        </w:pict>
      </w:r>
    </w:p>
    <w:bookmarkEnd w:id="29"/>
    <w:bookmarkStart w:id="30" w:name="decision-making"/>
    <w:p>
      <w:pPr>
        <w:pStyle w:val="Heading1"/>
      </w:pPr>
      <w:r>
        <w:t xml:space="preserve">9. DECISION-MAKING</w:t>
      </w:r>
    </w:p>
    <w:p>
      <w:pPr>
        <w:pStyle w:val="FirstParagraph"/>
      </w:pPr>
      <w:r>
        <w:t xml:space="preserve">Routine operational decisions may be taken independently by either Partner within the responsibilities assigned to them, provided that such decisions:</w:t>
      </w:r>
    </w:p>
    <w:p>
      <w:pPr>
        <w:pStyle w:val="Compact"/>
        <w:numPr>
          <w:ilvl w:val="0"/>
          <w:numId w:val="1011"/>
        </w:numPr>
      </w:pPr>
      <w:r>
        <w:t xml:space="preserve">Are within the approved business plan;</w:t>
      </w:r>
    </w:p>
    <w:p>
      <w:pPr>
        <w:pStyle w:val="Compact"/>
        <w:numPr>
          <w:ilvl w:val="0"/>
          <w:numId w:val="1011"/>
        </w:numPr>
      </w:pPr>
      <w:r>
        <w:t xml:space="preserve">Are within the approved budget;</w:t>
      </w:r>
    </w:p>
    <w:p>
      <w:pPr>
        <w:pStyle w:val="Compact"/>
        <w:numPr>
          <w:ilvl w:val="0"/>
          <w:numId w:val="1011"/>
        </w:numPr>
      </w:pPr>
      <w:r>
        <w:t xml:space="preserve">Do not materially affect the LLP; and</w:t>
      </w:r>
    </w:p>
    <w:p>
      <w:pPr>
        <w:pStyle w:val="Compact"/>
        <w:numPr>
          <w:ilvl w:val="0"/>
          <w:numId w:val="1011"/>
        </w:numPr>
      </w:pPr>
      <w:r>
        <w:t xml:space="preserve">Do not create significant financial or legal obligations for the LLP.</w:t>
      </w:r>
    </w:p>
    <w:p>
      <w:pPr>
        <w:pStyle w:val="FirstParagraph"/>
      </w:pPr>
      <w:r>
        <w:t xml:space="preserve">The following matters shall require the</w:t>
      </w:r>
      <w:r>
        <w:t xml:space="preserve"> </w:t>
      </w:r>
      <w:r>
        <w:rPr>
          <w:b/>
          <w:bCs/>
        </w:rPr>
        <w:t xml:space="preserve">mutual written consent of both Partners</w:t>
      </w:r>
      <w:r>
        <w:t xml:space="preserve">:</w:t>
      </w:r>
    </w:p>
    <w:p>
      <w:pPr>
        <w:pStyle w:val="Compact"/>
        <w:numPr>
          <w:ilvl w:val="0"/>
          <w:numId w:val="1012"/>
        </w:numPr>
      </w:pPr>
      <w:r>
        <w:t xml:space="preserve">Change in ownership ratio.</w:t>
      </w:r>
    </w:p>
    <w:p>
      <w:pPr>
        <w:pStyle w:val="Compact"/>
        <w:numPr>
          <w:ilvl w:val="0"/>
          <w:numId w:val="1012"/>
        </w:numPr>
      </w:pPr>
      <w:r>
        <w:t xml:space="preserve">Change in profit-sharing ratio.</w:t>
      </w:r>
    </w:p>
    <w:p>
      <w:pPr>
        <w:pStyle w:val="Compact"/>
        <w:numPr>
          <w:ilvl w:val="0"/>
          <w:numId w:val="1012"/>
        </w:numPr>
      </w:pPr>
      <w:r>
        <w:t xml:space="preserve">Admission of a new Partner.</w:t>
      </w:r>
    </w:p>
    <w:p>
      <w:pPr>
        <w:pStyle w:val="Compact"/>
        <w:numPr>
          <w:ilvl w:val="0"/>
          <w:numId w:val="1012"/>
        </w:numPr>
      </w:pPr>
      <w:r>
        <w:t xml:space="preserve">Removal of an existing Partner.</w:t>
      </w:r>
    </w:p>
    <w:p>
      <w:pPr>
        <w:pStyle w:val="Compact"/>
        <w:numPr>
          <w:ilvl w:val="0"/>
          <w:numId w:val="1012"/>
        </w:numPr>
      </w:pPr>
      <w:r>
        <w:t xml:space="preserve">Taking significant loans or financial liabilities.</w:t>
      </w:r>
    </w:p>
    <w:p>
      <w:pPr>
        <w:pStyle w:val="Compact"/>
        <w:numPr>
          <w:ilvl w:val="0"/>
          <w:numId w:val="1012"/>
        </w:numPr>
      </w:pPr>
      <w:r>
        <w:t xml:space="preserve">Providing guarantees on behalf of the LLP.</w:t>
      </w:r>
    </w:p>
    <w:p>
      <w:pPr>
        <w:pStyle w:val="Compact"/>
        <w:numPr>
          <w:ilvl w:val="0"/>
          <w:numId w:val="1012"/>
        </w:numPr>
      </w:pPr>
      <w:r>
        <w:t xml:space="preserve">Major investments.</w:t>
      </w:r>
    </w:p>
    <w:p>
      <w:pPr>
        <w:pStyle w:val="Compact"/>
        <w:numPr>
          <w:ilvl w:val="0"/>
          <w:numId w:val="1012"/>
        </w:numPr>
      </w:pPr>
      <w:r>
        <w:t xml:space="preserve">Sale of substantial business assets.</w:t>
      </w:r>
    </w:p>
    <w:p>
      <w:pPr>
        <w:pStyle w:val="Compact"/>
        <w:numPr>
          <w:ilvl w:val="0"/>
          <w:numId w:val="1012"/>
        </w:numPr>
      </w:pPr>
      <w:r>
        <w:t xml:space="preserve">Sale or transfer of the THYNK brand.</w:t>
      </w:r>
    </w:p>
    <w:p>
      <w:pPr>
        <w:pStyle w:val="Compact"/>
        <w:numPr>
          <w:ilvl w:val="0"/>
          <w:numId w:val="1012"/>
        </w:numPr>
      </w:pPr>
      <w:r>
        <w:t xml:space="preserve">Sale or transfer of intellectual property.</w:t>
      </w:r>
    </w:p>
    <w:p>
      <w:pPr>
        <w:pStyle w:val="Compact"/>
        <w:numPr>
          <w:ilvl w:val="0"/>
          <w:numId w:val="1012"/>
        </w:numPr>
      </w:pPr>
      <w:r>
        <w:t xml:space="preserve">Licensing of major intellectual property rights.</w:t>
      </w:r>
    </w:p>
    <w:p>
      <w:pPr>
        <w:pStyle w:val="Compact"/>
        <w:numPr>
          <w:ilvl w:val="0"/>
          <w:numId w:val="1012"/>
        </w:numPr>
      </w:pPr>
      <w:r>
        <w:t xml:space="preserve">Major changes to the nature of the business.</w:t>
      </w:r>
    </w:p>
    <w:p>
      <w:pPr>
        <w:pStyle w:val="Compact"/>
        <w:numPr>
          <w:ilvl w:val="0"/>
          <w:numId w:val="1012"/>
        </w:numPr>
      </w:pPr>
      <w:r>
        <w:t xml:space="preserve">Merger, acquisition or sale of the business.</w:t>
      </w:r>
    </w:p>
    <w:p>
      <w:pPr>
        <w:pStyle w:val="Compact"/>
        <w:numPr>
          <w:ilvl w:val="0"/>
          <w:numId w:val="1012"/>
        </w:numPr>
      </w:pPr>
      <w:r>
        <w:t xml:space="preserve">Closure or dissolution of the LLP.</w:t>
      </w:r>
    </w:p>
    <w:p>
      <w:pPr>
        <w:pStyle w:val="Compact"/>
        <w:numPr>
          <w:ilvl w:val="0"/>
          <w:numId w:val="1012"/>
        </w:numPr>
      </w:pPr>
      <w:r>
        <w:t xml:space="preserve">Appointment or removal of key professional advisors where material to the business.</w:t>
      </w:r>
    </w:p>
    <w:p>
      <w:pPr>
        <w:pStyle w:val="Compact"/>
        <w:numPr>
          <w:ilvl w:val="0"/>
          <w:numId w:val="1012"/>
        </w:numPr>
      </w:pPr>
      <w:r>
        <w:t xml:space="preserve">Any other material decision that may significantly affect the financial or strategic interests of THYNK Edutech LLP.</w:t>
      </w:r>
    </w:p>
    <w:p>
      <w:r>
        <w:pict>
          <v:rect style="width:0;height:1.5pt" o:hralign="center" o:hrstd="t" o:hr="t"/>
        </w:pict>
      </w:r>
    </w:p>
    <w:bookmarkEnd w:id="30"/>
    <w:bookmarkStart w:id="35" w:name="deadlock-between-partners"/>
    <w:p>
      <w:pPr>
        <w:pStyle w:val="Heading1"/>
      </w:pPr>
      <w:r>
        <w:t xml:space="preserve">10. DEADLOCK BETWEEN PARTNERS</w:t>
      </w:r>
    </w:p>
    <w:p>
      <w:pPr>
        <w:pStyle w:val="FirstParagraph"/>
      </w:pPr>
      <w:r>
        <w:t xml:space="preserve">The Partners acknowledge that, because ownership is equally divided at 50:50, a disagreement may result in a deadlock.</w:t>
      </w:r>
    </w:p>
    <w:p>
      <w:pPr>
        <w:pStyle w:val="BodyText"/>
      </w:pPr>
      <w:r>
        <w:t xml:space="preserve">If the Partners are unable to agree on a material business decision:</w:t>
      </w:r>
    </w:p>
    <w:bookmarkStart w:id="31" w:name="step-1-mutual-discussion"/>
    <w:p>
      <w:pPr>
        <w:pStyle w:val="Heading3"/>
      </w:pPr>
      <w:r>
        <w:t xml:space="preserve">Step 1 – Mutual Discussion</w:t>
      </w:r>
    </w:p>
    <w:p>
      <w:pPr>
        <w:pStyle w:val="FirstParagraph"/>
      </w:pPr>
      <w:r>
        <w:t xml:space="preserve">The Partners shall first attempt to resolve the matter through good-faith discussion.</w:t>
      </w:r>
    </w:p>
    <w:bookmarkEnd w:id="31"/>
    <w:bookmarkStart w:id="32" w:name="step-2-formal-discussion"/>
    <w:p>
      <w:pPr>
        <w:pStyle w:val="Heading3"/>
      </w:pPr>
      <w:r>
        <w:t xml:space="preserve">Step 2 – Formal Discussion</w:t>
      </w:r>
    </w:p>
    <w:p>
      <w:pPr>
        <w:pStyle w:val="FirstParagraph"/>
      </w:pPr>
      <w:r>
        <w:t xml:space="preserve">If the matter remains unresolved, both Partners shall conduct a formal meeting to review:</w:t>
      </w:r>
    </w:p>
    <w:p>
      <w:pPr>
        <w:pStyle w:val="Compact"/>
        <w:numPr>
          <w:ilvl w:val="0"/>
          <w:numId w:val="1013"/>
        </w:numPr>
      </w:pPr>
      <w:r>
        <w:t xml:space="preserve">The issue;</w:t>
      </w:r>
    </w:p>
    <w:p>
      <w:pPr>
        <w:pStyle w:val="Compact"/>
        <w:numPr>
          <w:ilvl w:val="0"/>
          <w:numId w:val="1013"/>
        </w:numPr>
      </w:pPr>
      <w:r>
        <w:t xml:space="preserve">The financial impact;</w:t>
      </w:r>
    </w:p>
    <w:p>
      <w:pPr>
        <w:pStyle w:val="Compact"/>
        <w:numPr>
          <w:ilvl w:val="0"/>
          <w:numId w:val="1013"/>
        </w:numPr>
      </w:pPr>
      <w:r>
        <w:t xml:space="preserve">The business impact;</w:t>
      </w:r>
    </w:p>
    <w:p>
      <w:pPr>
        <w:pStyle w:val="Compact"/>
        <w:numPr>
          <w:ilvl w:val="0"/>
          <w:numId w:val="1013"/>
        </w:numPr>
      </w:pPr>
      <w:r>
        <w:t xml:space="preserve">Alternative solutions; and</w:t>
      </w:r>
    </w:p>
    <w:p>
      <w:pPr>
        <w:pStyle w:val="Compact"/>
        <w:numPr>
          <w:ilvl w:val="0"/>
          <w:numId w:val="1013"/>
        </w:numPr>
      </w:pPr>
      <w:r>
        <w:t xml:space="preserve">The interests of THYNK Edutech LLP.</w:t>
      </w:r>
    </w:p>
    <w:bookmarkEnd w:id="32"/>
    <w:bookmarkStart w:id="33" w:name="X45d000ba89f85cfaf0cc284bb4264251eb83600"/>
    <w:p>
      <w:pPr>
        <w:pStyle w:val="Heading3"/>
      </w:pPr>
      <w:r>
        <w:t xml:space="preserve">Step 3 – Independent Mediation / Professional Advice</w:t>
      </w:r>
    </w:p>
    <w:p>
      <w:pPr>
        <w:pStyle w:val="FirstParagraph"/>
      </w:pPr>
      <w:r>
        <w:t xml:space="preserve">If the matter remains unresolved, the Partners may mutually appoint an independent mediator, advisor or professional to assist them in reaching a resolution.</w:t>
      </w:r>
    </w:p>
    <w:bookmarkEnd w:id="33"/>
    <w:bookmarkStart w:id="34" w:name="step-4-arbitration-legal-resolution"/>
    <w:p>
      <w:pPr>
        <w:pStyle w:val="Heading3"/>
      </w:pPr>
      <w:r>
        <w:t xml:space="preserve">Step 4 – Arbitration / Legal Resolution</w:t>
      </w:r>
    </w:p>
    <w:p>
      <w:pPr>
        <w:pStyle w:val="FirstParagraph"/>
      </w:pPr>
      <w:r>
        <w:t xml:space="preserve">If the dispute still cannot be resolved, the matter may be referred to arbitration or dealt with in accordance with the dispute-resolution provisions of the formal LLP Agreement and applicable law.</w:t>
      </w:r>
    </w:p>
    <w:p>
      <w:pPr>
        <w:pStyle w:val="BodyText"/>
      </w:pPr>
      <w:r>
        <w:t xml:space="preserve">Neither Partner shall unilaterally implement a major decision where the consent of both Partners is expressly required.</w:t>
      </w:r>
    </w:p>
    <w:p>
      <w:r>
        <w:pict>
          <v:rect style="width:0;height:1.5pt" o:hralign="center" o:hrstd="t" o:hr="t"/>
        </w:pict>
      </w:r>
    </w:p>
    <w:bookmarkEnd w:id="34"/>
    <w:bookmarkEnd w:id="35"/>
    <w:bookmarkStart w:id="36" w:name="bank-account-and-financial-control"/>
    <w:p>
      <w:pPr>
        <w:pStyle w:val="Heading1"/>
      </w:pPr>
      <w:r>
        <w:t xml:space="preserve">11. BANK ACCOUNT AND FINANCIAL CONTROL</w:t>
      </w:r>
    </w:p>
    <w:p>
      <w:pPr>
        <w:pStyle w:val="FirstParagraph"/>
      </w:pPr>
      <w:r>
        <w:t xml:space="preserve">The LLP shall maintain bank account(s) in the name of</w:t>
      </w:r>
      <w:r>
        <w:t xml:space="preserve"> </w:t>
      </w:r>
      <w:r>
        <w:rPr>
          <w:b/>
          <w:bCs/>
        </w:rPr>
        <w:t xml:space="preserve">THYNK Edutech LLP</w:t>
      </w:r>
      <w:r>
        <w:t xml:space="preserve">.</w:t>
      </w:r>
    </w:p>
    <w:p>
      <w:pPr>
        <w:pStyle w:val="BodyText"/>
      </w:pPr>
      <w:r>
        <w:t xml:space="preserve">The Partners shall mutually determine:</w:t>
      </w:r>
    </w:p>
    <w:p>
      <w:pPr>
        <w:pStyle w:val="Compact"/>
        <w:numPr>
          <w:ilvl w:val="0"/>
          <w:numId w:val="1014"/>
        </w:numPr>
      </w:pPr>
      <w:r>
        <w:t xml:space="preserve">The bank(s) to be used;</w:t>
      </w:r>
    </w:p>
    <w:p>
      <w:pPr>
        <w:pStyle w:val="Compact"/>
        <w:numPr>
          <w:ilvl w:val="0"/>
          <w:numId w:val="1014"/>
        </w:numPr>
      </w:pPr>
      <w:r>
        <w:t xml:space="preserve">Authorised signatories;</w:t>
      </w:r>
    </w:p>
    <w:p>
      <w:pPr>
        <w:pStyle w:val="Compact"/>
        <w:numPr>
          <w:ilvl w:val="0"/>
          <w:numId w:val="1014"/>
        </w:numPr>
      </w:pPr>
      <w:r>
        <w:t xml:space="preserve">Account operating instructions;</w:t>
      </w:r>
    </w:p>
    <w:p>
      <w:pPr>
        <w:pStyle w:val="Compact"/>
        <w:numPr>
          <w:ilvl w:val="0"/>
          <w:numId w:val="1014"/>
        </w:numPr>
      </w:pPr>
      <w:r>
        <w:t xml:space="preserve">Payment approval limits; and</w:t>
      </w:r>
    </w:p>
    <w:p>
      <w:pPr>
        <w:pStyle w:val="Compact"/>
        <w:numPr>
          <w:ilvl w:val="0"/>
          <w:numId w:val="1014"/>
        </w:numPr>
      </w:pPr>
      <w:r>
        <w:t xml:space="preserve">Other financial controls.</w:t>
      </w:r>
    </w:p>
    <w:p>
      <w:pPr>
        <w:pStyle w:val="FirstParagraph"/>
      </w:pPr>
      <w:r>
        <w:t xml:space="preserve">Both Partners shall have reasonable access to financial information relating to the LLP.</w:t>
      </w:r>
    </w:p>
    <w:p>
      <w:pPr>
        <w:pStyle w:val="BodyText"/>
      </w:pPr>
      <w:r>
        <w:t xml:space="preserve">All material business income and expenditure shall, as far as practicable, be routed through the LLP’s official bank account.</w:t>
      </w:r>
    </w:p>
    <w:p>
      <w:r>
        <w:pict>
          <v:rect style="width:0;height:1.5pt" o:hralign="center" o:hrstd="t" o:hr="t"/>
        </w:pict>
      </w:r>
    </w:p>
    <w:bookmarkEnd w:id="36"/>
    <w:bookmarkStart w:id="37" w:name="accounting-and-records"/>
    <w:p>
      <w:pPr>
        <w:pStyle w:val="Heading1"/>
      </w:pPr>
      <w:r>
        <w:t xml:space="preserve">12. ACCOUNTING AND RECORDS</w:t>
      </w:r>
    </w:p>
    <w:p>
      <w:pPr>
        <w:pStyle w:val="FirstParagraph"/>
      </w:pPr>
      <w:r>
        <w:t xml:space="preserve">Proper books and records shall be maintained for the LLP in accordance with applicable law.</w:t>
      </w:r>
    </w:p>
    <w:p>
      <w:pPr>
        <w:pStyle w:val="BodyText"/>
      </w:pPr>
      <w:r>
        <w:t xml:space="preserve">The LLP shall maintain appropriate records relating to:</w:t>
      </w:r>
    </w:p>
    <w:p>
      <w:pPr>
        <w:pStyle w:val="Compact"/>
        <w:numPr>
          <w:ilvl w:val="0"/>
          <w:numId w:val="1015"/>
        </w:numPr>
      </w:pPr>
      <w:r>
        <w:t xml:space="preserve">Revenue;</w:t>
      </w:r>
    </w:p>
    <w:p>
      <w:pPr>
        <w:pStyle w:val="Compact"/>
        <w:numPr>
          <w:ilvl w:val="0"/>
          <w:numId w:val="1015"/>
        </w:numPr>
      </w:pPr>
      <w:r>
        <w:t xml:space="preserve">Expenses;</w:t>
      </w:r>
    </w:p>
    <w:p>
      <w:pPr>
        <w:pStyle w:val="Compact"/>
        <w:numPr>
          <w:ilvl w:val="0"/>
          <w:numId w:val="1015"/>
        </w:numPr>
      </w:pPr>
      <w:r>
        <w:t xml:space="preserve">Taxes;</w:t>
      </w:r>
    </w:p>
    <w:p>
      <w:pPr>
        <w:pStyle w:val="Compact"/>
        <w:numPr>
          <w:ilvl w:val="0"/>
          <w:numId w:val="1015"/>
        </w:numPr>
      </w:pPr>
      <w:r>
        <w:t xml:space="preserve">Assets;</w:t>
      </w:r>
    </w:p>
    <w:p>
      <w:pPr>
        <w:pStyle w:val="Compact"/>
        <w:numPr>
          <w:ilvl w:val="0"/>
          <w:numId w:val="1015"/>
        </w:numPr>
      </w:pPr>
      <w:r>
        <w:t xml:space="preserve">Liabilities;</w:t>
      </w:r>
    </w:p>
    <w:p>
      <w:pPr>
        <w:pStyle w:val="Compact"/>
        <w:numPr>
          <w:ilvl w:val="0"/>
          <w:numId w:val="1015"/>
        </w:numPr>
      </w:pPr>
      <w:r>
        <w:t xml:space="preserve">Partner contributions;</w:t>
      </w:r>
    </w:p>
    <w:p>
      <w:pPr>
        <w:pStyle w:val="Compact"/>
        <w:numPr>
          <w:ilvl w:val="0"/>
          <w:numId w:val="1015"/>
        </w:numPr>
      </w:pPr>
      <w:r>
        <w:t xml:space="preserve">Partner drawings/remuneration;</w:t>
      </w:r>
    </w:p>
    <w:p>
      <w:pPr>
        <w:pStyle w:val="Compact"/>
        <w:numPr>
          <w:ilvl w:val="0"/>
          <w:numId w:val="1015"/>
        </w:numPr>
      </w:pPr>
      <w:r>
        <w:t xml:space="preserve">Customer payments;</w:t>
      </w:r>
    </w:p>
    <w:p>
      <w:pPr>
        <w:pStyle w:val="Compact"/>
        <w:numPr>
          <w:ilvl w:val="0"/>
          <w:numId w:val="1015"/>
        </w:numPr>
      </w:pPr>
      <w:r>
        <w:t xml:space="preserve">School/institution contracts;</w:t>
      </w:r>
    </w:p>
    <w:p>
      <w:pPr>
        <w:pStyle w:val="Compact"/>
        <w:numPr>
          <w:ilvl w:val="0"/>
          <w:numId w:val="1015"/>
        </w:numPr>
      </w:pPr>
      <w:r>
        <w:t xml:space="preserve">Intellectual property; and</w:t>
      </w:r>
    </w:p>
    <w:p>
      <w:pPr>
        <w:pStyle w:val="Compact"/>
        <w:numPr>
          <w:ilvl w:val="0"/>
          <w:numId w:val="1015"/>
        </w:numPr>
      </w:pPr>
      <w:r>
        <w:t xml:space="preserve">Other material business transactions.</w:t>
      </w:r>
    </w:p>
    <w:p>
      <w:pPr>
        <w:pStyle w:val="FirstParagraph"/>
      </w:pPr>
      <w:r>
        <w:t xml:space="preserve">Both Partners shall have access to the books and records of the LLP.</w:t>
      </w:r>
    </w:p>
    <w:p>
      <w:r>
        <w:pict>
          <v:rect style="width:0;height:1.5pt" o:hralign="center" o:hrstd="t" o:hr="t"/>
        </w:pict>
      </w:r>
    </w:p>
    <w:bookmarkEnd w:id="37"/>
    <w:bookmarkStart w:id="38" w:name="partner-remuneration-and-drawings"/>
    <w:p>
      <w:pPr>
        <w:pStyle w:val="Heading1"/>
      </w:pPr>
      <w:r>
        <w:t xml:space="preserve">13. PARTNER REMUNERATION AND DRAWINGS</w:t>
      </w:r>
    </w:p>
    <w:p>
      <w:pPr>
        <w:pStyle w:val="FirstParagraph"/>
      </w:pPr>
      <w:r>
        <w:t xml:space="preserve">The Partners may receive remuneration, drawings, commission or other payments from the LLP as mutually agreed and subject to applicable law.</w:t>
      </w:r>
    </w:p>
    <w:p>
      <w:pPr>
        <w:pStyle w:val="BodyText"/>
      </w:pPr>
      <w:r>
        <w:t xml:space="preserve">Any remuneration arrangement shall be properly documented in the LLP Agreement or other written agreement.</w:t>
      </w:r>
    </w:p>
    <w:p>
      <w:pPr>
        <w:pStyle w:val="BodyText"/>
      </w:pPr>
      <w:r>
        <w:t xml:space="preserve">Unless otherwise mutually agreed, neither Partner shall make personal withdrawals from LLP funds except for:</w:t>
      </w:r>
    </w:p>
    <w:p>
      <w:pPr>
        <w:pStyle w:val="Compact"/>
        <w:numPr>
          <w:ilvl w:val="0"/>
          <w:numId w:val="1016"/>
        </w:numPr>
      </w:pPr>
      <w:r>
        <w:t xml:space="preserve">Approved business expenses;</w:t>
      </w:r>
    </w:p>
    <w:p>
      <w:pPr>
        <w:pStyle w:val="Compact"/>
        <w:numPr>
          <w:ilvl w:val="0"/>
          <w:numId w:val="1016"/>
        </w:numPr>
      </w:pPr>
      <w:r>
        <w:t xml:space="preserve">Agreed Partner remuneration/drawings; or</w:t>
      </w:r>
    </w:p>
    <w:p>
      <w:pPr>
        <w:pStyle w:val="Compact"/>
        <w:numPr>
          <w:ilvl w:val="0"/>
          <w:numId w:val="1016"/>
        </w:numPr>
      </w:pPr>
      <w:r>
        <w:t xml:space="preserve">Other payments expressly approved by both Partners.</w:t>
      </w:r>
    </w:p>
    <w:p>
      <w:r>
        <w:pict>
          <v:rect style="width:0;height:1.5pt" o:hralign="center" o:hrstd="t" o:hr="t"/>
        </w:pict>
      </w:r>
    </w:p>
    <w:bookmarkEnd w:id="38"/>
    <w:bookmarkStart w:id="39" w:name="business-expenses"/>
    <w:p>
      <w:pPr>
        <w:pStyle w:val="Heading1"/>
      </w:pPr>
      <w:r>
        <w:t xml:space="preserve">14. BUSINESS EXPENSES</w:t>
      </w:r>
    </w:p>
    <w:p>
      <w:pPr>
        <w:pStyle w:val="FirstParagraph"/>
      </w:pPr>
      <w:r>
        <w:t xml:space="preserve">Reasonable and legitimate expenses incurred for the business of THYNK Edutech LLP shall be reimbursed by the LLP subject to appropriate documentation.</w:t>
      </w:r>
    </w:p>
    <w:p>
      <w:pPr>
        <w:pStyle w:val="BodyText"/>
      </w:pPr>
      <w:r>
        <w:t xml:space="preserve">Expenses above any mutually agreed threshold shall require prior approval of both Partners.</w:t>
      </w:r>
    </w:p>
    <w:p>
      <w:r>
        <w:pict>
          <v:rect style="width:0;height:1.5pt" o:hralign="center" o:hrstd="t" o:hr="t"/>
        </w:pict>
      </w:r>
    </w:p>
    <w:bookmarkEnd w:id="39"/>
    <w:bookmarkStart w:id="40" w:name="intellectual-property"/>
    <w:p>
      <w:pPr>
        <w:pStyle w:val="Heading1"/>
      </w:pPr>
      <w:r>
        <w:t xml:space="preserve">15. INTELLECTUAL PROPERTY</w:t>
      </w:r>
    </w:p>
    <w:p>
      <w:pPr>
        <w:pStyle w:val="FirstParagraph"/>
      </w:pPr>
      <w:r>
        <w:t xml:space="preserve">All intellectual property created specifically for THYNK Edutech LLP or created using the resources, funds, employees, contractors or business opportunities of the LLP shall belong to the LLP, subject to applicable law.</w:t>
      </w:r>
    </w:p>
    <w:p>
      <w:pPr>
        <w:pStyle w:val="BodyText"/>
      </w:pPr>
      <w:r>
        <w:t xml:space="preserve">This shall include, without limitation:</w:t>
      </w:r>
    </w:p>
    <w:p>
      <w:pPr>
        <w:pStyle w:val="Compact"/>
        <w:numPr>
          <w:ilvl w:val="0"/>
          <w:numId w:val="1017"/>
        </w:numPr>
      </w:pPr>
      <w:r>
        <w:t xml:space="preserve">THYNK name;</w:t>
      </w:r>
    </w:p>
    <w:p>
      <w:pPr>
        <w:pStyle w:val="Compact"/>
        <w:numPr>
          <w:ilvl w:val="0"/>
          <w:numId w:val="1017"/>
        </w:numPr>
      </w:pPr>
      <w:r>
        <w:t xml:space="preserve">THYNK logo;</w:t>
      </w:r>
    </w:p>
    <w:p>
      <w:pPr>
        <w:pStyle w:val="Compact"/>
        <w:numPr>
          <w:ilvl w:val="0"/>
          <w:numId w:val="1017"/>
        </w:numPr>
      </w:pPr>
      <w:r>
        <w:t xml:space="preserve">THYNK trademark;</w:t>
      </w:r>
    </w:p>
    <w:p>
      <w:pPr>
        <w:pStyle w:val="Compact"/>
        <w:numPr>
          <w:ilvl w:val="0"/>
          <w:numId w:val="1017"/>
        </w:numPr>
      </w:pPr>
      <w:r>
        <w:t xml:space="preserve">Taglines;</w:t>
      </w:r>
    </w:p>
    <w:p>
      <w:pPr>
        <w:pStyle w:val="Compact"/>
        <w:numPr>
          <w:ilvl w:val="0"/>
          <w:numId w:val="1017"/>
        </w:numPr>
      </w:pPr>
      <w:r>
        <w:t xml:space="preserve">Website;</w:t>
      </w:r>
    </w:p>
    <w:p>
      <w:pPr>
        <w:pStyle w:val="Compact"/>
        <w:numPr>
          <w:ilvl w:val="0"/>
          <w:numId w:val="1017"/>
        </w:numPr>
      </w:pPr>
      <w:r>
        <w:t xml:space="preserve">Domain names;</w:t>
      </w:r>
    </w:p>
    <w:p>
      <w:pPr>
        <w:pStyle w:val="Compact"/>
        <w:numPr>
          <w:ilvl w:val="0"/>
          <w:numId w:val="1017"/>
        </w:numPr>
      </w:pPr>
      <w:r>
        <w:t xml:space="preserve">Social media accounts;</w:t>
      </w:r>
    </w:p>
    <w:p>
      <w:pPr>
        <w:pStyle w:val="Compact"/>
        <w:numPr>
          <w:ilvl w:val="0"/>
          <w:numId w:val="1017"/>
        </w:numPr>
      </w:pPr>
      <w:r>
        <w:t xml:space="preserve">Curriculum;</w:t>
      </w:r>
    </w:p>
    <w:p>
      <w:pPr>
        <w:pStyle w:val="Compact"/>
        <w:numPr>
          <w:ilvl w:val="0"/>
          <w:numId w:val="1017"/>
        </w:numPr>
      </w:pPr>
      <w:r>
        <w:t xml:space="preserve">Course content;</w:t>
      </w:r>
    </w:p>
    <w:p>
      <w:pPr>
        <w:pStyle w:val="Compact"/>
        <w:numPr>
          <w:ilvl w:val="0"/>
          <w:numId w:val="1017"/>
        </w:numPr>
      </w:pPr>
      <w:r>
        <w:t xml:space="preserve">Workbooks;</w:t>
      </w:r>
    </w:p>
    <w:p>
      <w:pPr>
        <w:pStyle w:val="Compact"/>
        <w:numPr>
          <w:ilvl w:val="0"/>
          <w:numId w:val="1017"/>
        </w:numPr>
      </w:pPr>
      <w:r>
        <w:t xml:space="preserve">Books;</w:t>
      </w:r>
    </w:p>
    <w:p>
      <w:pPr>
        <w:pStyle w:val="Compact"/>
        <w:numPr>
          <w:ilvl w:val="0"/>
          <w:numId w:val="1017"/>
        </w:numPr>
      </w:pPr>
      <w:r>
        <w:t xml:space="preserve">Educational materials;</w:t>
      </w:r>
    </w:p>
    <w:p>
      <w:pPr>
        <w:pStyle w:val="Compact"/>
        <w:numPr>
          <w:ilvl w:val="0"/>
          <w:numId w:val="1017"/>
        </w:numPr>
      </w:pPr>
      <w:r>
        <w:t xml:space="preserve">Presentations;</w:t>
      </w:r>
    </w:p>
    <w:p>
      <w:pPr>
        <w:pStyle w:val="Compact"/>
        <w:numPr>
          <w:ilvl w:val="0"/>
          <w:numId w:val="1017"/>
        </w:numPr>
      </w:pPr>
      <w:r>
        <w:t xml:space="preserve">Videos;</w:t>
      </w:r>
    </w:p>
    <w:p>
      <w:pPr>
        <w:pStyle w:val="Compact"/>
        <w:numPr>
          <w:ilvl w:val="0"/>
          <w:numId w:val="1017"/>
        </w:numPr>
      </w:pPr>
      <w:r>
        <w:t xml:space="preserve">Illustrations;</w:t>
      </w:r>
    </w:p>
    <w:p>
      <w:pPr>
        <w:pStyle w:val="Compact"/>
        <w:numPr>
          <w:ilvl w:val="0"/>
          <w:numId w:val="1017"/>
        </w:numPr>
      </w:pPr>
      <w:r>
        <w:t xml:space="preserve">Software;</w:t>
      </w:r>
    </w:p>
    <w:p>
      <w:pPr>
        <w:pStyle w:val="Compact"/>
        <w:numPr>
          <w:ilvl w:val="0"/>
          <w:numId w:val="1017"/>
        </w:numPr>
      </w:pPr>
      <w:r>
        <w:t xml:space="preserve">Applications;</w:t>
      </w:r>
    </w:p>
    <w:p>
      <w:pPr>
        <w:pStyle w:val="Compact"/>
        <w:numPr>
          <w:ilvl w:val="0"/>
          <w:numId w:val="1017"/>
        </w:numPr>
      </w:pPr>
      <w:r>
        <w:t xml:space="preserve">Digital learning platforms;</w:t>
      </w:r>
    </w:p>
    <w:p>
      <w:pPr>
        <w:pStyle w:val="Compact"/>
        <w:numPr>
          <w:ilvl w:val="0"/>
          <w:numId w:val="1017"/>
        </w:numPr>
      </w:pPr>
      <w:r>
        <w:t xml:space="preserve">Educational methodologies developed specifically for THYNK;</w:t>
      </w:r>
    </w:p>
    <w:p>
      <w:pPr>
        <w:pStyle w:val="Compact"/>
        <w:numPr>
          <w:ilvl w:val="0"/>
          <w:numId w:val="1017"/>
        </w:numPr>
      </w:pPr>
      <w:r>
        <w:t xml:space="preserve">Marketing materials;</w:t>
      </w:r>
    </w:p>
    <w:p>
      <w:pPr>
        <w:pStyle w:val="Compact"/>
        <w:numPr>
          <w:ilvl w:val="0"/>
          <w:numId w:val="1017"/>
        </w:numPr>
      </w:pPr>
      <w:r>
        <w:t xml:space="preserve">Student resources;</w:t>
      </w:r>
    </w:p>
    <w:p>
      <w:pPr>
        <w:pStyle w:val="Compact"/>
        <w:numPr>
          <w:ilvl w:val="0"/>
          <w:numId w:val="1017"/>
        </w:numPr>
      </w:pPr>
      <w:r>
        <w:t xml:space="preserve">Business processes; and</w:t>
      </w:r>
    </w:p>
    <w:p>
      <w:pPr>
        <w:pStyle w:val="Compact"/>
        <w:numPr>
          <w:ilvl w:val="0"/>
          <w:numId w:val="1017"/>
        </w:numPr>
      </w:pPr>
      <w:r>
        <w:t xml:space="preserve">Other proprietary materials developed for the LLP.</w:t>
      </w:r>
    </w:p>
    <w:p>
      <w:pPr>
        <w:pStyle w:val="FirstParagraph"/>
      </w:pPr>
      <w:r>
        <w:t xml:space="preserve">Neither Partner shall individually claim ownership of LLP-owned intellectual property.</w:t>
      </w:r>
    </w:p>
    <w:p>
      <w:r>
        <w:pict>
          <v:rect style="width:0;height:1.5pt" o:hralign="center" o:hrstd="t" o:hr="t"/>
        </w:pict>
      </w:r>
    </w:p>
    <w:bookmarkEnd w:id="40"/>
    <w:bookmarkStart w:id="41" w:name="pre-existing-intellectual-property"/>
    <w:p>
      <w:pPr>
        <w:pStyle w:val="Heading1"/>
      </w:pPr>
      <w:r>
        <w:t xml:space="preserve">16. PRE-EXISTING INTELLECTUAL PROPERTY</w:t>
      </w:r>
    </w:p>
    <w:p>
      <w:pPr>
        <w:pStyle w:val="FirstParagraph"/>
      </w:pPr>
      <w:r>
        <w:t xml:space="preserve">Any intellectual property independently owned by either Partner before the formation or operation of THYNK Edutech LLP shall remain the property of that Partner unless specifically transferred or licensed to the LLP in writing.</w:t>
      </w:r>
    </w:p>
    <w:p>
      <w:pPr>
        <w:pStyle w:val="BodyText"/>
      </w:pPr>
      <w:r>
        <w:t xml:space="preserve">Any such pre-existing intellectual property intended to become an asset of the LLP should be specifically identified and documented.</w:t>
      </w:r>
    </w:p>
    <w:p>
      <w:r>
        <w:pict>
          <v:rect style="width:0;height:1.5pt" o:hralign="center" o:hrstd="t" o:hr="t"/>
        </w:pict>
      </w:r>
    </w:p>
    <w:bookmarkEnd w:id="41"/>
    <w:bookmarkStart w:id="42" w:name="thynk-brand-and-trademark"/>
    <w:p>
      <w:pPr>
        <w:pStyle w:val="Heading1"/>
      </w:pPr>
      <w:r>
        <w:t xml:space="preserve">17. THYNK BRAND AND TRADEMARK</w:t>
      </w:r>
    </w:p>
    <w:p>
      <w:pPr>
        <w:pStyle w:val="FirstParagraph"/>
      </w:pPr>
      <w:r>
        <w:t xml:space="preserve">The Partners agree that</w:t>
      </w:r>
      <w:r>
        <w:t xml:space="preserve"> </w:t>
      </w:r>
      <w:r>
        <w:rPr>
          <w:b/>
          <w:bCs/>
        </w:rPr>
        <w:t xml:space="preserve">THYNK – The Hub for Young Next-gen Knowledge</w:t>
      </w:r>
      <w:r>
        <w:t xml:space="preserve"> </w:t>
      </w:r>
      <w:r>
        <w:t xml:space="preserve">is intended to be a business asset of THYNK Edutech LLP.</w:t>
      </w:r>
    </w:p>
    <w:p>
      <w:pPr>
        <w:pStyle w:val="BodyText"/>
      </w:pPr>
      <w:r>
        <w:t xml:space="preserve">Wherever practicable:</w:t>
      </w:r>
    </w:p>
    <w:p>
      <w:pPr>
        <w:pStyle w:val="Compact"/>
        <w:numPr>
          <w:ilvl w:val="0"/>
          <w:numId w:val="1018"/>
        </w:numPr>
      </w:pPr>
      <w:r>
        <w:t xml:space="preserve">Trademark applications shall be made in the name of the LLP.</w:t>
      </w:r>
    </w:p>
    <w:p>
      <w:pPr>
        <w:pStyle w:val="Compact"/>
        <w:numPr>
          <w:ilvl w:val="0"/>
          <w:numId w:val="1018"/>
        </w:numPr>
      </w:pPr>
      <w:r>
        <w:t xml:space="preserve">Domain names shall be registered in the name of the LLP.</w:t>
      </w:r>
    </w:p>
    <w:p>
      <w:pPr>
        <w:pStyle w:val="Compact"/>
        <w:numPr>
          <w:ilvl w:val="0"/>
          <w:numId w:val="1018"/>
        </w:numPr>
      </w:pPr>
      <w:r>
        <w:t xml:space="preserve">Social media accounts shall be maintained under business-controlled accounts.</w:t>
      </w:r>
    </w:p>
    <w:p>
      <w:pPr>
        <w:pStyle w:val="Compact"/>
        <w:numPr>
          <w:ilvl w:val="0"/>
          <w:numId w:val="1018"/>
        </w:numPr>
      </w:pPr>
      <w:r>
        <w:t xml:space="preserve">The THYNK logo and brand assets shall be controlled by the LLP.</w:t>
      </w:r>
    </w:p>
    <w:p>
      <w:pPr>
        <w:pStyle w:val="FirstParagraph"/>
      </w:pPr>
      <w:r>
        <w:t xml:space="preserve">Neither Partner shall independently register, transfer, sell or commercially exploit the THYNK brand or confusingly similar branding for personal purposes.</w:t>
      </w:r>
    </w:p>
    <w:p>
      <w:r>
        <w:pict>
          <v:rect style="width:0;height:1.5pt" o:hralign="center" o:hrstd="t" o:hr="t"/>
        </w:pict>
      </w:r>
    </w:p>
    <w:bookmarkEnd w:id="42"/>
    <w:bookmarkStart w:id="43" w:name="digital-assets-and-online-accounts"/>
    <w:p>
      <w:pPr>
        <w:pStyle w:val="Heading1"/>
      </w:pPr>
      <w:r>
        <w:t xml:space="preserve">18. DIGITAL ASSETS AND ONLINE ACCOUNTS</w:t>
      </w:r>
    </w:p>
    <w:p>
      <w:pPr>
        <w:pStyle w:val="FirstParagraph"/>
      </w:pPr>
      <w:r>
        <w:t xml:space="preserve">All material digital assets created for THYNK shall be treated as LLP business assets.</w:t>
      </w:r>
    </w:p>
    <w:p>
      <w:pPr>
        <w:pStyle w:val="BodyText"/>
      </w:pPr>
      <w:r>
        <w:t xml:space="preserve">These may include:</w:t>
      </w:r>
    </w:p>
    <w:p>
      <w:pPr>
        <w:pStyle w:val="Compact"/>
        <w:numPr>
          <w:ilvl w:val="0"/>
          <w:numId w:val="1019"/>
        </w:numPr>
      </w:pPr>
      <w:r>
        <w:t xml:space="preserve">Website;</w:t>
      </w:r>
    </w:p>
    <w:p>
      <w:pPr>
        <w:pStyle w:val="Compact"/>
        <w:numPr>
          <w:ilvl w:val="0"/>
          <w:numId w:val="1019"/>
        </w:numPr>
      </w:pPr>
      <w:r>
        <w:t xml:space="preserve">Domain names;</w:t>
      </w:r>
    </w:p>
    <w:p>
      <w:pPr>
        <w:pStyle w:val="Compact"/>
        <w:numPr>
          <w:ilvl w:val="0"/>
          <w:numId w:val="1019"/>
        </w:numPr>
      </w:pPr>
      <w:r>
        <w:t xml:space="preserve">Email accounts;</w:t>
      </w:r>
    </w:p>
    <w:p>
      <w:pPr>
        <w:pStyle w:val="Compact"/>
        <w:numPr>
          <w:ilvl w:val="0"/>
          <w:numId w:val="1019"/>
        </w:numPr>
      </w:pPr>
      <w:r>
        <w:t xml:space="preserve">Social media accounts;</w:t>
      </w:r>
    </w:p>
    <w:p>
      <w:pPr>
        <w:pStyle w:val="Compact"/>
        <w:numPr>
          <w:ilvl w:val="0"/>
          <w:numId w:val="1019"/>
        </w:numPr>
      </w:pPr>
      <w:r>
        <w:t xml:space="preserve">Advertising accounts;</w:t>
      </w:r>
    </w:p>
    <w:p>
      <w:pPr>
        <w:pStyle w:val="Compact"/>
        <w:numPr>
          <w:ilvl w:val="0"/>
          <w:numId w:val="1019"/>
        </w:numPr>
      </w:pPr>
      <w:r>
        <w:t xml:space="preserve">Cloud storage;</w:t>
      </w:r>
    </w:p>
    <w:p>
      <w:pPr>
        <w:pStyle w:val="Compact"/>
        <w:numPr>
          <w:ilvl w:val="0"/>
          <w:numId w:val="1019"/>
        </w:numPr>
      </w:pPr>
      <w:r>
        <w:t xml:space="preserve">Learning management systems;</w:t>
      </w:r>
    </w:p>
    <w:p>
      <w:pPr>
        <w:pStyle w:val="Compact"/>
        <w:numPr>
          <w:ilvl w:val="0"/>
          <w:numId w:val="1019"/>
        </w:numPr>
      </w:pPr>
      <w:r>
        <w:t xml:space="preserve">Software accounts;</w:t>
      </w:r>
    </w:p>
    <w:p>
      <w:pPr>
        <w:pStyle w:val="Compact"/>
        <w:numPr>
          <w:ilvl w:val="0"/>
          <w:numId w:val="1019"/>
        </w:numPr>
      </w:pPr>
      <w:r>
        <w:t xml:space="preserve">Payment gateway accounts;</w:t>
      </w:r>
    </w:p>
    <w:p>
      <w:pPr>
        <w:pStyle w:val="Compact"/>
        <w:numPr>
          <w:ilvl w:val="0"/>
          <w:numId w:val="1019"/>
        </w:numPr>
      </w:pPr>
      <w:r>
        <w:t xml:space="preserve">Digital marketing accounts; and</w:t>
      </w:r>
    </w:p>
    <w:p>
      <w:pPr>
        <w:pStyle w:val="Compact"/>
        <w:numPr>
          <w:ilvl w:val="0"/>
          <w:numId w:val="1019"/>
        </w:numPr>
      </w:pPr>
      <w:r>
        <w:t xml:space="preserve">Other business technology platforms.</w:t>
      </w:r>
    </w:p>
    <w:p>
      <w:pPr>
        <w:pStyle w:val="FirstParagraph"/>
      </w:pPr>
      <w:r>
        <w:t xml:space="preserve">Both Partners shall have appropriate access to important business accounts, subject to reasonable security controls.</w:t>
      </w:r>
    </w:p>
    <w:p>
      <w:r>
        <w:pict>
          <v:rect style="width:0;height:1.5pt" o:hralign="center" o:hrstd="t" o:hr="t"/>
        </w:pict>
      </w:r>
    </w:p>
    <w:bookmarkEnd w:id="43"/>
    <w:bookmarkStart w:id="44" w:name="business-opportunities"/>
    <w:p>
      <w:pPr>
        <w:pStyle w:val="Heading1"/>
      </w:pPr>
      <w:r>
        <w:t xml:space="preserve">19. BUSINESS OPPORTUNITIES</w:t>
      </w:r>
    </w:p>
    <w:p>
      <w:pPr>
        <w:pStyle w:val="FirstParagraph"/>
      </w:pPr>
      <w:r>
        <w:t xml:space="preserve">Any business opportunity directly related to the activities of THYNK that is obtained through:</w:t>
      </w:r>
    </w:p>
    <w:p>
      <w:pPr>
        <w:pStyle w:val="Compact"/>
        <w:numPr>
          <w:ilvl w:val="0"/>
          <w:numId w:val="1020"/>
        </w:numPr>
      </w:pPr>
      <w:r>
        <w:t xml:space="preserve">THYNK’s brand;</w:t>
      </w:r>
    </w:p>
    <w:p>
      <w:pPr>
        <w:pStyle w:val="Compact"/>
        <w:numPr>
          <w:ilvl w:val="0"/>
          <w:numId w:val="1020"/>
        </w:numPr>
      </w:pPr>
      <w:r>
        <w:t xml:space="preserve">THYNK’s resources;</w:t>
      </w:r>
    </w:p>
    <w:p>
      <w:pPr>
        <w:pStyle w:val="Compact"/>
        <w:numPr>
          <w:ilvl w:val="0"/>
          <w:numId w:val="1020"/>
        </w:numPr>
      </w:pPr>
      <w:r>
        <w:t xml:space="preserve">THYNK’s customers;</w:t>
      </w:r>
    </w:p>
    <w:p>
      <w:pPr>
        <w:pStyle w:val="Compact"/>
        <w:numPr>
          <w:ilvl w:val="0"/>
          <w:numId w:val="1020"/>
        </w:numPr>
      </w:pPr>
      <w:r>
        <w:t xml:space="preserve">THYNK’s school relationships;</w:t>
      </w:r>
    </w:p>
    <w:p>
      <w:pPr>
        <w:pStyle w:val="Compact"/>
        <w:numPr>
          <w:ilvl w:val="0"/>
          <w:numId w:val="1020"/>
        </w:numPr>
      </w:pPr>
      <w:r>
        <w:t xml:space="preserve">THYNK’s institutional relationships;</w:t>
      </w:r>
    </w:p>
    <w:p>
      <w:pPr>
        <w:pStyle w:val="Compact"/>
        <w:numPr>
          <w:ilvl w:val="0"/>
          <w:numId w:val="1020"/>
        </w:numPr>
      </w:pPr>
      <w:r>
        <w:t xml:space="preserve">THYNK’s confidential information; or</w:t>
      </w:r>
    </w:p>
    <w:p>
      <w:pPr>
        <w:pStyle w:val="Compact"/>
        <w:numPr>
          <w:ilvl w:val="0"/>
          <w:numId w:val="1020"/>
        </w:numPr>
      </w:pPr>
      <w:r>
        <w:t xml:space="preserve">THYNK’s business activities</w:t>
      </w:r>
    </w:p>
    <w:p>
      <w:pPr>
        <w:pStyle w:val="FirstParagraph"/>
      </w:pPr>
      <w:r>
        <w:t xml:space="preserve">shall be treated as a business opportunity of the LLP.</w:t>
      </w:r>
    </w:p>
    <w:p>
      <w:pPr>
        <w:pStyle w:val="BodyText"/>
      </w:pPr>
      <w:r>
        <w:t xml:space="preserve">Neither Partner shall knowingly divert a material THYNK business opportunity for personal benefit without informing the other Partner and obtaining the required consent.</w:t>
      </w:r>
    </w:p>
    <w:p>
      <w:r>
        <w:pict>
          <v:rect style="width:0;height:1.5pt" o:hralign="center" o:hrstd="t" o:hr="t"/>
        </w:pict>
      </w:r>
    </w:p>
    <w:bookmarkEnd w:id="44"/>
    <w:bookmarkStart w:id="45" w:name="confidentiality"/>
    <w:p>
      <w:pPr>
        <w:pStyle w:val="Heading1"/>
      </w:pPr>
      <w:r>
        <w:t xml:space="preserve">20. CONFIDENTIALITY</w:t>
      </w:r>
    </w:p>
    <w:p>
      <w:pPr>
        <w:pStyle w:val="FirstParagraph"/>
      </w:pPr>
      <w:r>
        <w:t xml:space="preserve">Both Partners shall maintain strict confidentiality regarding the affairs of THYNK Edutech LLP.</w:t>
      </w:r>
    </w:p>
    <w:p>
      <w:pPr>
        <w:pStyle w:val="BodyText"/>
      </w:pPr>
      <w:r>
        <w:t xml:space="preserve">Confidential information shall include, without limitation:</w:t>
      </w:r>
    </w:p>
    <w:p>
      <w:pPr>
        <w:pStyle w:val="Compact"/>
        <w:numPr>
          <w:ilvl w:val="0"/>
          <w:numId w:val="1021"/>
        </w:numPr>
      </w:pPr>
      <w:r>
        <w:t xml:space="preserve">Student information;</w:t>
      </w:r>
    </w:p>
    <w:p>
      <w:pPr>
        <w:pStyle w:val="Compact"/>
        <w:numPr>
          <w:ilvl w:val="0"/>
          <w:numId w:val="1021"/>
        </w:numPr>
      </w:pPr>
      <w:r>
        <w:t xml:space="preserve">Parent information;</w:t>
      </w:r>
    </w:p>
    <w:p>
      <w:pPr>
        <w:pStyle w:val="Compact"/>
        <w:numPr>
          <w:ilvl w:val="0"/>
          <w:numId w:val="1021"/>
        </w:numPr>
      </w:pPr>
      <w:r>
        <w:t xml:space="preserve">School information;</w:t>
      </w:r>
    </w:p>
    <w:p>
      <w:pPr>
        <w:pStyle w:val="Compact"/>
        <w:numPr>
          <w:ilvl w:val="0"/>
          <w:numId w:val="1021"/>
        </w:numPr>
      </w:pPr>
      <w:r>
        <w:t xml:space="preserve">Institutional contracts;</w:t>
      </w:r>
    </w:p>
    <w:p>
      <w:pPr>
        <w:pStyle w:val="Compact"/>
        <w:numPr>
          <w:ilvl w:val="0"/>
          <w:numId w:val="1021"/>
        </w:numPr>
      </w:pPr>
      <w:r>
        <w:t xml:space="preserve">Pricing;</w:t>
      </w:r>
    </w:p>
    <w:p>
      <w:pPr>
        <w:pStyle w:val="Compact"/>
        <w:numPr>
          <w:ilvl w:val="0"/>
          <w:numId w:val="1021"/>
        </w:numPr>
      </w:pPr>
      <w:r>
        <w:t xml:space="preserve">Revenue;</w:t>
      </w:r>
    </w:p>
    <w:p>
      <w:pPr>
        <w:pStyle w:val="Compact"/>
        <w:numPr>
          <w:ilvl w:val="0"/>
          <w:numId w:val="1021"/>
        </w:numPr>
      </w:pPr>
      <w:r>
        <w:t xml:space="preserve">Financial information;</w:t>
      </w:r>
    </w:p>
    <w:p>
      <w:pPr>
        <w:pStyle w:val="Compact"/>
        <w:numPr>
          <w:ilvl w:val="0"/>
          <w:numId w:val="1021"/>
        </w:numPr>
      </w:pPr>
      <w:r>
        <w:t xml:space="preserve">Curriculum;</w:t>
      </w:r>
    </w:p>
    <w:p>
      <w:pPr>
        <w:pStyle w:val="Compact"/>
        <w:numPr>
          <w:ilvl w:val="0"/>
          <w:numId w:val="1021"/>
        </w:numPr>
      </w:pPr>
      <w:r>
        <w:t xml:space="preserve">Course content;</w:t>
      </w:r>
    </w:p>
    <w:p>
      <w:pPr>
        <w:pStyle w:val="Compact"/>
        <w:numPr>
          <w:ilvl w:val="0"/>
          <w:numId w:val="1021"/>
        </w:numPr>
      </w:pPr>
      <w:r>
        <w:t xml:space="preserve">Educational methodologies;</w:t>
      </w:r>
    </w:p>
    <w:p>
      <w:pPr>
        <w:pStyle w:val="Compact"/>
        <w:numPr>
          <w:ilvl w:val="0"/>
          <w:numId w:val="1021"/>
        </w:numPr>
      </w:pPr>
      <w:r>
        <w:t xml:space="preserve">Business plans;</w:t>
      </w:r>
    </w:p>
    <w:p>
      <w:pPr>
        <w:pStyle w:val="Compact"/>
        <w:numPr>
          <w:ilvl w:val="0"/>
          <w:numId w:val="1021"/>
        </w:numPr>
      </w:pPr>
      <w:r>
        <w:t xml:space="preserve">Marketing strategies;</w:t>
      </w:r>
    </w:p>
    <w:p>
      <w:pPr>
        <w:pStyle w:val="Compact"/>
        <w:numPr>
          <w:ilvl w:val="0"/>
          <w:numId w:val="1021"/>
        </w:numPr>
      </w:pPr>
      <w:r>
        <w:t xml:space="preserve">Customer information;</w:t>
      </w:r>
    </w:p>
    <w:p>
      <w:pPr>
        <w:pStyle w:val="Compact"/>
        <w:numPr>
          <w:ilvl w:val="0"/>
          <w:numId w:val="1021"/>
        </w:numPr>
      </w:pPr>
      <w:r>
        <w:t xml:space="preserve">Vendor information;</w:t>
      </w:r>
    </w:p>
    <w:p>
      <w:pPr>
        <w:pStyle w:val="Compact"/>
        <w:numPr>
          <w:ilvl w:val="0"/>
          <w:numId w:val="1021"/>
        </w:numPr>
      </w:pPr>
      <w:r>
        <w:t xml:space="preserve">Technology;</w:t>
      </w:r>
    </w:p>
    <w:p>
      <w:pPr>
        <w:pStyle w:val="Compact"/>
        <w:numPr>
          <w:ilvl w:val="0"/>
          <w:numId w:val="1021"/>
        </w:numPr>
      </w:pPr>
      <w:r>
        <w:t xml:space="preserve">Software;</w:t>
      </w:r>
    </w:p>
    <w:p>
      <w:pPr>
        <w:pStyle w:val="Compact"/>
        <w:numPr>
          <w:ilvl w:val="0"/>
          <w:numId w:val="1021"/>
        </w:numPr>
      </w:pPr>
      <w:r>
        <w:t xml:space="preserve">Passwords;</w:t>
      </w:r>
    </w:p>
    <w:p>
      <w:pPr>
        <w:pStyle w:val="Compact"/>
        <w:numPr>
          <w:ilvl w:val="0"/>
          <w:numId w:val="1021"/>
        </w:numPr>
      </w:pPr>
      <w:r>
        <w:t xml:space="preserve">Access credentials;</w:t>
      </w:r>
    </w:p>
    <w:p>
      <w:pPr>
        <w:pStyle w:val="Compact"/>
        <w:numPr>
          <w:ilvl w:val="0"/>
          <w:numId w:val="1021"/>
        </w:numPr>
      </w:pPr>
      <w:r>
        <w:t xml:space="preserve">Future product plans; and</w:t>
      </w:r>
    </w:p>
    <w:p>
      <w:pPr>
        <w:pStyle w:val="Compact"/>
        <w:numPr>
          <w:ilvl w:val="0"/>
          <w:numId w:val="1021"/>
        </w:numPr>
      </w:pPr>
      <w:r>
        <w:t xml:space="preserve">Other confidential business information.</w:t>
      </w:r>
    </w:p>
    <w:p>
      <w:pPr>
        <w:pStyle w:val="FirstParagraph"/>
      </w:pPr>
      <w:r>
        <w:t xml:space="preserve">Neither Partner shall disclose or use confidential information for purposes unrelated to the LLP without appropriate authorisation.</w:t>
      </w:r>
    </w:p>
    <w:p>
      <w:pPr>
        <w:pStyle w:val="BodyText"/>
      </w:pPr>
      <w:r>
        <w:t xml:space="preserve">This obligation shall continue after a Partner leaves the LLP.</w:t>
      </w:r>
    </w:p>
    <w:p>
      <w:r>
        <w:pict>
          <v:rect style="width:0;height:1.5pt" o:hralign="center" o:hrstd="t" o:hr="t"/>
        </w:pict>
      </w:r>
    </w:p>
    <w:bookmarkEnd w:id="45"/>
    <w:bookmarkStart w:id="46" w:name="data-protection"/>
    <w:p>
      <w:pPr>
        <w:pStyle w:val="Heading1"/>
      </w:pPr>
      <w:r>
        <w:t xml:space="preserve">21. DATA PROTECTION</w:t>
      </w:r>
    </w:p>
    <w:p>
      <w:pPr>
        <w:pStyle w:val="FirstParagraph"/>
      </w:pPr>
      <w:r>
        <w:t xml:space="preserve">The Partners shall take reasonable steps to protect student, parent, school, employee, vendor and other business data handled by the LLP.</w:t>
      </w:r>
    </w:p>
    <w:p>
      <w:pPr>
        <w:pStyle w:val="BodyText"/>
      </w:pPr>
      <w:r>
        <w:t xml:space="preserve">Personal information shall be used and stored only for legitimate business purposes and in accordance with applicable laws and contractual obligations.</w:t>
      </w:r>
    </w:p>
    <w:p>
      <w:r>
        <w:pict>
          <v:rect style="width:0;height:1.5pt" o:hralign="center" o:hrstd="t" o:hr="t"/>
        </w:pict>
      </w:r>
    </w:p>
    <w:bookmarkEnd w:id="46"/>
    <w:bookmarkStart w:id="47" w:name="conflict-of-interest"/>
    <w:p>
      <w:pPr>
        <w:pStyle w:val="Heading1"/>
      </w:pPr>
      <w:r>
        <w:t xml:space="preserve">22. CONFLICT OF INTEREST</w:t>
      </w:r>
    </w:p>
    <w:p>
      <w:pPr>
        <w:pStyle w:val="FirstParagraph"/>
      </w:pPr>
      <w:r>
        <w:t xml:space="preserve">Each Partner shall disclose any material business activity, financial interest or relationship that may create a conflict with THYNK Edutech LLP.</w:t>
      </w:r>
    </w:p>
    <w:p>
      <w:pPr>
        <w:pStyle w:val="BodyText"/>
      </w:pPr>
      <w:r>
        <w:t xml:space="preserve">Neither Partner shall knowingly use THYNK’s confidential information, intellectual property, business resources or business relationships for a competing business.</w:t>
      </w:r>
    </w:p>
    <w:p>
      <w:r>
        <w:pict>
          <v:rect style="width:0;height:1.5pt" o:hralign="center" o:hrstd="t" o:hr="t"/>
        </w:pict>
      </w:r>
    </w:p>
    <w:bookmarkEnd w:id="47"/>
    <w:bookmarkStart w:id="48" w:name="admission-of-new-partners"/>
    <w:p>
      <w:pPr>
        <w:pStyle w:val="Heading1"/>
      </w:pPr>
      <w:r>
        <w:t xml:space="preserve">23. ADMISSION OF NEW PARTNERS</w:t>
      </w:r>
    </w:p>
    <w:p>
      <w:pPr>
        <w:pStyle w:val="FirstParagraph"/>
      </w:pPr>
      <w:r>
        <w:t xml:space="preserve">No person shall be admitted as a Partner of THYNK Edutech LLP without the written consent of both existing Partners.</w:t>
      </w:r>
    </w:p>
    <w:p>
      <w:pPr>
        <w:pStyle w:val="BodyText"/>
      </w:pPr>
      <w:r>
        <w:t xml:space="preserve">The admission of a new Partner shall be documented through appropriate amendments to the LLP Agreement and related records.</w:t>
      </w:r>
    </w:p>
    <w:p>
      <w:r>
        <w:pict>
          <v:rect style="width:0;height:1.5pt" o:hralign="center" o:hrstd="t" o:hr="t"/>
        </w:pict>
      </w:r>
    </w:p>
    <w:bookmarkEnd w:id="48"/>
    <w:bookmarkStart w:id="49" w:name="transfer-of-partnership-interest"/>
    <w:p>
      <w:pPr>
        <w:pStyle w:val="Heading1"/>
      </w:pPr>
      <w:r>
        <w:t xml:space="preserve">24. TRANSFER OF PARTNERSHIP INTEREST</w:t>
      </w:r>
    </w:p>
    <w:p>
      <w:pPr>
        <w:pStyle w:val="FirstParagraph"/>
      </w:pPr>
      <w:r>
        <w:t xml:space="preserve">Neither Partner shall sell, assign, transfer, pledge or otherwise dispose of their interest in the LLP to a third party without complying with the LLP Agreement and obtaining the required consent.</w:t>
      </w:r>
    </w:p>
    <w:p>
      <w:pPr>
        <w:pStyle w:val="BodyText"/>
      </w:pPr>
      <w:r>
        <w:t xml:space="preserve">The continuing Partner shall, where applicable, have a first opportunity to acquire the outgoing Partner’s interest on mutually agreed terms.</w:t>
      </w:r>
    </w:p>
    <w:p>
      <w:r>
        <w:pict>
          <v:rect style="width:0;height:1.5pt" o:hralign="center" o:hrstd="t" o:hr="t"/>
        </w:pict>
      </w:r>
    </w:p>
    <w:bookmarkEnd w:id="49"/>
    <w:bookmarkStart w:id="50" w:name="exit-retirement-of-a-partner"/>
    <w:p>
      <w:pPr>
        <w:pStyle w:val="Heading1"/>
      </w:pPr>
      <w:r>
        <w:t xml:space="preserve">25. EXIT / RETIREMENT OF A PARTNER</w:t>
      </w:r>
    </w:p>
    <w:p>
      <w:pPr>
        <w:pStyle w:val="FirstParagraph"/>
      </w:pPr>
      <w:r>
        <w:t xml:space="preserve">Either Partner may voluntarily retire or exit from the LLP by providing written notice of ______ days to the other Partner.</w:t>
      </w:r>
    </w:p>
    <w:p>
      <w:pPr>
        <w:pStyle w:val="BodyText"/>
      </w:pPr>
      <w:r>
        <w:t xml:space="preserve">The outgoing Partner’s financial settlement shall be determined using a valuation mechanism agreed and documented in the LLP Agreement.</w:t>
      </w:r>
    </w:p>
    <w:p>
      <w:pPr>
        <w:pStyle w:val="BodyText"/>
      </w:pPr>
      <w:r>
        <w:t xml:space="preserve">The valuation may take into consideration, as applicable:</w:t>
      </w:r>
    </w:p>
    <w:p>
      <w:pPr>
        <w:pStyle w:val="Compact"/>
        <w:numPr>
          <w:ilvl w:val="0"/>
          <w:numId w:val="1022"/>
        </w:numPr>
      </w:pPr>
      <w:r>
        <w:t xml:space="preserve">Business assets;</w:t>
      </w:r>
    </w:p>
    <w:p>
      <w:pPr>
        <w:pStyle w:val="Compact"/>
        <w:numPr>
          <w:ilvl w:val="0"/>
          <w:numId w:val="1022"/>
        </w:numPr>
      </w:pPr>
      <w:r>
        <w:t xml:space="preserve">Outstanding liabilities;</w:t>
      </w:r>
    </w:p>
    <w:p>
      <w:pPr>
        <w:pStyle w:val="Compact"/>
        <w:numPr>
          <w:ilvl w:val="0"/>
          <w:numId w:val="1022"/>
        </w:numPr>
      </w:pPr>
      <w:r>
        <w:t xml:space="preserve">Revenue;</w:t>
      </w:r>
    </w:p>
    <w:p>
      <w:pPr>
        <w:pStyle w:val="Compact"/>
        <w:numPr>
          <w:ilvl w:val="0"/>
          <w:numId w:val="1022"/>
        </w:numPr>
      </w:pPr>
      <w:r>
        <w:t xml:space="preserve">Profitability;</w:t>
      </w:r>
    </w:p>
    <w:p>
      <w:pPr>
        <w:pStyle w:val="Compact"/>
        <w:numPr>
          <w:ilvl w:val="0"/>
          <w:numId w:val="1022"/>
        </w:numPr>
      </w:pPr>
      <w:r>
        <w:t xml:space="preserve">Goodwill;</w:t>
      </w:r>
    </w:p>
    <w:p>
      <w:pPr>
        <w:pStyle w:val="Compact"/>
        <w:numPr>
          <w:ilvl w:val="0"/>
          <w:numId w:val="1022"/>
        </w:numPr>
      </w:pPr>
      <w:r>
        <w:t xml:space="preserve">Intellectual property;</w:t>
      </w:r>
    </w:p>
    <w:p>
      <w:pPr>
        <w:pStyle w:val="Compact"/>
        <w:numPr>
          <w:ilvl w:val="0"/>
          <w:numId w:val="1022"/>
        </w:numPr>
      </w:pPr>
      <w:r>
        <w:t xml:space="preserve">Brand value;</w:t>
      </w:r>
    </w:p>
    <w:p>
      <w:pPr>
        <w:pStyle w:val="Compact"/>
        <w:numPr>
          <w:ilvl w:val="0"/>
          <w:numId w:val="1022"/>
        </w:numPr>
      </w:pPr>
      <w:r>
        <w:t xml:space="preserve">Customer relationships;</w:t>
      </w:r>
    </w:p>
    <w:p>
      <w:pPr>
        <w:pStyle w:val="Compact"/>
        <w:numPr>
          <w:ilvl w:val="0"/>
          <w:numId w:val="1022"/>
        </w:numPr>
      </w:pPr>
      <w:r>
        <w:t xml:space="preserve">School/institution contracts; and</w:t>
      </w:r>
    </w:p>
    <w:p>
      <w:pPr>
        <w:pStyle w:val="Compact"/>
        <w:numPr>
          <w:ilvl w:val="0"/>
          <w:numId w:val="1022"/>
        </w:numPr>
      </w:pPr>
      <w:r>
        <w:t xml:space="preserve">Other relevant business factors.</w:t>
      </w:r>
    </w:p>
    <w:p>
      <w:pPr>
        <w:pStyle w:val="FirstParagraph"/>
      </w:pPr>
      <w:r>
        <w:t xml:space="preserve">The exact valuation methodology should be expressly defined in the LLP Agreement.</w:t>
      </w:r>
    </w:p>
    <w:p>
      <w:r>
        <w:pict>
          <v:rect style="width:0;height:1.5pt" o:hralign="center" o:hrstd="t" o:hr="t"/>
        </w:pict>
      </w:r>
    </w:p>
    <w:bookmarkEnd w:id="50"/>
    <w:bookmarkStart w:id="51" w:name="right-of-first-offer-first-refusal"/>
    <w:p>
      <w:pPr>
        <w:pStyle w:val="Heading1"/>
      </w:pPr>
      <w:r>
        <w:t xml:space="preserve">26. RIGHT OF FIRST OFFER / FIRST REFUSAL</w:t>
      </w:r>
    </w:p>
    <w:p>
      <w:pPr>
        <w:pStyle w:val="FirstParagraph"/>
      </w:pPr>
      <w:r>
        <w:t xml:space="preserve">If either Partner proposes to transfer or sell their interest in the LLP, the other Partner shall have the first opportunity to acquire such interest before it is offered to an unrelated third party, subject to applicable law and the LLP Agreement.</w:t>
      </w:r>
    </w:p>
    <w:p>
      <w:pPr>
        <w:pStyle w:val="BodyText"/>
      </w:pPr>
      <w:r>
        <w:t xml:space="preserve">The commercial terms and valuation shall be mutually agreed or determined according to the valuation mechanism specified in the LLP Agreement.</w:t>
      </w:r>
    </w:p>
    <w:p>
      <w:r>
        <w:pict>
          <v:rect style="width:0;height:1.5pt" o:hralign="center" o:hrstd="t" o:hr="t"/>
        </w:pict>
      </w:r>
    </w:p>
    <w:bookmarkEnd w:id="51"/>
    <w:bookmarkStart w:id="52" w:name="death-or-permanent-incapacity"/>
    <w:p>
      <w:pPr>
        <w:pStyle w:val="Heading1"/>
      </w:pPr>
      <w:r>
        <w:t xml:space="preserve">27. DEATH OR PERMANENT INCAPACITY</w:t>
      </w:r>
    </w:p>
    <w:p>
      <w:pPr>
        <w:pStyle w:val="FirstParagraph"/>
      </w:pPr>
      <w:r>
        <w:t xml:space="preserve">In the event of death or permanent incapacity of either Partner, the rights and financial interests of the affected Partner and/or their legal heirs shall be dealt with in accordance with the LLP Agreement and applicable law.</w:t>
      </w:r>
    </w:p>
    <w:p>
      <w:pPr>
        <w:pStyle w:val="BodyText"/>
      </w:pPr>
      <w:r>
        <w:t xml:space="preserve">The Partners intend that the LLP Agreement shall contain appropriate provisions to ensure:</w:t>
      </w:r>
    </w:p>
    <w:p>
      <w:pPr>
        <w:pStyle w:val="Compact"/>
        <w:numPr>
          <w:ilvl w:val="0"/>
          <w:numId w:val="1023"/>
        </w:numPr>
      </w:pPr>
      <w:r>
        <w:t xml:space="preserve">Continuity of the business;</w:t>
      </w:r>
    </w:p>
    <w:p>
      <w:pPr>
        <w:pStyle w:val="Compact"/>
        <w:numPr>
          <w:ilvl w:val="0"/>
          <w:numId w:val="1023"/>
        </w:numPr>
      </w:pPr>
      <w:r>
        <w:t xml:space="preserve">Fair valuation of the affected Partner’s interest; and</w:t>
      </w:r>
    </w:p>
    <w:p>
      <w:pPr>
        <w:pStyle w:val="Compact"/>
        <w:numPr>
          <w:ilvl w:val="0"/>
          <w:numId w:val="1023"/>
        </w:numPr>
      </w:pPr>
      <w:r>
        <w:t xml:space="preserve">Appropriate settlement with the legal heirs, where applicable.</w:t>
      </w:r>
    </w:p>
    <w:p>
      <w:r>
        <w:pict>
          <v:rect style="width:0;height:1.5pt" o:hralign="center" o:hrstd="t" o:hr="t"/>
        </w:pict>
      </w:r>
    </w:p>
    <w:bookmarkEnd w:id="52"/>
    <w:bookmarkStart w:id="53" w:name="Xc0e5b29e4e573bf888ba3d5bef3b7360fc14abb"/>
    <w:p>
      <w:pPr>
        <w:pStyle w:val="Heading1"/>
      </w:pPr>
      <w:r>
        <w:t xml:space="preserve">28. NON-SOLICITATION AND PROTECTION OF BUSINESS INTERESTS</w:t>
      </w:r>
    </w:p>
    <w:p>
      <w:pPr>
        <w:pStyle w:val="FirstParagraph"/>
      </w:pPr>
      <w:r>
        <w:t xml:space="preserve">To the extent permitted by applicable law, neither Partner shall knowingly use confidential THYNK information to solicit THYNK’s employees, contractors, schools, customers or business partners for a competing business.</w:t>
      </w:r>
    </w:p>
    <w:p>
      <w:pPr>
        <w:pStyle w:val="BodyText"/>
      </w:pPr>
      <w:r>
        <w:t xml:space="preserve">Any restriction after a Partner’s exit shall be reasonable and shall be documented in accordance with applicable law.</w:t>
      </w:r>
    </w:p>
    <w:p>
      <w:r>
        <w:pict>
          <v:rect style="width:0;height:1.5pt" o:hralign="center" o:hrstd="t" o:hr="t"/>
        </w:pict>
      </w:r>
    </w:p>
    <w:bookmarkEnd w:id="53"/>
    <w:bookmarkStart w:id="54" w:name="insurance-and-risk-management"/>
    <w:p>
      <w:pPr>
        <w:pStyle w:val="Heading1"/>
      </w:pPr>
      <w:r>
        <w:t xml:space="preserve">29. INSURANCE AND RISK MANAGEMENT</w:t>
      </w:r>
    </w:p>
    <w:p>
      <w:pPr>
        <w:pStyle w:val="FirstParagraph"/>
      </w:pPr>
      <w:r>
        <w:t xml:space="preserve">The Partners may, where appropriate, obtain insurance policies for the protection of the LLP, its assets, employees, activities and other business risks.</w:t>
      </w:r>
    </w:p>
    <w:p>
      <w:pPr>
        <w:pStyle w:val="BodyText"/>
      </w:pPr>
      <w:r>
        <w:t xml:space="preserve">The type and extent of insurance shall be mutually determined based on the requirements of the business.</w:t>
      </w:r>
    </w:p>
    <w:p>
      <w:r>
        <w:pict>
          <v:rect style="width:0;height:1.5pt" o:hralign="center" o:hrstd="t" o:hr="t"/>
        </w:pict>
      </w:r>
    </w:p>
    <w:bookmarkEnd w:id="54"/>
    <w:bookmarkStart w:id="55" w:name="compliance"/>
    <w:p>
      <w:pPr>
        <w:pStyle w:val="Heading1"/>
      </w:pPr>
      <w:r>
        <w:t xml:space="preserve">30. COMPLIANCE</w:t>
      </w:r>
    </w:p>
    <w:p>
      <w:pPr>
        <w:pStyle w:val="FirstParagraph"/>
      </w:pPr>
      <w:r>
        <w:t xml:space="preserve">The LLP shall endeavour to comply with all applicable laws, regulations, registrations, tax requirements and statutory obligations relevant to its business activities.</w:t>
      </w:r>
    </w:p>
    <w:p>
      <w:pPr>
        <w:pStyle w:val="BodyText"/>
      </w:pPr>
      <w:r>
        <w:t xml:space="preserve">The Partners may appoint qualified professionals, including Chartered Accountants, Company Secretaries, lawyers and other advisors, to assist with statutory and regulatory compliance.</w:t>
      </w:r>
    </w:p>
    <w:p>
      <w:r>
        <w:pict>
          <v:rect style="width:0;height:1.5pt" o:hralign="center" o:hrstd="t" o:hr="t"/>
        </w:pict>
      </w:r>
    </w:p>
    <w:bookmarkEnd w:id="55"/>
    <w:bookmarkStart w:id="56" w:name="dispute-resolution"/>
    <w:p>
      <w:pPr>
        <w:pStyle w:val="Heading1"/>
      </w:pPr>
      <w:r>
        <w:t xml:space="preserve">31. DISPUTE RESOLUTION</w:t>
      </w:r>
    </w:p>
    <w:p>
      <w:pPr>
        <w:pStyle w:val="FirstParagraph"/>
      </w:pPr>
      <w:r>
        <w:t xml:space="preserve">The Partners shall first attempt to resolve any dispute arising between them through mutual discussion and good-faith negotiation.</w:t>
      </w:r>
    </w:p>
    <w:p>
      <w:pPr>
        <w:pStyle w:val="BodyText"/>
      </w:pPr>
      <w:r>
        <w:t xml:space="preserve">If the dispute cannot be resolved through mutual discussion, the Partners may attempt mediation.</w:t>
      </w:r>
    </w:p>
    <w:p>
      <w:pPr>
        <w:pStyle w:val="BodyText"/>
      </w:pPr>
      <w:r>
        <w:t xml:space="preserve">If mediation is unsuccessful, the dispute may be referred to arbitration in accordance with applicable Indian law and the provisions of the formal LLP Agreement.</w:t>
      </w:r>
    </w:p>
    <w:p>
      <w:pPr>
        <w:pStyle w:val="BodyText"/>
      </w:pPr>
      <w:r>
        <w:t xml:space="preserve">The proposed seat/place of arbitration shall be</w:t>
      </w:r>
      <w:r>
        <w:t xml:space="preserve"> </w:t>
      </w:r>
      <w:r>
        <w:rPr>
          <w:b/>
          <w:bCs/>
        </w:rPr>
        <w:t xml:space="preserve">Mumbai, Maharashtra</w:t>
      </w:r>
      <w:r>
        <w:t xml:space="preserve">, unless otherwise mutually agreed.</w:t>
      </w:r>
    </w:p>
    <w:p>
      <w:r>
        <w:pict>
          <v:rect style="width:0;height:1.5pt" o:hralign="center" o:hrstd="t" o:hr="t"/>
        </w:pict>
      </w:r>
    </w:p>
    <w:bookmarkEnd w:id="56"/>
    <w:bookmarkStart w:id="57" w:name="governing-law"/>
    <w:p>
      <w:pPr>
        <w:pStyle w:val="Heading1"/>
      </w:pPr>
      <w:r>
        <w:t xml:space="preserve">32. GOVERNING LAW</w:t>
      </w:r>
    </w:p>
    <w:p>
      <w:pPr>
        <w:pStyle w:val="FirstParagraph"/>
      </w:pPr>
      <w:r>
        <w:t xml:space="preserve">This MOU shall be governed by and interpreted in accordance with the laws of India.</w:t>
      </w:r>
    </w:p>
    <w:p>
      <w:r>
        <w:pict>
          <v:rect style="width:0;height:1.5pt" o:hralign="center" o:hrstd="t" o:hr="t"/>
        </w:pict>
      </w:r>
    </w:p>
    <w:bookmarkEnd w:id="57"/>
    <w:bookmarkStart w:id="58" w:name="amendments"/>
    <w:p>
      <w:pPr>
        <w:pStyle w:val="Heading1"/>
      </w:pPr>
      <w:r>
        <w:t xml:space="preserve">33. AMENDMENTS</w:t>
      </w:r>
    </w:p>
    <w:p>
      <w:pPr>
        <w:pStyle w:val="FirstParagraph"/>
      </w:pPr>
      <w:r>
        <w:t xml:space="preserve">Any amendment, modification or addition to this MOU shall be made in writing and signed by both Partners.</w:t>
      </w:r>
    </w:p>
    <w:p>
      <w:r>
        <w:pict>
          <v:rect style="width:0;height:1.5pt" o:hralign="center" o:hrstd="t" o:hr="t"/>
        </w:pict>
      </w:r>
    </w:p>
    <w:bookmarkEnd w:id="58"/>
    <w:bookmarkStart w:id="59" w:name="formal-llp-agreement"/>
    <w:p>
      <w:pPr>
        <w:pStyle w:val="Heading1"/>
      </w:pPr>
      <w:r>
        <w:t xml:space="preserve">34. FORMAL LLP AGREEMENT</w:t>
      </w:r>
    </w:p>
    <w:p>
      <w:pPr>
        <w:pStyle w:val="FirstParagraph"/>
      </w:pPr>
      <w:r>
        <w:t xml:space="preserve">The Partners acknowledge that this MOU records their present understanding and intention regarding the operation of THYNK Edutech LLP.</w:t>
      </w:r>
    </w:p>
    <w:p>
      <w:pPr>
        <w:pStyle w:val="BodyText"/>
      </w:pPr>
      <w:r>
        <w:t xml:space="preserve">Following incorporation and registration of the LLP, the Partners shall execute a formal</w:t>
      </w:r>
      <w:r>
        <w:t xml:space="preserve"> </w:t>
      </w:r>
      <w:r>
        <w:rPr>
          <w:b/>
          <w:bCs/>
        </w:rPr>
        <w:t xml:space="preserve">LLP Agreement</w:t>
      </w:r>
      <w:r>
        <w:t xml:space="preserve"> </w:t>
      </w:r>
      <w:r>
        <w:t xml:space="preserve">containing detailed provisions governing the rights, duties, responsibilities, remuneration, profit sharing, exit, transfer, dispute resolution and other matters relating to the LLP.</w:t>
      </w:r>
    </w:p>
    <w:p>
      <w:pPr>
        <w:pStyle w:val="BodyText"/>
      </w:pPr>
      <w:r>
        <w:t xml:space="preserve">Where any provision of this MOU conflicts with the executed LLP Agreement, the LLP Agreement shall prevail to the extent permitted by applicable law.</w:t>
      </w:r>
    </w:p>
    <w:p>
      <w:r>
        <w:pict>
          <v:rect style="width:0;height:1.5pt" o:hralign="center" o:hrstd="t" o:hr="t"/>
        </w:pict>
      </w:r>
    </w:p>
    <w:bookmarkEnd w:id="59"/>
    <w:bookmarkStart w:id="60" w:name="good-faith"/>
    <w:p>
      <w:pPr>
        <w:pStyle w:val="Heading1"/>
      </w:pPr>
      <w:r>
        <w:t xml:space="preserve">35. GOOD FAITH</w:t>
      </w:r>
    </w:p>
    <w:p>
      <w:pPr>
        <w:pStyle w:val="FirstParagraph"/>
      </w:pPr>
      <w:r>
        <w:t xml:space="preserve">Both Partners agree to conduct themselves in good faith and in the best interests of THYNK Edutech LLP.</w:t>
      </w:r>
    </w:p>
    <w:p>
      <w:pPr>
        <w:pStyle w:val="BodyText"/>
      </w:pPr>
      <w:r>
        <w:t xml:space="preserve">The Partners shall endeavour to maintain transparency, mutual respect, open communication and fairness in all material matters relating to the LLP.</w:t>
      </w:r>
    </w:p>
    <w:p>
      <w:r>
        <w:pict>
          <v:rect style="width:0;height:1.5pt" o:hralign="center" o:hrstd="t" o:hr="t"/>
        </w:pict>
      </w:r>
    </w:p>
    <w:bookmarkEnd w:id="60"/>
    <w:bookmarkStart w:id="61" w:name="entire-understanding"/>
    <w:p>
      <w:pPr>
        <w:pStyle w:val="Heading1"/>
      </w:pPr>
      <w:r>
        <w:t xml:space="preserve">36. ENTIRE UNDERSTANDING</w:t>
      </w:r>
    </w:p>
    <w:p>
      <w:pPr>
        <w:pStyle w:val="FirstParagraph"/>
      </w:pPr>
      <w:r>
        <w:t xml:space="preserve">This MOU represents the current understanding between the Partners regarding the establishment and operation of THYNK Edutech LLP.</w:t>
      </w:r>
    </w:p>
    <w:p>
      <w:pPr>
        <w:pStyle w:val="BodyText"/>
      </w:pPr>
      <w:r>
        <w:t xml:space="preserve">Any matter not specifically addressed in this MOU shall be dealt with through mutual agreement and, where appropriate, incorporated into the formal LLP Agreement.</w:t>
      </w:r>
    </w:p>
    <w:p>
      <w:r>
        <w:pict>
          <v:rect style="width:0;height:1.5pt" o:hralign="center" o:hrstd="t" o:hr="t"/>
        </w:pict>
      </w:r>
    </w:p>
    <w:bookmarkEnd w:id="61"/>
    <w:bookmarkStart w:id="66" w:name="signatures"/>
    <w:p>
      <w:pPr>
        <w:pStyle w:val="Heading1"/>
      </w:pPr>
      <w:r>
        <w:t xml:space="preserve">37. SIGNATURES</w:t>
      </w:r>
    </w:p>
    <w:p>
      <w:pPr>
        <w:pStyle w:val="FirstParagraph"/>
      </w:pPr>
      <w:r>
        <w:t xml:space="preserve">IN WITNESS WHEREOF, the Partners have read, understood and voluntarily agreed to the terms of this MOU and have executed the same on the date and place mentioned above.</w:t>
      </w:r>
    </w:p>
    <w:bookmarkStart w:id="62" w:name="partner-1-1"/>
    <w:p>
      <w:pPr>
        <w:pStyle w:val="Heading2"/>
      </w:pPr>
      <w:r>
        <w:t xml:space="preserve">PARTNER 1</w:t>
      </w:r>
    </w:p>
    <w:p>
      <w:pPr>
        <w:pStyle w:val="FirstParagraph"/>
      </w:pPr>
      <w:r>
        <w:rPr>
          <w:b/>
          <w:bCs/>
        </w:rPr>
        <w:t xml:space="preserve">Name:</w:t>
      </w:r>
      <w:r>
        <w:t xml:space="preserve"> </w:t>
      </w:r>
      <w:r>
        <w:t xml:space="preserve">Pranav Sheth</w:t>
      </w:r>
    </w:p>
    <w:p>
      <w:pPr>
        <w:pStyle w:val="BodyText"/>
      </w:pPr>
      <w:r>
        <w:rPr>
          <w:b/>
          <w:bCs/>
        </w:rPr>
        <w:t xml:space="preserve">Ownership:</w:t>
      </w:r>
      <w:r>
        <w:t xml:space="preserve"> </w:t>
      </w:r>
      <w:r>
        <w:t xml:space="preserve">50%</w:t>
      </w:r>
    </w:p>
    <w:p>
      <w:pPr>
        <w:pStyle w:val="BodyText"/>
      </w:pPr>
      <w:r>
        <w:rPr>
          <w:b/>
          <w:bCs/>
        </w:rPr>
        <w:t xml:space="preserve">Signature:</w:t>
      </w:r>
      <w:r>
        <w:t xml:space="preserve"> </w:t>
      </w:r>
      <w:r>
        <w:t xml:space="preserve">______________________________</w:t>
      </w:r>
    </w:p>
    <w:p>
      <w:pPr>
        <w:pStyle w:val="BodyText"/>
      </w:pPr>
      <w:r>
        <w:rPr>
          <w:b/>
          <w:bCs/>
        </w:rPr>
        <w:t xml:space="preserve">Date:</w:t>
      </w:r>
      <w:r>
        <w:t xml:space="preserve"> </w:t>
      </w:r>
      <w:r>
        <w:t xml:space="preserve">__________________________________</w:t>
      </w:r>
    </w:p>
    <w:bookmarkEnd w:id="62"/>
    <w:bookmarkStart w:id="63" w:name="partner-2-1"/>
    <w:p>
      <w:pPr>
        <w:pStyle w:val="Heading2"/>
      </w:pPr>
      <w:r>
        <w:t xml:space="preserve">PARTNER 2</w:t>
      </w:r>
    </w:p>
    <w:p>
      <w:pPr>
        <w:pStyle w:val="FirstParagraph"/>
      </w:pPr>
      <w:r>
        <w:rPr>
          <w:b/>
          <w:bCs/>
        </w:rPr>
        <w:t xml:space="preserve">Name:</w:t>
      </w:r>
      <w:r>
        <w:t xml:space="preserve"> </w:t>
      </w:r>
      <w:r>
        <w:t xml:space="preserve">Aradhana Zaveri</w:t>
      </w:r>
    </w:p>
    <w:p>
      <w:pPr>
        <w:pStyle w:val="BodyText"/>
      </w:pPr>
      <w:r>
        <w:rPr>
          <w:b/>
          <w:bCs/>
        </w:rPr>
        <w:t xml:space="preserve">Ownership:</w:t>
      </w:r>
      <w:r>
        <w:t xml:space="preserve"> </w:t>
      </w:r>
      <w:r>
        <w:t xml:space="preserve">50%</w:t>
      </w:r>
    </w:p>
    <w:p>
      <w:pPr>
        <w:pStyle w:val="BodyText"/>
      </w:pPr>
      <w:r>
        <w:rPr>
          <w:b/>
          <w:bCs/>
        </w:rPr>
        <w:t xml:space="preserve">Signature:</w:t>
      </w:r>
      <w:r>
        <w:t xml:space="preserve"> </w:t>
      </w:r>
      <w:r>
        <w:t xml:space="preserve">______________________________</w:t>
      </w:r>
    </w:p>
    <w:p>
      <w:pPr>
        <w:pStyle w:val="BodyText"/>
      </w:pPr>
      <w:r>
        <w:rPr>
          <w:b/>
          <w:bCs/>
        </w:rPr>
        <w:t xml:space="preserve">Date:</w:t>
      </w:r>
      <w:r>
        <w:t xml:space="preserve"> </w:t>
      </w:r>
      <w:r>
        <w:t xml:space="preserve">__________________________________</w:t>
      </w:r>
    </w:p>
    <w:bookmarkEnd w:id="63"/>
    <w:bookmarkStart w:id="64" w:name="witness-1"/>
    <w:p>
      <w:pPr>
        <w:pStyle w:val="Heading2"/>
      </w:pPr>
      <w:r>
        <w:t xml:space="preserve">WITNESS 1</w:t>
      </w:r>
    </w:p>
    <w:p>
      <w:pPr>
        <w:pStyle w:val="FirstParagraph"/>
      </w:pPr>
      <w:r>
        <w:rPr>
          <w:b/>
          <w:bCs/>
        </w:rPr>
        <w:t xml:space="preserve">Name:</w:t>
      </w:r>
      <w:r>
        <w:t xml:space="preserve"> </w:t>
      </w:r>
      <w:r>
        <w:t xml:space="preserve">__________________________________</w:t>
      </w:r>
    </w:p>
    <w:p>
      <w:pPr>
        <w:pStyle w:val="BodyText"/>
      </w:pPr>
      <w:r>
        <w:rPr>
          <w:b/>
          <w:bCs/>
        </w:rPr>
        <w:t xml:space="preserve">Address:</w:t>
      </w:r>
      <w:r>
        <w:t xml:space="preserve"> </w:t>
      </w:r>
      <w:r>
        <w:t xml:space="preserve">________________________________</w:t>
      </w:r>
    </w:p>
    <w:p>
      <w:pPr>
        <w:pStyle w:val="BodyText"/>
      </w:pPr>
      <w:r>
        <w:rPr>
          <w:b/>
          <w:bCs/>
        </w:rPr>
        <w:t xml:space="preserve">Signature:</w:t>
      </w:r>
      <w:r>
        <w:t xml:space="preserve"> </w:t>
      </w:r>
      <w:r>
        <w:t xml:space="preserve">______________________________</w:t>
      </w:r>
    </w:p>
    <w:bookmarkEnd w:id="64"/>
    <w:bookmarkStart w:id="65" w:name="witness-2"/>
    <w:p>
      <w:pPr>
        <w:pStyle w:val="Heading2"/>
      </w:pPr>
      <w:r>
        <w:t xml:space="preserve">WITNESS 2</w:t>
      </w:r>
    </w:p>
    <w:p>
      <w:pPr>
        <w:pStyle w:val="FirstParagraph"/>
      </w:pPr>
      <w:r>
        <w:rPr>
          <w:b/>
          <w:bCs/>
        </w:rPr>
        <w:t xml:space="preserve">Name:</w:t>
      </w:r>
      <w:r>
        <w:t xml:space="preserve"> </w:t>
      </w:r>
      <w:r>
        <w:t xml:space="preserve">__________________________________</w:t>
      </w:r>
    </w:p>
    <w:p>
      <w:pPr>
        <w:pStyle w:val="BodyText"/>
      </w:pPr>
      <w:r>
        <w:rPr>
          <w:b/>
          <w:bCs/>
        </w:rPr>
        <w:t xml:space="preserve">Address:</w:t>
      </w:r>
      <w:r>
        <w:t xml:space="preserve"> </w:t>
      </w:r>
      <w:r>
        <w:t xml:space="preserve">________________________________</w:t>
      </w:r>
    </w:p>
    <w:p>
      <w:pPr>
        <w:pStyle w:val="BodyText"/>
      </w:pPr>
      <w:r>
        <w:rPr>
          <w:b/>
          <w:bCs/>
        </w:rPr>
        <w:t xml:space="preserve">Signature:</w:t>
      </w:r>
      <w:r>
        <w:t xml:space="preserve"> </w:t>
      </w:r>
      <w:r>
        <w:t xml:space="preserve">______________________________</w:t>
      </w:r>
    </w:p>
    <w:bookmarkEnd w:id="65"/>
    <w:bookmarkEnd w:id="66"/>
    <w:bookmarkStart w:id="68" w:name="annexure-a"/>
    <w:p>
      <w:pPr>
        <w:pStyle w:val="Heading1"/>
      </w:pPr>
      <w:r>
        <w:t xml:space="preserve">ANNEXURE A</w:t>
      </w:r>
    </w:p>
    <w:bookmarkStart w:id="67" w:name="founding-partners-responsibilities"/>
    <w:p>
      <w:pPr>
        <w:pStyle w:val="Heading2"/>
      </w:pPr>
      <w:r>
        <w:t xml:space="preserve">FOUNDING PARTNERS – RESPONSIBILITIES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Area</w:t>
            </w:r>
          </w:p>
        </w:tc>
        <w:tc>
          <w:tcPr/>
          <w:p>
            <w:pPr>
              <w:pStyle w:val="Compact"/>
            </w:pPr>
            <w:r>
              <w:t xml:space="preserve">Pranav Sheth</w:t>
            </w:r>
          </w:p>
        </w:tc>
        <w:tc>
          <w:tcPr/>
          <w:p>
            <w:pPr>
              <w:pStyle w:val="Compact"/>
            </w:pPr>
            <w:r>
              <w:t xml:space="preserve">Aradhana Zaveri</w:t>
            </w:r>
          </w:p>
        </w:tc>
      </w:tr>
      <w:tr>
        <w:tc>
          <w:tcPr/>
          <w:p>
            <w:pPr>
              <w:pStyle w:val="Compact"/>
            </w:pPr>
            <w:r>
              <w:t xml:space="preserve">Business Development</w:t>
            </w:r>
          </w:p>
        </w:tc>
        <w:tc>
          <w:tcPr/>
          <w:p>
            <w:pPr>
              <w:pStyle w:val="Compact"/>
            </w:pPr>
            <w:r>
              <w:t xml:space="preserve">Joint / Equal</w:t>
            </w:r>
          </w:p>
        </w:tc>
        <w:tc>
          <w:tcPr/>
          <w:p>
            <w:pPr>
              <w:pStyle w:val="Compact"/>
            </w:pPr>
            <w:r>
              <w:t xml:space="preserve">Joint / Equal</w:t>
            </w:r>
          </w:p>
        </w:tc>
      </w:tr>
      <w:tr>
        <w:tc>
          <w:tcPr/>
          <w:p>
            <w:pPr>
              <w:pStyle w:val="Compact"/>
            </w:pPr>
            <w:r>
              <w:t xml:space="preserve">School &amp; Institution Relationships</w:t>
            </w:r>
          </w:p>
        </w:tc>
        <w:tc>
          <w:tcPr/>
          <w:p>
            <w:pPr>
              <w:pStyle w:val="Compact"/>
            </w:pPr>
            <w:r>
              <w:t xml:space="preserve">Joint / Equal</w:t>
            </w:r>
          </w:p>
        </w:tc>
        <w:tc>
          <w:tcPr/>
          <w:p>
            <w:pPr>
              <w:pStyle w:val="Compact"/>
            </w:pPr>
            <w:r>
              <w:t xml:space="preserve">Joint / Equal</w:t>
            </w:r>
          </w:p>
        </w:tc>
      </w:tr>
      <w:tr>
        <w:tc>
          <w:tcPr/>
          <w:p>
            <w:pPr>
              <w:pStyle w:val="Compact"/>
            </w:pPr>
            <w:r>
              <w:t xml:space="preserve">Strategic Decisions</w:t>
            </w:r>
          </w:p>
        </w:tc>
        <w:tc>
          <w:tcPr/>
          <w:p>
            <w:pPr>
              <w:pStyle w:val="Compact"/>
            </w:pPr>
            <w:r>
              <w:t xml:space="preserve">Joint / Equal</w:t>
            </w:r>
          </w:p>
        </w:tc>
        <w:tc>
          <w:tcPr/>
          <w:p>
            <w:pPr>
              <w:pStyle w:val="Compact"/>
            </w:pPr>
            <w:r>
              <w:t xml:space="preserve">Joint / Equal</w:t>
            </w:r>
          </w:p>
        </w:tc>
      </w:tr>
      <w:tr>
        <w:tc>
          <w:tcPr/>
          <w:p>
            <w:pPr>
              <w:pStyle w:val="Compact"/>
            </w:pPr>
            <w:r>
              <w:t xml:space="preserve">Curriculum &amp; Program Development</w:t>
            </w:r>
          </w:p>
        </w:tc>
        <w:tc>
          <w:tcPr/>
          <w:p>
            <w:pPr>
              <w:pStyle w:val="Compact"/>
            </w:pPr>
            <w:r>
              <w:t xml:space="preserve">Joint / Equal</w:t>
            </w:r>
          </w:p>
        </w:tc>
        <w:tc>
          <w:tcPr/>
          <w:p>
            <w:pPr>
              <w:pStyle w:val="Compact"/>
            </w:pPr>
            <w:r>
              <w:t xml:space="preserve">Joint / Equal</w:t>
            </w:r>
          </w:p>
        </w:tc>
      </w:tr>
      <w:tr>
        <w:tc>
          <w:tcPr/>
          <w:p>
            <w:pPr>
              <w:pStyle w:val="Compact"/>
            </w:pPr>
            <w:r>
              <w:t xml:space="preserve">Operations &amp; Academic Activities</w:t>
            </w:r>
          </w:p>
        </w:tc>
        <w:tc>
          <w:tcPr/>
          <w:p>
            <w:pPr>
              <w:pStyle w:val="Compact"/>
            </w:pPr>
            <w:r>
              <w:t xml:space="preserve">Joint / Equal</w:t>
            </w:r>
          </w:p>
        </w:tc>
        <w:tc>
          <w:tcPr/>
          <w:p>
            <w:pPr>
              <w:pStyle w:val="Compact"/>
            </w:pPr>
            <w:r>
              <w:t xml:space="preserve">Joint / Equal</w:t>
            </w:r>
          </w:p>
        </w:tc>
      </w:tr>
      <w:tr>
        <w:tc>
          <w:tcPr/>
          <w:p>
            <w:pPr>
              <w:pStyle w:val="Compact"/>
            </w:pPr>
            <w:r>
              <w:t xml:space="preserve">Student &amp; Parent Engagement</w:t>
            </w:r>
          </w:p>
        </w:tc>
        <w:tc>
          <w:tcPr/>
          <w:p>
            <w:pPr>
              <w:pStyle w:val="Compact"/>
            </w:pPr>
            <w:r>
              <w:t xml:space="preserve">Joint / Equal</w:t>
            </w:r>
          </w:p>
        </w:tc>
        <w:tc>
          <w:tcPr/>
          <w:p>
            <w:pPr>
              <w:pStyle w:val="Compact"/>
            </w:pPr>
            <w:r>
              <w:t xml:space="preserve">Joint / Equal</w:t>
            </w:r>
          </w:p>
        </w:tc>
      </w:tr>
      <w:tr>
        <w:tc>
          <w:tcPr/>
          <w:p>
            <w:pPr>
              <w:pStyle w:val="Compact"/>
            </w:pPr>
            <w:r>
              <w:t xml:space="preserve">Business Expansion</w:t>
            </w:r>
          </w:p>
        </w:tc>
        <w:tc>
          <w:tcPr/>
          <w:p>
            <w:pPr>
              <w:pStyle w:val="Compact"/>
            </w:pPr>
            <w:r>
              <w:t xml:space="preserve">Joint / Equal</w:t>
            </w:r>
          </w:p>
        </w:tc>
        <w:tc>
          <w:tcPr/>
          <w:p>
            <w:pPr>
              <w:pStyle w:val="Compact"/>
            </w:pPr>
            <w:r>
              <w:t xml:space="preserve">Joint / Equal</w:t>
            </w:r>
          </w:p>
        </w:tc>
      </w:tr>
      <w:tr>
        <w:tc>
          <w:tcPr/>
          <w:p>
            <w:pPr>
              <w:pStyle w:val="Compact"/>
            </w:pPr>
            <w:r>
              <w:t xml:space="preserve">Major Financial Decisions</w:t>
            </w:r>
          </w:p>
        </w:tc>
        <w:tc>
          <w:tcPr/>
          <w:p>
            <w:pPr>
              <w:pStyle w:val="Compact"/>
            </w:pPr>
            <w:r>
              <w:t xml:space="preserve">Joint / Equal</w:t>
            </w:r>
          </w:p>
        </w:tc>
        <w:tc>
          <w:tcPr/>
          <w:p>
            <w:pPr>
              <w:pStyle w:val="Compact"/>
            </w:pPr>
            <w:r>
              <w:t xml:space="preserve">Joint / Equal</w:t>
            </w:r>
          </w:p>
        </w:tc>
      </w:tr>
      <w:tr>
        <w:tc>
          <w:tcPr/>
          <w:p>
            <w:pPr>
              <w:pStyle w:val="Compact"/>
            </w:pPr>
            <w:r>
              <w:t xml:space="preserve">THYNK Brand &amp; IP Decisions</w:t>
            </w:r>
          </w:p>
        </w:tc>
        <w:tc>
          <w:tcPr/>
          <w:p>
            <w:pPr>
              <w:pStyle w:val="Compact"/>
            </w:pPr>
            <w:r>
              <w:t xml:space="preserve">Joint / Equal</w:t>
            </w:r>
          </w:p>
        </w:tc>
        <w:tc>
          <w:tcPr/>
          <w:p>
            <w:pPr>
              <w:pStyle w:val="Compact"/>
            </w:pPr>
            <w:r>
              <w:t xml:space="preserve">Joint / Equal</w:t>
            </w:r>
          </w:p>
        </w:tc>
      </w:tr>
    </w:tbl>
    <w:p>
      <w:pPr>
        <w:pStyle w:val="BodyText"/>
      </w:pPr>
      <w:r>
        <w:t xml:space="preserve">The Partners may subsequently divide specific operational tasks between themselves based on business requirements without altering the 50:50 ownership structure.</w:t>
      </w:r>
    </w:p>
    <w:p>
      <w:r>
        <w:pict>
          <v:rect style="width:0;height:1.5pt" o:hralign="center" o:hrstd="t" o:hr="t"/>
        </w:pict>
      </w:r>
    </w:p>
    <w:bookmarkEnd w:id="67"/>
    <w:bookmarkEnd w:id="68"/>
    <w:bookmarkStart w:id="70" w:name="annexure-b"/>
    <w:p>
      <w:pPr>
        <w:pStyle w:val="Heading1"/>
      </w:pPr>
      <w:r>
        <w:t xml:space="preserve">ANNEXURE B</w:t>
      </w:r>
    </w:p>
    <w:bookmarkStart w:id="69" w:name="ownership-and-profit-sharing-1"/>
    <w:p>
      <w:pPr>
        <w:pStyle w:val="Heading2"/>
      </w:pPr>
      <w:r>
        <w:t xml:space="preserve">OWNERSHIP AND PROFIT SHARING</w:t>
      </w:r>
    </w:p>
    <w:p>
      <w:pPr>
        <w:pStyle w:val="FirstParagraph"/>
      </w:pPr>
      <w:r>
        <w:rPr>
          <w:b/>
          <w:bCs/>
        </w:rPr>
        <w:t xml:space="preserve">Legal Entity:</w:t>
      </w:r>
      <w:r>
        <w:t xml:space="preserve"> </w:t>
      </w:r>
      <w:r>
        <w:t xml:space="preserve">THYNK Edutech LLP</w:t>
      </w:r>
    </w:p>
    <w:p>
      <w:pPr>
        <w:pStyle w:val="BodyText"/>
      </w:pPr>
      <w:r>
        <w:rPr>
          <w:b/>
          <w:bCs/>
        </w:rPr>
        <w:t xml:space="preserve">Brand:</w:t>
      </w:r>
      <w:r>
        <w:t xml:space="preserve"> </w:t>
      </w:r>
      <w:r>
        <w:t xml:space="preserve">THYNK – The Hub for Young Next-gen Knowledge</w:t>
      </w:r>
    </w:p>
    <w:p>
      <w:pPr>
        <w:pStyle w:val="BodyText"/>
      </w:pPr>
      <w:r>
        <w:rPr>
          <w:b/>
          <w:bCs/>
        </w:rPr>
        <w:t xml:space="preserve">Partner 1:</w:t>
      </w:r>
      <w:r>
        <w:t xml:space="preserve"> </w:t>
      </w:r>
      <w:r>
        <w:t xml:space="preserve">Pranav Sheth – 50%</w:t>
      </w:r>
    </w:p>
    <w:p>
      <w:pPr>
        <w:pStyle w:val="BodyText"/>
      </w:pPr>
      <w:r>
        <w:rPr>
          <w:b/>
          <w:bCs/>
        </w:rPr>
        <w:t xml:space="preserve">Partner 2:</w:t>
      </w:r>
      <w:r>
        <w:t xml:space="preserve"> </w:t>
      </w:r>
      <w:r>
        <w:t xml:space="preserve">Aradhana Zaveri – 50%</w:t>
      </w:r>
    </w:p>
    <w:p>
      <w:pPr>
        <w:pStyle w:val="BodyText"/>
      </w:pPr>
      <w:r>
        <w:rPr>
          <w:b/>
          <w:bCs/>
        </w:rPr>
        <w:t xml:space="preserve">Profit Sharing:</w:t>
      </w:r>
      <w:r>
        <w:t xml:space="preserve"> </w:t>
      </w:r>
      <w:r>
        <w:t xml:space="preserve">50:50</w:t>
      </w:r>
    </w:p>
    <w:p>
      <w:pPr>
        <w:pStyle w:val="BodyText"/>
      </w:pPr>
      <w:r>
        <w:rPr>
          <w:b/>
          <w:bCs/>
        </w:rPr>
        <w:t xml:space="preserve">Loss Sharing:</w:t>
      </w:r>
      <w:r>
        <w:t xml:space="preserve"> </w:t>
      </w:r>
      <w:r>
        <w:t xml:space="preserve">50:50</w:t>
      </w:r>
    </w:p>
    <w:p>
      <w:pPr>
        <w:pStyle w:val="BodyText"/>
      </w:pPr>
      <w:r>
        <w:rPr>
          <w:b/>
          <w:bCs/>
        </w:rPr>
        <w:t xml:space="preserve">Management:</w:t>
      </w:r>
      <w:r>
        <w:t xml:space="preserve"> </w:t>
      </w:r>
      <w:r>
        <w:t xml:space="preserve">Joint</w:t>
      </w:r>
    </w:p>
    <w:p>
      <w:pPr>
        <w:pStyle w:val="BodyText"/>
      </w:pPr>
      <w:r>
        <w:rPr>
          <w:b/>
          <w:bCs/>
        </w:rPr>
        <w:t xml:space="preserve">Major Decisions:</w:t>
      </w:r>
      <w:r>
        <w:t xml:space="preserve"> </w:t>
      </w:r>
      <w:r>
        <w:t xml:space="preserve">Mutual consent</w:t>
      </w:r>
    </w:p>
    <w:p>
      <w:pPr>
        <w:pStyle w:val="BodyText"/>
      </w:pPr>
      <w:r>
        <w:rPr>
          <w:b/>
          <w:bCs/>
        </w:rPr>
        <w:t xml:space="preserve">Initial Capital Contribution:</w:t>
      </w:r>
      <w:r>
        <w:t xml:space="preserve"> </w:t>
      </w:r>
      <w:r>
        <w:t xml:space="preserve">To be mutually agreed and recorded in the LLP Agreement.</w:t>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