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7635F" w14:textId="77777777" w:rsidR="00907BCE" w:rsidRPr="00907BCE" w:rsidRDefault="00907BCE" w:rsidP="00907BCE">
      <w:pPr>
        <w:rPr>
          <w:b/>
          <w:bCs/>
          <w:sz w:val="40"/>
          <w:szCs w:val="40"/>
        </w:rPr>
      </w:pPr>
      <w:r w:rsidRPr="00907BCE">
        <w:rPr>
          <w:b/>
          <w:bCs/>
          <w:sz w:val="40"/>
          <w:szCs w:val="40"/>
        </w:rPr>
        <w:t>Mutual Fund Analytics &amp; Performance Dashboard</w:t>
      </w:r>
    </w:p>
    <w:p w14:paraId="707BB779" w14:textId="227F124F" w:rsidR="00907BCE" w:rsidRPr="00907BCE" w:rsidRDefault="00907BCE" w:rsidP="00907BCE">
      <w:pPr>
        <w:rPr>
          <w:b/>
          <w:bCs/>
        </w:rPr>
      </w:pPr>
      <w:r w:rsidRPr="00907BCE">
        <w:rPr>
          <w:b/>
          <w:bCs/>
        </w:rPr>
        <w:t>Bluestock Fintech Capstone Project</w:t>
      </w:r>
    </w:p>
    <w:p w14:paraId="553A9B36" w14:textId="77777777" w:rsidR="00907BCE" w:rsidRPr="00907BCE" w:rsidRDefault="00907BCE" w:rsidP="00907BCE">
      <w:pPr>
        <w:rPr>
          <w:b/>
          <w:bCs/>
        </w:rPr>
      </w:pPr>
      <w:r w:rsidRPr="00907BCE">
        <w:rPr>
          <w:b/>
          <w:bCs/>
        </w:rPr>
        <w:t>Submitted By</w:t>
      </w:r>
    </w:p>
    <w:p w14:paraId="44614301" w14:textId="77777777" w:rsidR="00907BCE" w:rsidRPr="00907BCE" w:rsidRDefault="00907BCE" w:rsidP="00907BCE">
      <w:pPr>
        <w:rPr>
          <w:b/>
          <w:bCs/>
        </w:rPr>
      </w:pPr>
      <w:r w:rsidRPr="00907BCE">
        <w:rPr>
          <w:b/>
          <w:bCs/>
        </w:rPr>
        <w:t>Pranav Shinde</w:t>
      </w:r>
    </w:p>
    <w:p w14:paraId="586B9A05" w14:textId="6BB6D1F3" w:rsidR="00907BCE" w:rsidRPr="00907BCE" w:rsidRDefault="00907BCE" w:rsidP="00907BCE">
      <w:r w:rsidRPr="00907BCE">
        <w:t>Bachelor of Science in Information Technology (B.Sc. IT)</w:t>
      </w:r>
    </w:p>
    <w:p w14:paraId="33008CC8" w14:textId="77777777" w:rsidR="00907BCE" w:rsidRPr="00907BCE" w:rsidRDefault="00907BCE" w:rsidP="00907BCE">
      <w:pPr>
        <w:rPr>
          <w:b/>
          <w:bCs/>
        </w:rPr>
      </w:pPr>
      <w:r w:rsidRPr="00907BCE">
        <w:rPr>
          <w:b/>
          <w:bCs/>
        </w:rPr>
        <w:t>Organization</w:t>
      </w:r>
    </w:p>
    <w:p w14:paraId="37259BC4" w14:textId="77777777" w:rsidR="00907BCE" w:rsidRPr="00907BCE" w:rsidRDefault="00907BCE" w:rsidP="00907BCE">
      <w:r w:rsidRPr="00907BCE">
        <w:t>Bluestock Fintech</w:t>
      </w:r>
    </w:p>
    <w:p w14:paraId="38D57024" w14:textId="77777777" w:rsidR="00907BCE" w:rsidRPr="00907BCE" w:rsidRDefault="00907BCE" w:rsidP="00907BCE">
      <w:r w:rsidRPr="00907BCE">
        <w:pict w14:anchorId="7DA81917">
          <v:rect id="_x0000_i1057" style="width:0;height:1.5pt" o:hralign="center" o:hrstd="t" o:hr="t" fillcolor="#a0a0a0" stroked="f"/>
        </w:pict>
      </w:r>
    </w:p>
    <w:p w14:paraId="6F3BE8EC" w14:textId="77777777" w:rsidR="00907BCE" w:rsidRPr="00907BCE" w:rsidRDefault="00907BCE" w:rsidP="00907BCE">
      <w:pPr>
        <w:rPr>
          <w:b/>
          <w:bCs/>
        </w:rPr>
      </w:pPr>
      <w:r w:rsidRPr="00907BCE">
        <w:rPr>
          <w:b/>
          <w:bCs/>
        </w:rPr>
        <w:t>Project Duration</w:t>
      </w:r>
    </w:p>
    <w:p w14:paraId="4D9A8B48" w14:textId="47788B8A" w:rsidR="00907BCE" w:rsidRPr="00907BCE" w:rsidRDefault="00907BCE" w:rsidP="00907BCE">
      <w:r w:rsidRPr="00907BCE">
        <w:t>June 2026 – July 2026</w:t>
      </w:r>
    </w:p>
    <w:p w14:paraId="3CDE2DB6" w14:textId="77777777" w:rsidR="00907BCE" w:rsidRPr="00907BCE" w:rsidRDefault="00907BCE" w:rsidP="00907BCE">
      <w:pPr>
        <w:rPr>
          <w:b/>
          <w:bCs/>
        </w:rPr>
      </w:pPr>
      <w:r w:rsidRPr="00907BCE">
        <w:rPr>
          <w:b/>
          <w:bCs/>
        </w:rPr>
        <w:t>Technologies Used</w:t>
      </w:r>
    </w:p>
    <w:p w14:paraId="328C6FD1" w14:textId="77777777" w:rsidR="00907BCE" w:rsidRPr="00907BCE" w:rsidRDefault="00907BCE" w:rsidP="00907BCE">
      <w:pPr>
        <w:numPr>
          <w:ilvl w:val="0"/>
          <w:numId w:val="1"/>
        </w:numPr>
      </w:pPr>
      <w:r w:rsidRPr="00907BCE">
        <w:t xml:space="preserve">Python </w:t>
      </w:r>
    </w:p>
    <w:p w14:paraId="50AA7074" w14:textId="77777777" w:rsidR="00907BCE" w:rsidRPr="00907BCE" w:rsidRDefault="00907BCE" w:rsidP="00907BCE">
      <w:pPr>
        <w:numPr>
          <w:ilvl w:val="0"/>
          <w:numId w:val="1"/>
        </w:numPr>
      </w:pPr>
      <w:r w:rsidRPr="00907BCE">
        <w:t xml:space="preserve">Pandas </w:t>
      </w:r>
    </w:p>
    <w:p w14:paraId="35A8EF94" w14:textId="77777777" w:rsidR="00907BCE" w:rsidRPr="00907BCE" w:rsidRDefault="00907BCE" w:rsidP="00907BCE">
      <w:pPr>
        <w:numPr>
          <w:ilvl w:val="0"/>
          <w:numId w:val="1"/>
        </w:numPr>
      </w:pPr>
      <w:r w:rsidRPr="00907BCE">
        <w:t xml:space="preserve">NumPy </w:t>
      </w:r>
    </w:p>
    <w:p w14:paraId="2CFBC7A6" w14:textId="77777777" w:rsidR="00907BCE" w:rsidRPr="00907BCE" w:rsidRDefault="00907BCE" w:rsidP="00907BCE">
      <w:pPr>
        <w:numPr>
          <w:ilvl w:val="0"/>
          <w:numId w:val="1"/>
        </w:numPr>
      </w:pPr>
      <w:r w:rsidRPr="00907BCE">
        <w:t xml:space="preserve">SQLite </w:t>
      </w:r>
    </w:p>
    <w:p w14:paraId="5226FEB3" w14:textId="77777777" w:rsidR="00907BCE" w:rsidRPr="00907BCE" w:rsidRDefault="00907BCE" w:rsidP="00907BCE">
      <w:pPr>
        <w:numPr>
          <w:ilvl w:val="0"/>
          <w:numId w:val="1"/>
        </w:numPr>
      </w:pPr>
      <w:r w:rsidRPr="00907BCE">
        <w:t xml:space="preserve">SQL </w:t>
      </w:r>
    </w:p>
    <w:p w14:paraId="3D05F93C" w14:textId="77777777" w:rsidR="00907BCE" w:rsidRPr="00907BCE" w:rsidRDefault="00907BCE" w:rsidP="00907BCE">
      <w:pPr>
        <w:numPr>
          <w:ilvl w:val="0"/>
          <w:numId w:val="1"/>
        </w:numPr>
      </w:pPr>
      <w:r w:rsidRPr="00907BCE">
        <w:t xml:space="preserve">Power BI </w:t>
      </w:r>
    </w:p>
    <w:p w14:paraId="29375554" w14:textId="77777777" w:rsidR="00907BCE" w:rsidRPr="00907BCE" w:rsidRDefault="00907BCE" w:rsidP="00907BCE">
      <w:pPr>
        <w:numPr>
          <w:ilvl w:val="0"/>
          <w:numId w:val="1"/>
        </w:numPr>
      </w:pPr>
      <w:r w:rsidRPr="00907BCE">
        <w:t xml:space="preserve">Jupyter Notebook </w:t>
      </w:r>
    </w:p>
    <w:p w14:paraId="4AD14BE2" w14:textId="77777777" w:rsidR="00907BCE" w:rsidRPr="00907BCE" w:rsidRDefault="00907BCE" w:rsidP="00907BCE">
      <w:pPr>
        <w:numPr>
          <w:ilvl w:val="0"/>
          <w:numId w:val="1"/>
        </w:numPr>
      </w:pPr>
      <w:r w:rsidRPr="00907BCE">
        <w:t xml:space="preserve">Git &amp; GitHub </w:t>
      </w:r>
    </w:p>
    <w:p w14:paraId="5A590B2C" w14:textId="77777777" w:rsidR="00907BCE" w:rsidRPr="00907BCE" w:rsidRDefault="00907BCE" w:rsidP="00907BCE">
      <w:r w:rsidRPr="00907BCE">
        <w:pict w14:anchorId="4C4181A5">
          <v:rect id="_x0000_i1059" style="width:0;height:1.5pt" o:hralign="center" o:hrstd="t" o:hr="t" fillcolor="#a0a0a0" stroked="f"/>
        </w:pict>
      </w:r>
    </w:p>
    <w:p w14:paraId="250E6A4E" w14:textId="77777777" w:rsidR="00907BCE" w:rsidRPr="00907BCE" w:rsidRDefault="00907BCE" w:rsidP="00907BCE">
      <w:pPr>
        <w:rPr>
          <w:b/>
          <w:bCs/>
        </w:rPr>
      </w:pPr>
      <w:r w:rsidRPr="00907BCE">
        <w:rPr>
          <w:b/>
          <w:bCs/>
        </w:rPr>
        <w:t>Submitted On</w:t>
      </w:r>
    </w:p>
    <w:p w14:paraId="35110B94" w14:textId="77777777" w:rsidR="00907BCE" w:rsidRPr="00907BCE" w:rsidRDefault="00907BCE" w:rsidP="00907BCE">
      <w:r w:rsidRPr="00907BCE">
        <w:t>July 2026</w:t>
      </w:r>
    </w:p>
    <w:p w14:paraId="753E40C0" w14:textId="768E0BFD" w:rsidR="00907BCE" w:rsidRDefault="00907BCE">
      <w:r>
        <w:br w:type="page"/>
      </w:r>
    </w:p>
    <w:p w14:paraId="426EE777" w14:textId="683782EB" w:rsidR="008D0F5E" w:rsidRDefault="00907BCE" w:rsidP="00907BCE">
      <w:pPr>
        <w:rPr>
          <w:b/>
          <w:bCs/>
          <w:sz w:val="36"/>
          <w:szCs w:val="36"/>
        </w:rPr>
      </w:pPr>
      <w:r w:rsidRPr="00907BCE">
        <w:rPr>
          <w:b/>
          <w:bCs/>
          <w:sz w:val="36"/>
          <w:szCs w:val="36"/>
        </w:rPr>
        <w:lastRenderedPageBreak/>
        <w:t>Executive Summary</w:t>
      </w:r>
    </w:p>
    <w:p w14:paraId="1C4CC71D" w14:textId="77777777" w:rsidR="00907BCE" w:rsidRPr="00907BCE" w:rsidRDefault="00907BCE" w:rsidP="00907BCE">
      <w:pPr>
        <w:jc w:val="both"/>
      </w:pPr>
      <w:r w:rsidRPr="00907BCE">
        <w:t>This project presents a complete Mutual Fund Analytics solution developed as part of the Bluestock Fintech Capstone Project. The objective was to build an end-to-end data analytics pipeline capable of processing mutual fund datasets, performing financial performance analysis, generating business insights, and visualizing results through an interactive Power BI dashboard.</w:t>
      </w:r>
    </w:p>
    <w:p w14:paraId="487F731C" w14:textId="77777777" w:rsidR="00907BCE" w:rsidRPr="00907BCE" w:rsidRDefault="00907BCE" w:rsidP="00907BCE">
      <w:pPr>
        <w:jc w:val="both"/>
      </w:pPr>
      <w:r w:rsidRPr="00907BCE">
        <w:t>The project begins with an automated ETL pipeline that ingests raw CSV datasets, validates and cleans the data, and loads the processed data into a SQLite database. Exploratory Data Analysis (EDA) was performed to study industry trends, mutual fund performance, investor behaviour, portfolio allocation, and benchmark movements.</w:t>
      </w:r>
    </w:p>
    <w:p w14:paraId="5C6FCF43" w14:textId="77777777" w:rsidR="00907BCE" w:rsidRPr="00907BCE" w:rsidRDefault="00907BCE" w:rsidP="00907BCE">
      <w:pPr>
        <w:jc w:val="both"/>
      </w:pPr>
      <w:r w:rsidRPr="00907BCE">
        <w:t>Financial performance metrics including Compound Annual Growth Rate (CAGR), Sharpe Ratio, Sortino Ratio, Alpha, Beta, Maximum Drawdown, Tracking Error, Historical Value at Risk (</w:t>
      </w:r>
      <w:proofErr w:type="spellStart"/>
      <w:r w:rsidRPr="00907BCE">
        <w:t>VaR</w:t>
      </w:r>
      <w:proofErr w:type="spellEnd"/>
      <w:r w:rsidRPr="00907BCE">
        <w:t>), Conditional Value at Risk (CVaR), and Herfindahl-Hirschman Index (HHI) were calculated to evaluate the return and risk characteristics of different mutual fund schemes.</w:t>
      </w:r>
    </w:p>
    <w:p w14:paraId="486F323A" w14:textId="77777777" w:rsidR="00907BCE" w:rsidRPr="00907BCE" w:rsidRDefault="00907BCE" w:rsidP="00907BCE">
      <w:pPr>
        <w:jc w:val="both"/>
      </w:pPr>
      <w:r w:rsidRPr="00907BCE">
        <w:t>Advanced analytics such as Rolling Sharpe Ratio analysis, Investor Cohort Analysis, SIP Continuity Analysis, Sector Concentration Analysis, and a Risk-Based Mutual Fund Recommendation System were implemented to provide deeper insights for investors.</w:t>
      </w:r>
    </w:p>
    <w:p w14:paraId="6CE6C2B2" w14:textId="78AE84FA" w:rsidR="00907BCE" w:rsidRDefault="00907BCE" w:rsidP="00907BCE">
      <w:pPr>
        <w:jc w:val="both"/>
      </w:pPr>
      <w:r w:rsidRPr="00907BCE">
        <w:t>The final Power BI dashboard contains four interactive pages with slicers and visualizations that help analyse industry growth, compare fund performance, understand investor behaviour, and monitor SIP trends. The project demonstrates practical application of Python, SQL, SQLite, Power BI, and financial analytics techniques in solving real-world investment analysis problem</w:t>
      </w:r>
      <w:r w:rsidRPr="00907BCE">
        <w:t>s.</w:t>
      </w:r>
    </w:p>
    <w:p w14:paraId="5A3057EA" w14:textId="77777777" w:rsidR="00907BCE" w:rsidRDefault="00907BCE">
      <w:r>
        <w:br w:type="page"/>
      </w:r>
    </w:p>
    <w:p w14:paraId="352F7529" w14:textId="7E074074" w:rsidR="00907BCE" w:rsidRPr="00907BCE" w:rsidRDefault="00907BCE" w:rsidP="00907BCE">
      <w:pPr>
        <w:jc w:val="both"/>
        <w:rPr>
          <w:b/>
          <w:bCs/>
          <w:sz w:val="36"/>
          <w:szCs w:val="36"/>
        </w:rPr>
      </w:pPr>
      <w:r w:rsidRPr="00907BCE">
        <w:rPr>
          <w:b/>
          <w:bCs/>
          <w:sz w:val="36"/>
          <w:szCs w:val="36"/>
        </w:rPr>
        <w:lastRenderedPageBreak/>
        <w:t>Project Objectives</w:t>
      </w:r>
    </w:p>
    <w:p w14:paraId="24B2534E" w14:textId="77777777" w:rsidR="00907BCE" w:rsidRPr="00907BCE" w:rsidRDefault="00907BCE" w:rsidP="00907BCE">
      <w:r w:rsidRPr="00907BCE">
        <w:t>The primary objective of this project is to design and develop a complete Mutual Fund Analytics System capable of collecting, processing, analysing, and visualising mutual fund data to support data-driven investment decisions.</w:t>
      </w:r>
    </w:p>
    <w:p w14:paraId="68328FC1" w14:textId="77777777" w:rsidR="00907BCE" w:rsidRPr="00907BCE" w:rsidRDefault="00907BCE" w:rsidP="00907BCE">
      <w:pPr>
        <w:rPr>
          <w:b/>
          <w:bCs/>
          <w:sz w:val="32"/>
          <w:szCs w:val="32"/>
        </w:rPr>
      </w:pPr>
      <w:r w:rsidRPr="00907BCE">
        <w:rPr>
          <w:b/>
          <w:bCs/>
          <w:sz w:val="32"/>
          <w:szCs w:val="32"/>
        </w:rPr>
        <w:t>Objectives</w:t>
      </w:r>
    </w:p>
    <w:p w14:paraId="76C1D6B2" w14:textId="77777777" w:rsidR="00907BCE" w:rsidRPr="00907BCE" w:rsidRDefault="00907BCE" w:rsidP="00907BCE">
      <w:pPr>
        <w:numPr>
          <w:ilvl w:val="0"/>
          <w:numId w:val="2"/>
        </w:numPr>
      </w:pPr>
      <w:r w:rsidRPr="00907BCE">
        <w:t xml:space="preserve">Build an automated ETL pipeline to ingest, clean, validate, and process mutual fund datasets. </w:t>
      </w:r>
    </w:p>
    <w:p w14:paraId="055666F9" w14:textId="77777777" w:rsidR="00907BCE" w:rsidRPr="00907BCE" w:rsidRDefault="00907BCE" w:rsidP="00907BCE">
      <w:pPr>
        <w:numPr>
          <w:ilvl w:val="0"/>
          <w:numId w:val="2"/>
        </w:numPr>
      </w:pPr>
      <w:r w:rsidRPr="00907BCE">
        <w:t xml:space="preserve">Store cleaned data efficiently in a SQLite database for analysis. </w:t>
      </w:r>
    </w:p>
    <w:p w14:paraId="5EB91F1E" w14:textId="77777777" w:rsidR="00907BCE" w:rsidRPr="00907BCE" w:rsidRDefault="00907BCE" w:rsidP="00907BCE">
      <w:pPr>
        <w:numPr>
          <w:ilvl w:val="0"/>
          <w:numId w:val="2"/>
        </w:numPr>
      </w:pPr>
      <w:r w:rsidRPr="00907BCE">
        <w:t xml:space="preserve">Perform Exploratory Data Analysis (EDA) to identify trends in AUM, SIP inflows, investor behaviour, and portfolio holdings. </w:t>
      </w:r>
    </w:p>
    <w:p w14:paraId="7EEBB8BB" w14:textId="77777777" w:rsidR="00907BCE" w:rsidRPr="00907BCE" w:rsidRDefault="00907BCE" w:rsidP="00907BCE">
      <w:pPr>
        <w:numPr>
          <w:ilvl w:val="0"/>
          <w:numId w:val="2"/>
        </w:numPr>
      </w:pPr>
      <w:r w:rsidRPr="00907BCE">
        <w:t xml:space="preserve">Calculate key financial performance metrics including CAGR, Sharpe Ratio, Sortino Ratio, Alpha, Beta, Maximum Drawdown, Tracking Error, </w:t>
      </w:r>
      <w:proofErr w:type="spellStart"/>
      <w:r w:rsidRPr="00907BCE">
        <w:t>VaR</w:t>
      </w:r>
      <w:proofErr w:type="spellEnd"/>
      <w:r w:rsidRPr="00907BCE">
        <w:t xml:space="preserve">, and CVaR. </w:t>
      </w:r>
    </w:p>
    <w:p w14:paraId="341AE149" w14:textId="77777777" w:rsidR="00907BCE" w:rsidRPr="00907BCE" w:rsidRDefault="00907BCE" w:rsidP="00907BCE">
      <w:pPr>
        <w:numPr>
          <w:ilvl w:val="0"/>
          <w:numId w:val="2"/>
        </w:numPr>
      </w:pPr>
      <w:r w:rsidRPr="00907BCE">
        <w:t xml:space="preserve">Develop advanced analytics such as Investor Cohort Analysis, SIP Continuity Analysis, Rolling Sharpe Ratio, and Portfolio Concentration (HHI). </w:t>
      </w:r>
    </w:p>
    <w:p w14:paraId="06417109" w14:textId="77777777" w:rsidR="00907BCE" w:rsidRPr="00907BCE" w:rsidRDefault="00907BCE" w:rsidP="00907BCE">
      <w:pPr>
        <w:numPr>
          <w:ilvl w:val="0"/>
          <w:numId w:val="2"/>
        </w:numPr>
      </w:pPr>
      <w:r w:rsidRPr="00907BCE">
        <w:t xml:space="preserve">Build a risk-based mutual fund recommendation system using historical performance and risk category. </w:t>
      </w:r>
    </w:p>
    <w:p w14:paraId="179A0CA3" w14:textId="77777777" w:rsidR="00907BCE" w:rsidRPr="00907BCE" w:rsidRDefault="00907BCE" w:rsidP="00907BCE">
      <w:pPr>
        <w:numPr>
          <w:ilvl w:val="0"/>
          <w:numId w:val="2"/>
        </w:numPr>
      </w:pPr>
      <w:r w:rsidRPr="00907BCE">
        <w:t xml:space="preserve">Design an interactive Power BI dashboard for visualising industry trends, fund performance, investor analytics, and SIP market statistics. </w:t>
      </w:r>
    </w:p>
    <w:p w14:paraId="389C8284" w14:textId="21261837" w:rsidR="00907BCE" w:rsidRDefault="00907BCE" w:rsidP="00907BCE">
      <w:pPr>
        <w:numPr>
          <w:ilvl w:val="0"/>
          <w:numId w:val="2"/>
        </w:numPr>
      </w:pPr>
      <w:r w:rsidRPr="00907BCE">
        <w:t>Present actionable insights and recommendations based on the analysis.</w:t>
      </w:r>
    </w:p>
    <w:p w14:paraId="1C7F9AE9" w14:textId="6666A121" w:rsidR="00907BCE" w:rsidRDefault="00907BCE">
      <w:r>
        <w:br w:type="page"/>
      </w:r>
    </w:p>
    <w:p w14:paraId="0A404995" w14:textId="2589BBC7" w:rsidR="00907BCE" w:rsidRPr="00907BCE" w:rsidRDefault="00907BCE" w:rsidP="00907BCE">
      <w:pPr>
        <w:ind w:left="360"/>
        <w:rPr>
          <w:b/>
          <w:bCs/>
          <w:sz w:val="40"/>
          <w:szCs w:val="40"/>
        </w:rPr>
      </w:pPr>
      <w:r w:rsidRPr="00907BCE">
        <w:rPr>
          <w:b/>
          <w:bCs/>
          <w:sz w:val="40"/>
          <w:szCs w:val="40"/>
        </w:rPr>
        <w:lastRenderedPageBreak/>
        <w:t>Problem Statement</w:t>
      </w:r>
    </w:p>
    <w:p w14:paraId="3DBE0E71" w14:textId="77777777" w:rsidR="00907BCE" w:rsidRPr="00907BCE" w:rsidRDefault="00907BCE" w:rsidP="00907BCE">
      <w:pPr>
        <w:ind w:left="360"/>
        <w:jc w:val="both"/>
      </w:pPr>
      <w:r w:rsidRPr="00907BCE">
        <w:t>The Indian mutual fund industry has experienced significant growth in recent years, leading to an increasing number of investment schemes, investors, and financial products. While large volumes of data are generated daily, transforming this information into meaningful insights remains a challenge.</w:t>
      </w:r>
    </w:p>
    <w:p w14:paraId="3F3CDAD8" w14:textId="77777777" w:rsidR="00907BCE" w:rsidRPr="00907BCE" w:rsidRDefault="00907BCE" w:rsidP="00907BCE">
      <w:pPr>
        <w:ind w:left="360"/>
        <w:jc w:val="both"/>
      </w:pPr>
      <w:r w:rsidRPr="00907BCE">
        <w:t>Investors often struggle to compare mutual funds based on both return and risk. Traditional comparisons based solely on historical returns ignore important risk indicators such as volatility, downside risk, drawdown, and benchmark performance. Similarly, fund houses require efficient tools to analyse investor behaviour, SIP continuity, portfolio diversification, and overall market trends.</w:t>
      </w:r>
    </w:p>
    <w:p w14:paraId="1CA4697C" w14:textId="77777777" w:rsidR="00907BCE" w:rsidRPr="00907BCE" w:rsidRDefault="00907BCE" w:rsidP="00907BCE">
      <w:pPr>
        <w:ind w:left="360"/>
        <w:jc w:val="both"/>
      </w:pPr>
      <w:r w:rsidRPr="00907BCE">
        <w:t>This project addresses these challenges by developing an end-to-end Mutual Fund Analytics System that integrates data engineering, financial analytics, and business intelligence into a single workflow. The solution combines automated ETL processes, database management, statistical analysis, advanced risk metrics, and interactive dashboards to provide comprehensive insights into mutual fund performance and investor behaviour.</w:t>
      </w:r>
    </w:p>
    <w:p w14:paraId="6A6F8BCB" w14:textId="19713C13" w:rsidR="00907BCE" w:rsidRDefault="00907BCE" w:rsidP="00907BCE">
      <w:pPr>
        <w:ind w:left="360"/>
        <w:jc w:val="both"/>
      </w:pPr>
      <w:r w:rsidRPr="00907BCE">
        <w:t>The final outcome enables users to evaluate mutual funds using multiple financial indicators rather than relying on returns alone, supporting more informed investment decisions.</w:t>
      </w:r>
    </w:p>
    <w:p w14:paraId="281A56BB" w14:textId="77777777" w:rsidR="00907BCE" w:rsidRDefault="00907BCE">
      <w:r>
        <w:br w:type="page"/>
      </w:r>
    </w:p>
    <w:p w14:paraId="08FAD2AF" w14:textId="76CA7A9F" w:rsidR="00907BCE" w:rsidRPr="00297C39" w:rsidRDefault="00907BCE" w:rsidP="00907BCE">
      <w:pPr>
        <w:ind w:left="360"/>
        <w:jc w:val="both"/>
        <w:rPr>
          <w:b/>
          <w:bCs/>
          <w:sz w:val="40"/>
          <w:szCs w:val="40"/>
        </w:rPr>
      </w:pPr>
      <w:r w:rsidRPr="00297C39">
        <w:rPr>
          <w:b/>
          <w:bCs/>
          <w:sz w:val="40"/>
          <w:szCs w:val="40"/>
        </w:rPr>
        <w:lastRenderedPageBreak/>
        <w:t>Project Architecture</w:t>
      </w:r>
    </w:p>
    <w:p w14:paraId="560CDDD0" w14:textId="77777777" w:rsidR="00297C39" w:rsidRPr="00297C39" w:rsidRDefault="00297C39" w:rsidP="00297C39">
      <w:pPr>
        <w:ind w:left="360"/>
      </w:pPr>
      <w:r w:rsidRPr="00297C39">
        <w:t>The Mutual Fund Analytics project follows a structured end-to-end data analytics pipeline. Data is collected from multiple raw datasets, cleaned using Python scripts, stored in a SQLite database, analysed using Jupyter Notebook, and finally visualised in an interactive Power BI dashboard.</w:t>
      </w:r>
    </w:p>
    <w:p w14:paraId="46A65B70" w14:textId="77777777" w:rsidR="00297C39" w:rsidRPr="00297C39" w:rsidRDefault="00297C39" w:rsidP="00297C39">
      <w:pPr>
        <w:ind w:left="360"/>
        <w:rPr>
          <w:b/>
          <w:bCs/>
        </w:rPr>
      </w:pPr>
      <w:r w:rsidRPr="00297C39">
        <w:rPr>
          <w:b/>
          <w:bCs/>
        </w:rPr>
        <w:t>Project Workflow</w:t>
      </w:r>
    </w:p>
    <w:p w14:paraId="7709DA29" w14:textId="77777777" w:rsidR="00297C39" w:rsidRDefault="00297C39" w:rsidP="00297C39">
      <w:pPr>
        <w:ind w:left="360"/>
      </w:pPr>
      <w:r>
        <w:t>Raw CSV Files</w:t>
      </w:r>
    </w:p>
    <w:p w14:paraId="29FD9998" w14:textId="515965E5" w:rsidR="00297C39" w:rsidRDefault="00297C39" w:rsidP="00297C39">
      <w:pPr>
        <w:ind w:left="360"/>
      </w:pPr>
      <w:r>
        <w:t xml:space="preserve">        </w:t>
      </w:r>
      <w:r>
        <w:rPr>
          <w:noProof/>
        </w:rPr>
        <w:drawing>
          <wp:inline distT="0" distB="0" distL="0" distR="0" wp14:anchorId="6DA6D4FC" wp14:editId="65A8465A">
            <wp:extent cx="403058" cy="403058"/>
            <wp:effectExtent l="0" t="0" r="0" b="0"/>
            <wp:docPr id="1056535637" name="Graphic 2" descr="Line arrow Stra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35637" name="Graphic 1056535637" descr="Line arrow Straight"/>
                    <pic:cNvPicPr/>
                  </pic:nvPicPr>
                  <pic:blipFill>
                    <a:blip r:embed="rId8">
                      <a:extLst>
                        <a:ext uri="{96DAC541-7B7A-43D3-8B79-37D633B846F1}">
                          <asvg:svgBlip xmlns:asvg="http://schemas.microsoft.com/office/drawing/2016/SVG/main" r:embed="rId9"/>
                        </a:ext>
                      </a:extLst>
                    </a:blip>
                    <a:stretch>
                      <a:fillRect/>
                    </a:stretch>
                  </pic:blipFill>
                  <pic:spPr>
                    <a:xfrm rot="16200000">
                      <a:off x="0" y="0"/>
                      <a:ext cx="410803" cy="410803"/>
                    </a:xfrm>
                    <a:prstGeom prst="rect">
                      <a:avLst/>
                    </a:prstGeom>
                  </pic:spPr>
                </pic:pic>
              </a:graphicData>
            </a:graphic>
          </wp:inline>
        </w:drawing>
      </w:r>
    </w:p>
    <w:p w14:paraId="00FA2235" w14:textId="77777777" w:rsidR="00297C39" w:rsidRDefault="00297C39" w:rsidP="00297C39">
      <w:pPr>
        <w:ind w:left="360"/>
      </w:pPr>
      <w:r>
        <w:t>Python ETL Pipeline</w:t>
      </w:r>
    </w:p>
    <w:p w14:paraId="16FEF165" w14:textId="6BE3AAF2" w:rsidR="00297C39" w:rsidRDefault="00297C39" w:rsidP="00297C39">
      <w:pPr>
        <w:ind w:left="360"/>
      </w:pPr>
      <w:r>
        <w:t>(Data Cleaning &amp; Validation)</w:t>
      </w:r>
    </w:p>
    <w:p w14:paraId="4D7F74A0" w14:textId="1EA77948" w:rsidR="00297C39" w:rsidRDefault="00297C39" w:rsidP="00297C39">
      <w:pPr>
        <w:ind w:left="360"/>
      </w:pPr>
      <w:r>
        <w:t xml:space="preserve">        </w:t>
      </w:r>
      <w:r>
        <w:rPr>
          <w:noProof/>
        </w:rPr>
        <w:drawing>
          <wp:inline distT="0" distB="0" distL="0" distR="0" wp14:anchorId="19E48D02" wp14:editId="70025500">
            <wp:extent cx="403058" cy="403058"/>
            <wp:effectExtent l="0" t="0" r="0" b="0"/>
            <wp:docPr id="768792316" name="Graphic 2" descr="Line arrow Stra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35637" name="Graphic 1056535637" descr="Line arrow Straight"/>
                    <pic:cNvPicPr/>
                  </pic:nvPicPr>
                  <pic:blipFill>
                    <a:blip r:embed="rId8">
                      <a:extLst>
                        <a:ext uri="{96DAC541-7B7A-43D3-8B79-37D633B846F1}">
                          <asvg:svgBlip xmlns:asvg="http://schemas.microsoft.com/office/drawing/2016/SVG/main" r:embed="rId9"/>
                        </a:ext>
                      </a:extLst>
                    </a:blip>
                    <a:stretch>
                      <a:fillRect/>
                    </a:stretch>
                  </pic:blipFill>
                  <pic:spPr>
                    <a:xfrm rot="16200000">
                      <a:off x="0" y="0"/>
                      <a:ext cx="410803" cy="410803"/>
                    </a:xfrm>
                    <a:prstGeom prst="rect">
                      <a:avLst/>
                    </a:prstGeom>
                  </pic:spPr>
                </pic:pic>
              </a:graphicData>
            </a:graphic>
          </wp:inline>
        </w:drawing>
      </w:r>
    </w:p>
    <w:p w14:paraId="6EF4C558" w14:textId="504A9D67" w:rsidR="00297C39" w:rsidRDefault="00297C39" w:rsidP="00297C39">
      <w:pPr>
        <w:ind w:left="360"/>
      </w:pPr>
      <w:r>
        <w:t>SQLite Database</w:t>
      </w:r>
    </w:p>
    <w:p w14:paraId="3F43B0D6" w14:textId="42211F8E" w:rsidR="00297C39" w:rsidRDefault="00297C39" w:rsidP="00297C39">
      <w:pPr>
        <w:ind w:left="360"/>
      </w:pPr>
      <w:r>
        <w:t xml:space="preserve">        </w:t>
      </w:r>
      <w:r>
        <w:rPr>
          <w:noProof/>
        </w:rPr>
        <w:drawing>
          <wp:inline distT="0" distB="0" distL="0" distR="0" wp14:anchorId="0BC44F99" wp14:editId="052E5F3A">
            <wp:extent cx="403058" cy="403058"/>
            <wp:effectExtent l="0" t="0" r="0" b="0"/>
            <wp:docPr id="373364418" name="Graphic 2" descr="Line arrow Stra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35637" name="Graphic 1056535637" descr="Line arrow Straight"/>
                    <pic:cNvPicPr/>
                  </pic:nvPicPr>
                  <pic:blipFill>
                    <a:blip r:embed="rId8">
                      <a:extLst>
                        <a:ext uri="{96DAC541-7B7A-43D3-8B79-37D633B846F1}">
                          <asvg:svgBlip xmlns:asvg="http://schemas.microsoft.com/office/drawing/2016/SVG/main" r:embed="rId9"/>
                        </a:ext>
                      </a:extLst>
                    </a:blip>
                    <a:stretch>
                      <a:fillRect/>
                    </a:stretch>
                  </pic:blipFill>
                  <pic:spPr>
                    <a:xfrm rot="16200000">
                      <a:off x="0" y="0"/>
                      <a:ext cx="410803" cy="410803"/>
                    </a:xfrm>
                    <a:prstGeom prst="rect">
                      <a:avLst/>
                    </a:prstGeom>
                  </pic:spPr>
                </pic:pic>
              </a:graphicData>
            </a:graphic>
          </wp:inline>
        </w:drawing>
      </w:r>
    </w:p>
    <w:p w14:paraId="1B856821" w14:textId="77777777" w:rsidR="00297C39" w:rsidRDefault="00297C39" w:rsidP="00297C39">
      <w:pPr>
        <w:ind w:left="360"/>
      </w:pPr>
      <w:r>
        <w:t>Jupyter Notebook</w:t>
      </w:r>
    </w:p>
    <w:p w14:paraId="67F87F25" w14:textId="77777777" w:rsidR="00297C39" w:rsidRDefault="00297C39" w:rsidP="00297C39">
      <w:pPr>
        <w:ind w:left="360"/>
      </w:pPr>
      <w:r>
        <w:t>(EDA + Performance Analytics + Advanced Analytics)</w:t>
      </w:r>
    </w:p>
    <w:p w14:paraId="4332A162" w14:textId="17A380AA" w:rsidR="00297C39" w:rsidRDefault="00297C39" w:rsidP="00297C39">
      <w:pPr>
        <w:ind w:left="360"/>
      </w:pPr>
      <w:r>
        <w:t xml:space="preserve">        </w:t>
      </w:r>
      <w:r>
        <w:rPr>
          <w:noProof/>
        </w:rPr>
        <w:drawing>
          <wp:inline distT="0" distB="0" distL="0" distR="0" wp14:anchorId="768BBDA4" wp14:editId="69F72C25">
            <wp:extent cx="403058" cy="403058"/>
            <wp:effectExtent l="0" t="0" r="0" b="0"/>
            <wp:docPr id="1489527810" name="Graphic 2" descr="Line arrow Stra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35637" name="Graphic 1056535637" descr="Line arrow Straight"/>
                    <pic:cNvPicPr/>
                  </pic:nvPicPr>
                  <pic:blipFill>
                    <a:blip r:embed="rId8">
                      <a:extLst>
                        <a:ext uri="{96DAC541-7B7A-43D3-8B79-37D633B846F1}">
                          <asvg:svgBlip xmlns:asvg="http://schemas.microsoft.com/office/drawing/2016/SVG/main" r:embed="rId9"/>
                        </a:ext>
                      </a:extLst>
                    </a:blip>
                    <a:stretch>
                      <a:fillRect/>
                    </a:stretch>
                  </pic:blipFill>
                  <pic:spPr>
                    <a:xfrm rot="16200000">
                      <a:off x="0" y="0"/>
                      <a:ext cx="410803" cy="410803"/>
                    </a:xfrm>
                    <a:prstGeom prst="rect">
                      <a:avLst/>
                    </a:prstGeom>
                  </pic:spPr>
                </pic:pic>
              </a:graphicData>
            </a:graphic>
          </wp:inline>
        </w:drawing>
      </w:r>
    </w:p>
    <w:p w14:paraId="4AFB46C7" w14:textId="77777777" w:rsidR="00297C39" w:rsidRDefault="00297C39" w:rsidP="00297C39">
      <w:pPr>
        <w:ind w:left="360"/>
      </w:pPr>
      <w:r>
        <w:t>Power BI Dashboard</w:t>
      </w:r>
    </w:p>
    <w:p w14:paraId="24D718EF" w14:textId="62C97F05" w:rsidR="00297C39" w:rsidRDefault="00297C39" w:rsidP="00297C39">
      <w:pPr>
        <w:ind w:left="360"/>
      </w:pPr>
      <w:r>
        <w:t xml:space="preserve">        </w:t>
      </w:r>
      <w:r>
        <w:rPr>
          <w:noProof/>
        </w:rPr>
        <w:drawing>
          <wp:inline distT="0" distB="0" distL="0" distR="0" wp14:anchorId="671ACF63" wp14:editId="0A92EA60">
            <wp:extent cx="403058" cy="403058"/>
            <wp:effectExtent l="0" t="0" r="0" b="0"/>
            <wp:docPr id="1999363354" name="Graphic 2" descr="Line arrow Stra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35637" name="Graphic 1056535637" descr="Line arrow Straight"/>
                    <pic:cNvPicPr/>
                  </pic:nvPicPr>
                  <pic:blipFill>
                    <a:blip r:embed="rId8">
                      <a:extLst>
                        <a:ext uri="{96DAC541-7B7A-43D3-8B79-37D633B846F1}">
                          <asvg:svgBlip xmlns:asvg="http://schemas.microsoft.com/office/drawing/2016/SVG/main" r:embed="rId9"/>
                        </a:ext>
                      </a:extLst>
                    </a:blip>
                    <a:stretch>
                      <a:fillRect/>
                    </a:stretch>
                  </pic:blipFill>
                  <pic:spPr>
                    <a:xfrm rot="16200000">
                      <a:off x="0" y="0"/>
                      <a:ext cx="410803" cy="410803"/>
                    </a:xfrm>
                    <a:prstGeom prst="rect">
                      <a:avLst/>
                    </a:prstGeom>
                  </pic:spPr>
                </pic:pic>
              </a:graphicData>
            </a:graphic>
          </wp:inline>
        </w:drawing>
      </w:r>
    </w:p>
    <w:p w14:paraId="376EC337" w14:textId="4120B585" w:rsidR="00297C39" w:rsidRDefault="00297C39" w:rsidP="00297C39">
      <w:pPr>
        <w:ind w:left="360"/>
      </w:pPr>
      <w:r>
        <w:t>Business Insights &amp; Recommendations</w:t>
      </w:r>
    </w:p>
    <w:p w14:paraId="1EE08AE2" w14:textId="77777777" w:rsidR="00297C39" w:rsidRDefault="00297C39">
      <w:r>
        <w:br w:type="page"/>
      </w:r>
    </w:p>
    <w:p w14:paraId="3534AEBF" w14:textId="4962EFFC" w:rsidR="00907BCE" w:rsidRPr="001A7C75" w:rsidRDefault="00297C39" w:rsidP="001A7C75">
      <w:pPr>
        <w:rPr>
          <w:b/>
          <w:bCs/>
          <w:sz w:val="40"/>
          <w:szCs w:val="40"/>
        </w:rPr>
      </w:pPr>
      <w:r w:rsidRPr="001A7C75">
        <w:rPr>
          <w:b/>
          <w:bCs/>
          <w:sz w:val="40"/>
          <w:szCs w:val="40"/>
        </w:rPr>
        <w:lastRenderedPageBreak/>
        <w:t>Technology Stack</w:t>
      </w:r>
    </w:p>
    <w:tbl>
      <w:tblPr>
        <w:tblStyle w:val="PlainTable1"/>
        <w:tblW w:w="0" w:type="auto"/>
        <w:tblLook w:val="04A0" w:firstRow="1" w:lastRow="0" w:firstColumn="1" w:lastColumn="0" w:noHBand="0" w:noVBand="1"/>
      </w:tblPr>
      <w:tblGrid>
        <w:gridCol w:w="4328"/>
        <w:gridCol w:w="4328"/>
      </w:tblGrid>
      <w:tr w:rsidR="00297C39" w14:paraId="3D8AB1A0" w14:textId="77777777" w:rsidTr="008C41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8" w:type="dxa"/>
          </w:tcPr>
          <w:p w14:paraId="4D8396AD" w14:textId="77777777" w:rsidR="00297C39" w:rsidRPr="00297C39" w:rsidRDefault="00297C39" w:rsidP="00297C39">
            <w:pPr>
              <w:rPr>
                <w:b w:val="0"/>
                <w:bCs w:val="0"/>
              </w:rPr>
            </w:pPr>
            <w:r w:rsidRPr="00297C39">
              <w:rPr>
                <w:b w:val="0"/>
                <w:bCs w:val="0"/>
              </w:rPr>
              <w:t>Technology</w:t>
            </w:r>
          </w:p>
          <w:p w14:paraId="6569C240" w14:textId="77777777" w:rsidR="00297C39" w:rsidRPr="00297C39" w:rsidRDefault="00297C39" w:rsidP="00297C39">
            <w:pPr>
              <w:rPr>
                <w:b w:val="0"/>
                <w:bCs w:val="0"/>
              </w:rPr>
            </w:pPr>
          </w:p>
        </w:tc>
        <w:tc>
          <w:tcPr>
            <w:tcW w:w="4328" w:type="dxa"/>
          </w:tcPr>
          <w:p w14:paraId="254E07B7" w14:textId="4D38EC14" w:rsidR="00297C39" w:rsidRPr="00297C39" w:rsidRDefault="00297C39" w:rsidP="00297C39">
            <w:pPr>
              <w:cnfStyle w:val="100000000000" w:firstRow="1" w:lastRow="0" w:firstColumn="0" w:lastColumn="0" w:oddVBand="0" w:evenVBand="0" w:oddHBand="0" w:evenHBand="0" w:firstRowFirstColumn="0" w:firstRowLastColumn="0" w:lastRowFirstColumn="0" w:lastRowLastColumn="0"/>
              <w:rPr>
                <w:b w:val="0"/>
                <w:bCs w:val="0"/>
              </w:rPr>
            </w:pPr>
            <w:r w:rsidRPr="00297C39">
              <w:rPr>
                <w:b w:val="0"/>
                <w:bCs w:val="0"/>
              </w:rPr>
              <w:t>Purpose</w:t>
            </w:r>
          </w:p>
        </w:tc>
      </w:tr>
      <w:tr w:rsidR="00297C39" w14:paraId="20AA5E89" w14:textId="77777777" w:rsidTr="008C4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8" w:type="dxa"/>
          </w:tcPr>
          <w:p w14:paraId="639013E1" w14:textId="0CCA2E80" w:rsidR="00297C39" w:rsidRDefault="00297C39" w:rsidP="00297C39">
            <w:r>
              <w:t>Python</w:t>
            </w:r>
          </w:p>
        </w:tc>
        <w:tc>
          <w:tcPr>
            <w:tcW w:w="4328" w:type="dxa"/>
          </w:tcPr>
          <w:p w14:paraId="2957998C" w14:textId="4366A264" w:rsidR="00297C39" w:rsidRDefault="00297C39" w:rsidP="00297C39">
            <w:pPr>
              <w:cnfStyle w:val="000000100000" w:firstRow="0" w:lastRow="0" w:firstColumn="0" w:lastColumn="0" w:oddVBand="0" w:evenVBand="0" w:oddHBand="1" w:evenHBand="0" w:firstRowFirstColumn="0" w:firstRowLastColumn="0" w:lastRowFirstColumn="0" w:lastRowLastColumn="0"/>
            </w:pPr>
            <w:r>
              <w:t>Data processing and analytics</w:t>
            </w:r>
          </w:p>
        </w:tc>
      </w:tr>
      <w:tr w:rsidR="00297C39" w14:paraId="3FED383E" w14:textId="77777777" w:rsidTr="008C4138">
        <w:tc>
          <w:tcPr>
            <w:cnfStyle w:val="001000000000" w:firstRow="0" w:lastRow="0" w:firstColumn="1" w:lastColumn="0" w:oddVBand="0" w:evenVBand="0" w:oddHBand="0" w:evenHBand="0" w:firstRowFirstColumn="0" w:firstRowLastColumn="0" w:lastRowFirstColumn="0" w:lastRowLastColumn="0"/>
            <w:tcW w:w="4328" w:type="dxa"/>
          </w:tcPr>
          <w:p w14:paraId="77BD0FFA" w14:textId="5370B184" w:rsidR="00297C39" w:rsidRDefault="00297C39" w:rsidP="00297C39">
            <w:r>
              <w:t>Pandas</w:t>
            </w:r>
          </w:p>
        </w:tc>
        <w:tc>
          <w:tcPr>
            <w:tcW w:w="4328" w:type="dxa"/>
          </w:tcPr>
          <w:p w14:paraId="2B1AD86B" w14:textId="2556F0F8" w:rsidR="00297C39" w:rsidRDefault="00297C39" w:rsidP="00297C39">
            <w:pPr>
              <w:cnfStyle w:val="000000000000" w:firstRow="0" w:lastRow="0" w:firstColumn="0" w:lastColumn="0" w:oddVBand="0" w:evenVBand="0" w:oddHBand="0" w:evenHBand="0" w:firstRowFirstColumn="0" w:firstRowLastColumn="0" w:lastRowFirstColumn="0" w:lastRowLastColumn="0"/>
            </w:pPr>
            <w:r>
              <w:t>Data cleaning and manipulation</w:t>
            </w:r>
          </w:p>
        </w:tc>
      </w:tr>
      <w:tr w:rsidR="00297C39" w14:paraId="37C3611E" w14:textId="77777777" w:rsidTr="008C4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8" w:type="dxa"/>
          </w:tcPr>
          <w:p w14:paraId="485764C6" w14:textId="13670FAC" w:rsidR="00297C39" w:rsidRDefault="00297C39" w:rsidP="00297C39">
            <w:r>
              <w:t>NumPy</w:t>
            </w:r>
          </w:p>
        </w:tc>
        <w:tc>
          <w:tcPr>
            <w:tcW w:w="4328" w:type="dxa"/>
          </w:tcPr>
          <w:p w14:paraId="5BC1E036" w14:textId="73D0E816" w:rsidR="00297C39" w:rsidRDefault="00297C39" w:rsidP="00297C39">
            <w:pPr>
              <w:cnfStyle w:val="000000100000" w:firstRow="0" w:lastRow="0" w:firstColumn="0" w:lastColumn="0" w:oddVBand="0" w:evenVBand="0" w:oddHBand="1" w:evenHBand="0" w:firstRowFirstColumn="0" w:firstRowLastColumn="0" w:lastRowFirstColumn="0" w:lastRowLastColumn="0"/>
            </w:pPr>
            <w:r>
              <w:t>Numerical computations</w:t>
            </w:r>
          </w:p>
        </w:tc>
      </w:tr>
      <w:tr w:rsidR="00297C39" w14:paraId="104CBEA7" w14:textId="77777777" w:rsidTr="008C4138">
        <w:tc>
          <w:tcPr>
            <w:cnfStyle w:val="001000000000" w:firstRow="0" w:lastRow="0" w:firstColumn="1" w:lastColumn="0" w:oddVBand="0" w:evenVBand="0" w:oddHBand="0" w:evenHBand="0" w:firstRowFirstColumn="0" w:firstRowLastColumn="0" w:lastRowFirstColumn="0" w:lastRowLastColumn="0"/>
            <w:tcW w:w="4328" w:type="dxa"/>
          </w:tcPr>
          <w:p w14:paraId="7CA40FF6" w14:textId="30649372" w:rsidR="00297C39" w:rsidRDefault="00297C39" w:rsidP="00297C39">
            <w:r>
              <w:t>SQLite</w:t>
            </w:r>
          </w:p>
        </w:tc>
        <w:tc>
          <w:tcPr>
            <w:tcW w:w="4328" w:type="dxa"/>
          </w:tcPr>
          <w:p w14:paraId="3D0552F8" w14:textId="1D795535" w:rsidR="00297C39" w:rsidRDefault="00297C39" w:rsidP="00297C39">
            <w:pPr>
              <w:cnfStyle w:val="000000000000" w:firstRow="0" w:lastRow="0" w:firstColumn="0" w:lastColumn="0" w:oddVBand="0" w:evenVBand="0" w:oddHBand="0" w:evenHBand="0" w:firstRowFirstColumn="0" w:firstRowLastColumn="0" w:lastRowFirstColumn="0" w:lastRowLastColumn="0"/>
            </w:pPr>
            <w:r>
              <w:t>Database storage</w:t>
            </w:r>
          </w:p>
        </w:tc>
      </w:tr>
      <w:tr w:rsidR="00297C39" w14:paraId="58008509" w14:textId="77777777" w:rsidTr="008C4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8" w:type="dxa"/>
          </w:tcPr>
          <w:p w14:paraId="6F63F113" w14:textId="52C68F18" w:rsidR="00297C39" w:rsidRDefault="00297C39" w:rsidP="00297C39">
            <w:r>
              <w:t>SQL</w:t>
            </w:r>
          </w:p>
        </w:tc>
        <w:tc>
          <w:tcPr>
            <w:tcW w:w="4328" w:type="dxa"/>
          </w:tcPr>
          <w:p w14:paraId="682469ED" w14:textId="266C7871" w:rsidR="00297C39" w:rsidRDefault="00297C39" w:rsidP="00297C39">
            <w:pPr>
              <w:cnfStyle w:val="000000100000" w:firstRow="0" w:lastRow="0" w:firstColumn="0" w:lastColumn="0" w:oddVBand="0" w:evenVBand="0" w:oddHBand="1" w:evenHBand="0" w:firstRowFirstColumn="0" w:firstRowLastColumn="0" w:lastRowFirstColumn="0" w:lastRowLastColumn="0"/>
            </w:pPr>
            <w:r>
              <w:t>Data querying</w:t>
            </w:r>
          </w:p>
        </w:tc>
      </w:tr>
      <w:tr w:rsidR="00297C39" w14:paraId="110B6E10" w14:textId="77777777" w:rsidTr="008C4138">
        <w:tc>
          <w:tcPr>
            <w:cnfStyle w:val="001000000000" w:firstRow="0" w:lastRow="0" w:firstColumn="1" w:lastColumn="0" w:oddVBand="0" w:evenVBand="0" w:oddHBand="0" w:evenHBand="0" w:firstRowFirstColumn="0" w:firstRowLastColumn="0" w:lastRowFirstColumn="0" w:lastRowLastColumn="0"/>
            <w:tcW w:w="4328" w:type="dxa"/>
          </w:tcPr>
          <w:p w14:paraId="303E596C" w14:textId="2A555008" w:rsidR="00297C39" w:rsidRDefault="00297C39" w:rsidP="00297C39">
            <w:r>
              <w:t>Jupyter Notebook</w:t>
            </w:r>
          </w:p>
        </w:tc>
        <w:tc>
          <w:tcPr>
            <w:tcW w:w="4328" w:type="dxa"/>
          </w:tcPr>
          <w:p w14:paraId="62F94CFD" w14:textId="25EC199A" w:rsidR="00297C39" w:rsidRDefault="00297C39" w:rsidP="00297C39">
            <w:pPr>
              <w:cnfStyle w:val="000000000000" w:firstRow="0" w:lastRow="0" w:firstColumn="0" w:lastColumn="0" w:oddVBand="0" w:evenVBand="0" w:oddHBand="0" w:evenHBand="0" w:firstRowFirstColumn="0" w:firstRowLastColumn="0" w:lastRowFirstColumn="0" w:lastRowLastColumn="0"/>
            </w:pPr>
            <w:r>
              <w:t>Analysis and documentation</w:t>
            </w:r>
          </w:p>
        </w:tc>
      </w:tr>
      <w:tr w:rsidR="00297C39" w14:paraId="30C497EB" w14:textId="77777777" w:rsidTr="008C4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8" w:type="dxa"/>
          </w:tcPr>
          <w:p w14:paraId="485D538F" w14:textId="6D9EE27D" w:rsidR="00297C39" w:rsidRDefault="00297C39" w:rsidP="00297C39">
            <w:r>
              <w:t>Power BI</w:t>
            </w:r>
          </w:p>
        </w:tc>
        <w:tc>
          <w:tcPr>
            <w:tcW w:w="4328" w:type="dxa"/>
          </w:tcPr>
          <w:p w14:paraId="3F5B687F" w14:textId="0363C26F" w:rsidR="00297C39" w:rsidRDefault="00297C39" w:rsidP="00297C39">
            <w:pPr>
              <w:cnfStyle w:val="000000100000" w:firstRow="0" w:lastRow="0" w:firstColumn="0" w:lastColumn="0" w:oddVBand="0" w:evenVBand="0" w:oddHBand="1" w:evenHBand="0" w:firstRowFirstColumn="0" w:firstRowLastColumn="0" w:lastRowFirstColumn="0" w:lastRowLastColumn="0"/>
            </w:pPr>
            <w:r>
              <w:t>Interactive dashboard development</w:t>
            </w:r>
          </w:p>
        </w:tc>
      </w:tr>
      <w:tr w:rsidR="00297C39" w14:paraId="25065C9F" w14:textId="77777777" w:rsidTr="008C4138">
        <w:tc>
          <w:tcPr>
            <w:cnfStyle w:val="001000000000" w:firstRow="0" w:lastRow="0" w:firstColumn="1" w:lastColumn="0" w:oddVBand="0" w:evenVBand="0" w:oddHBand="0" w:evenHBand="0" w:firstRowFirstColumn="0" w:firstRowLastColumn="0" w:lastRowFirstColumn="0" w:lastRowLastColumn="0"/>
            <w:tcW w:w="4328" w:type="dxa"/>
          </w:tcPr>
          <w:p w14:paraId="0104ECAA" w14:textId="2526DAE4" w:rsidR="00297C39" w:rsidRDefault="00297C39" w:rsidP="00297C39">
            <w:r>
              <w:t>Git &amp; GitHub</w:t>
            </w:r>
          </w:p>
        </w:tc>
        <w:tc>
          <w:tcPr>
            <w:tcW w:w="4328" w:type="dxa"/>
          </w:tcPr>
          <w:p w14:paraId="34F7E484" w14:textId="5EA82A01" w:rsidR="00297C39" w:rsidRDefault="00297C39" w:rsidP="00297C39">
            <w:pPr>
              <w:cnfStyle w:val="000000000000" w:firstRow="0" w:lastRow="0" w:firstColumn="0" w:lastColumn="0" w:oddVBand="0" w:evenVBand="0" w:oddHBand="0" w:evenHBand="0" w:firstRowFirstColumn="0" w:firstRowLastColumn="0" w:lastRowFirstColumn="0" w:lastRowLastColumn="0"/>
            </w:pPr>
            <w:r>
              <w:t>Version control</w:t>
            </w:r>
          </w:p>
        </w:tc>
      </w:tr>
      <w:tr w:rsidR="00297C39" w14:paraId="00B45AA8" w14:textId="77777777" w:rsidTr="008C4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8" w:type="dxa"/>
          </w:tcPr>
          <w:p w14:paraId="001BF561" w14:textId="746045A5" w:rsidR="00297C39" w:rsidRDefault="00297C39" w:rsidP="00297C39">
            <w:r>
              <w:t>VS Code</w:t>
            </w:r>
          </w:p>
        </w:tc>
        <w:tc>
          <w:tcPr>
            <w:tcW w:w="4328" w:type="dxa"/>
          </w:tcPr>
          <w:p w14:paraId="4BA12925" w14:textId="2C5CD09D" w:rsidR="00297C39" w:rsidRDefault="00297C39" w:rsidP="00297C39">
            <w:pPr>
              <w:cnfStyle w:val="000000100000" w:firstRow="0" w:lastRow="0" w:firstColumn="0" w:lastColumn="0" w:oddVBand="0" w:evenVBand="0" w:oddHBand="1" w:evenHBand="0" w:firstRowFirstColumn="0" w:firstRowLastColumn="0" w:lastRowFirstColumn="0" w:lastRowLastColumn="0"/>
            </w:pPr>
            <w:r>
              <w:t>Python development</w:t>
            </w:r>
          </w:p>
        </w:tc>
      </w:tr>
      <w:tr w:rsidR="00297C39" w14:paraId="5B61A4DF" w14:textId="77777777" w:rsidTr="008C4138">
        <w:tc>
          <w:tcPr>
            <w:cnfStyle w:val="001000000000" w:firstRow="0" w:lastRow="0" w:firstColumn="1" w:lastColumn="0" w:oddVBand="0" w:evenVBand="0" w:oddHBand="0" w:evenHBand="0" w:firstRowFirstColumn="0" w:firstRowLastColumn="0" w:lastRowFirstColumn="0" w:lastRowLastColumn="0"/>
            <w:tcW w:w="4328" w:type="dxa"/>
          </w:tcPr>
          <w:p w14:paraId="22069FEC" w14:textId="7FBBF2AB" w:rsidR="00297C39" w:rsidRDefault="00297C39" w:rsidP="00297C39">
            <w:r>
              <w:t>Microsoft Excel</w:t>
            </w:r>
          </w:p>
        </w:tc>
        <w:tc>
          <w:tcPr>
            <w:tcW w:w="4328" w:type="dxa"/>
          </w:tcPr>
          <w:p w14:paraId="7331DFBF" w14:textId="68598FF1" w:rsidR="00297C39" w:rsidRDefault="00297C39" w:rsidP="00297C39">
            <w:pPr>
              <w:cnfStyle w:val="000000000000" w:firstRow="0" w:lastRow="0" w:firstColumn="0" w:lastColumn="0" w:oddVBand="0" w:evenVBand="0" w:oddHBand="0" w:evenHBand="0" w:firstRowFirstColumn="0" w:firstRowLastColumn="0" w:lastRowFirstColumn="0" w:lastRowLastColumn="0"/>
            </w:pPr>
            <w:r>
              <w:t>Initial data inspection</w:t>
            </w:r>
          </w:p>
        </w:tc>
      </w:tr>
    </w:tbl>
    <w:p w14:paraId="7B9F955D" w14:textId="77777777" w:rsidR="00297C39" w:rsidRPr="00907BCE" w:rsidRDefault="00297C39" w:rsidP="00297C39">
      <w:pPr>
        <w:ind w:left="360"/>
      </w:pPr>
    </w:p>
    <w:p w14:paraId="70BA3E32" w14:textId="591C3921" w:rsidR="008C4138" w:rsidRDefault="008C4138" w:rsidP="00907BCE">
      <w:r w:rsidRPr="008C4138">
        <w:t>The project integrates Python, SQL, SQLite, Power BI, and Jupyter Notebook to build a complete end-to-end analytics pipeline. Python scripts automate data ingestion and cleaning, SQLite stores structured datasets, Jupyter Notebook performs analytical computations, and Power BI provides interactive visualizations for business users.</w:t>
      </w:r>
    </w:p>
    <w:p w14:paraId="2AC8882C" w14:textId="77777777" w:rsidR="008C4138" w:rsidRDefault="008C4138">
      <w:r>
        <w:br w:type="page"/>
      </w:r>
    </w:p>
    <w:p w14:paraId="56ECE50E" w14:textId="07BC382B" w:rsidR="00907BCE" w:rsidRPr="008C4138" w:rsidRDefault="008C4138" w:rsidP="00907BCE">
      <w:pPr>
        <w:rPr>
          <w:b/>
          <w:bCs/>
          <w:sz w:val="40"/>
          <w:szCs w:val="40"/>
        </w:rPr>
      </w:pPr>
      <w:r w:rsidRPr="008C4138">
        <w:rPr>
          <w:b/>
          <w:bCs/>
          <w:sz w:val="40"/>
          <w:szCs w:val="40"/>
        </w:rPr>
        <w:lastRenderedPageBreak/>
        <w:t>Dataset Description</w:t>
      </w:r>
    </w:p>
    <w:p w14:paraId="092028EC" w14:textId="1FA3D1D8" w:rsidR="008C4138" w:rsidRDefault="008C4138" w:rsidP="00907BCE">
      <w:r w:rsidRPr="008C4138">
        <w:t>The project uses ten primary datasets covering mutual fund schemes, NAV history, investor transactions, benchmark indices, portfolio holdings, SIP inflows, and industry statistics.</w:t>
      </w:r>
    </w:p>
    <w:tbl>
      <w:tblPr>
        <w:tblStyle w:val="PlainTable1"/>
        <w:tblW w:w="0" w:type="auto"/>
        <w:tblLook w:val="04A0" w:firstRow="1" w:lastRow="0" w:firstColumn="1" w:lastColumn="0" w:noHBand="0" w:noVBand="1"/>
      </w:tblPr>
      <w:tblGrid>
        <w:gridCol w:w="3117"/>
        <w:gridCol w:w="2957"/>
        <w:gridCol w:w="2942"/>
      </w:tblGrid>
      <w:tr w:rsidR="008C4138" w14:paraId="331BB346" w14:textId="77777777" w:rsidTr="008C41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2E64145" w14:textId="2F0A0528" w:rsidR="008C4138" w:rsidRPr="008C4138" w:rsidRDefault="008C4138" w:rsidP="008C4138">
            <w:r w:rsidRPr="008C4138">
              <w:t>Dataset</w:t>
            </w:r>
          </w:p>
        </w:tc>
        <w:tc>
          <w:tcPr>
            <w:tcW w:w="3005" w:type="dxa"/>
          </w:tcPr>
          <w:p w14:paraId="1662C0B9" w14:textId="2E74ADDE" w:rsidR="008C4138" w:rsidRPr="008C4138" w:rsidRDefault="008C4138" w:rsidP="008C4138">
            <w:pPr>
              <w:cnfStyle w:val="100000000000" w:firstRow="1" w:lastRow="0" w:firstColumn="0" w:lastColumn="0" w:oddVBand="0" w:evenVBand="0" w:oddHBand="0" w:evenHBand="0" w:firstRowFirstColumn="0" w:firstRowLastColumn="0" w:lastRowFirstColumn="0" w:lastRowLastColumn="0"/>
            </w:pPr>
            <w:r w:rsidRPr="008C4138">
              <w:t>Description</w:t>
            </w:r>
          </w:p>
        </w:tc>
        <w:tc>
          <w:tcPr>
            <w:tcW w:w="3006" w:type="dxa"/>
          </w:tcPr>
          <w:p w14:paraId="658825B6" w14:textId="4D3EEB6C" w:rsidR="008C4138" w:rsidRPr="008C4138" w:rsidRDefault="008C4138" w:rsidP="008C4138">
            <w:pPr>
              <w:cnfStyle w:val="100000000000" w:firstRow="1" w:lastRow="0" w:firstColumn="0" w:lastColumn="0" w:oddVBand="0" w:evenVBand="0" w:oddHBand="0" w:evenHBand="0" w:firstRowFirstColumn="0" w:firstRowLastColumn="0" w:lastRowFirstColumn="0" w:lastRowLastColumn="0"/>
            </w:pPr>
            <w:r w:rsidRPr="008C4138">
              <w:t>Records</w:t>
            </w:r>
          </w:p>
        </w:tc>
      </w:tr>
      <w:tr w:rsidR="008C4138" w14:paraId="5E0988B7" w14:textId="77777777" w:rsidTr="008C4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8B95D72" w14:textId="01DA7CE8" w:rsidR="008C4138" w:rsidRDefault="008C4138" w:rsidP="008C4138">
            <w:r>
              <w:t>01_fund_master.csv</w:t>
            </w:r>
          </w:p>
        </w:tc>
        <w:tc>
          <w:tcPr>
            <w:tcW w:w="3005" w:type="dxa"/>
          </w:tcPr>
          <w:p w14:paraId="0A42B02A" w14:textId="35F68E9F" w:rsidR="008C4138" w:rsidRDefault="008C4138" w:rsidP="008C4138">
            <w:pPr>
              <w:cnfStyle w:val="000000100000" w:firstRow="0" w:lastRow="0" w:firstColumn="0" w:lastColumn="0" w:oddVBand="0" w:evenVBand="0" w:oddHBand="1" w:evenHBand="0" w:firstRowFirstColumn="0" w:firstRowLastColumn="0" w:lastRowFirstColumn="0" w:lastRowLastColumn="0"/>
            </w:pPr>
            <w:r>
              <w:t>Mutual fund master details</w:t>
            </w:r>
          </w:p>
        </w:tc>
        <w:tc>
          <w:tcPr>
            <w:tcW w:w="3006" w:type="dxa"/>
          </w:tcPr>
          <w:p w14:paraId="3B6CF541" w14:textId="4ECA4866" w:rsidR="008C4138" w:rsidRDefault="008C4138" w:rsidP="008C4138">
            <w:pPr>
              <w:cnfStyle w:val="000000100000" w:firstRow="0" w:lastRow="0" w:firstColumn="0" w:lastColumn="0" w:oddVBand="0" w:evenVBand="0" w:oddHBand="1" w:evenHBand="0" w:firstRowFirstColumn="0" w:firstRowLastColumn="0" w:lastRowFirstColumn="0" w:lastRowLastColumn="0"/>
            </w:pPr>
            <w:r>
              <w:t>40</w:t>
            </w:r>
          </w:p>
        </w:tc>
      </w:tr>
      <w:tr w:rsidR="008C4138" w14:paraId="410D74B1" w14:textId="77777777" w:rsidTr="008C4138">
        <w:tc>
          <w:tcPr>
            <w:cnfStyle w:val="001000000000" w:firstRow="0" w:lastRow="0" w:firstColumn="1" w:lastColumn="0" w:oddVBand="0" w:evenVBand="0" w:oddHBand="0" w:evenHBand="0" w:firstRowFirstColumn="0" w:firstRowLastColumn="0" w:lastRowFirstColumn="0" w:lastRowLastColumn="0"/>
            <w:tcW w:w="3005" w:type="dxa"/>
          </w:tcPr>
          <w:p w14:paraId="1516FD9E" w14:textId="41484B58" w:rsidR="008C4138" w:rsidRDefault="008C4138" w:rsidP="008C4138">
            <w:r>
              <w:t>02_nav_history.csv</w:t>
            </w:r>
          </w:p>
        </w:tc>
        <w:tc>
          <w:tcPr>
            <w:tcW w:w="3005" w:type="dxa"/>
          </w:tcPr>
          <w:p w14:paraId="2E0C5590" w14:textId="0D7F4417" w:rsidR="008C4138" w:rsidRDefault="008C4138" w:rsidP="008C4138">
            <w:pPr>
              <w:cnfStyle w:val="000000000000" w:firstRow="0" w:lastRow="0" w:firstColumn="0" w:lastColumn="0" w:oddVBand="0" w:evenVBand="0" w:oddHBand="0" w:evenHBand="0" w:firstRowFirstColumn="0" w:firstRowLastColumn="0" w:lastRowFirstColumn="0" w:lastRowLastColumn="0"/>
            </w:pPr>
            <w:r>
              <w:t>Historical NAV prices</w:t>
            </w:r>
          </w:p>
        </w:tc>
        <w:tc>
          <w:tcPr>
            <w:tcW w:w="3006" w:type="dxa"/>
          </w:tcPr>
          <w:p w14:paraId="2A3B53E0" w14:textId="6663E704" w:rsidR="008C4138" w:rsidRDefault="008C4138" w:rsidP="008C4138">
            <w:pPr>
              <w:cnfStyle w:val="000000000000" w:firstRow="0" w:lastRow="0" w:firstColumn="0" w:lastColumn="0" w:oddVBand="0" w:evenVBand="0" w:oddHBand="0" w:evenHBand="0" w:firstRowFirstColumn="0" w:firstRowLastColumn="0" w:lastRowFirstColumn="0" w:lastRowLastColumn="0"/>
            </w:pPr>
            <w:r>
              <w:t>46,000</w:t>
            </w:r>
          </w:p>
        </w:tc>
      </w:tr>
      <w:tr w:rsidR="008C4138" w14:paraId="0405B8B5" w14:textId="77777777" w:rsidTr="008C4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A922250" w14:textId="21A27B4B" w:rsidR="008C4138" w:rsidRDefault="008C4138" w:rsidP="008C4138">
            <w:r>
              <w:t>03_aum_by_fund_house.csv</w:t>
            </w:r>
          </w:p>
        </w:tc>
        <w:tc>
          <w:tcPr>
            <w:tcW w:w="3005" w:type="dxa"/>
          </w:tcPr>
          <w:p w14:paraId="733B24FC" w14:textId="7160A2DE" w:rsidR="008C4138" w:rsidRDefault="008C4138" w:rsidP="008C4138">
            <w:pPr>
              <w:cnfStyle w:val="000000100000" w:firstRow="0" w:lastRow="0" w:firstColumn="0" w:lastColumn="0" w:oddVBand="0" w:evenVBand="0" w:oddHBand="1" w:evenHBand="0" w:firstRowFirstColumn="0" w:firstRowLastColumn="0" w:lastRowFirstColumn="0" w:lastRowLastColumn="0"/>
            </w:pPr>
            <w:r>
              <w:t>Assets under management</w:t>
            </w:r>
          </w:p>
        </w:tc>
        <w:tc>
          <w:tcPr>
            <w:tcW w:w="3006" w:type="dxa"/>
          </w:tcPr>
          <w:p w14:paraId="3F06D427" w14:textId="23550873" w:rsidR="008C4138" w:rsidRDefault="008C4138" w:rsidP="008C4138">
            <w:pPr>
              <w:cnfStyle w:val="000000100000" w:firstRow="0" w:lastRow="0" w:firstColumn="0" w:lastColumn="0" w:oddVBand="0" w:evenVBand="0" w:oddHBand="1" w:evenHBand="0" w:firstRowFirstColumn="0" w:firstRowLastColumn="0" w:lastRowFirstColumn="0" w:lastRowLastColumn="0"/>
            </w:pPr>
            <w:r>
              <w:t>90</w:t>
            </w:r>
          </w:p>
        </w:tc>
      </w:tr>
      <w:tr w:rsidR="008C4138" w14:paraId="287F464C" w14:textId="77777777" w:rsidTr="008C4138">
        <w:tc>
          <w:tcPr>
            <w:cnfStyle w:val="001000000000" w:firstRow="0" w:lastRow="0" w:firstColumn="1" w:lastColumn="0" w:oddVBand="0" w:evenVBand="0" w:oddHBand="0" w:evenHBand="0" w:firstRowFirstColumn="0" w:firstRowLastColumn="0" w:lastRowFirstColumn="0" w:lastRowLastColumn="0"/>
            <w:tcW w:w="3005" w:type="dxa"/>
          </w:tcPr>
          <w:p w14:paraId="35442F88" w14:textId="1031E98A" w:rsidR="008C4138" w:rsidRDefault="008C4138" w:rsidP="008C4138">
            <w:r>
              <w:t>04_monthly_sip_inflows.csv</w:t>
            </w:r>
          </w:p>
        </w:tc>
        <w:tc>
          <w:tcPr>
            <w:tcW w:w="3005" w:type="dxa"/>
          </w:tcPr>
          <w:p w14:paraId="13E055D1" w14:textId="65D90ABA" w:rsidR="008C4138" w:rsidRDefault="008C4138" w:rsidP="008C4138">
            <w:pPr>
              <w:cnfStyle w:val="000000000000" w:firstRow="0" w:lastRow="0" w:firstColumn="0" w:lastColumn="0" w:oddVBand="0" w:evenVBand="0" w:oddHBand="0" w:evenHBand="0" w:firstRowFirstColumn="0" w:firstRowLastColumn="0" w:lastRowFirstColumn="0" w:lastRowLastColumn="0"/>
            </w:pPr>
            <w:r>
              <w:t>Monthly SIP statistics</w:t>
            </w:r>
          </w:p>
        </w:tc>
        <w:tc>
          <w:tcPr>
            <w:tcW w:w="3006" w:type="dxa"/>
          </w:tcPr>
          <w:p w14:paraId="2048EB80" w14:textId="527D793B" w:rsidR="008C4138" w:rsidRDefault="008C4138" w:rsidP="008C4138">
            <w:pPr>
              <w:cnfStyle w:val="000000000000" w:firstRow="0" w:lastRow="0" w:firstColumn="0" w:lastColumn="0" w:oddVBand="0" w:evenVBand="0" w:oddHBand="0" w:evenHBand="0" w:firstRowFirstColumn="0" w:firstRowLastColumn="0" w:lastRowFirstColumn="0" w:lastRowLastColumn="0"/>
            </w:pPr>
            <w:r>
              <w:t>48</w:t>
            </w:r>
          </w:p>
        </w:tc>
      </w:tr>
      <w:tr w:rsidR="008C4138" w14:paraId="73F3572F" w14:textId="77777777" w:rsidTr="008C4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A4CE6BE" w14:textId="32A0A959" w:rsidR="008C4138" w:rsidRDefault="008C4138" w:rsidP="008C4138">
            <w:r>
              <w:t>05_category_inflows.csv</w:t>
            </w:r>
          </w:p>
        </w:tc>
        <w:tc>
          <w:tcPr>
            <w:tcW w:w="3005" w:type="dxa"/>
          </w:tcPr>
          <w:p w14:paraId="633CDCE4" w14:textId="588D77CC" w:rsidR="008C4138" w:rsidRDefault="008C4138" w:rsidP="008C4138">
            <w:pPr>
              <w:cnfStyle w:val="000000100000" w:firstRow="0" w:lastRow="0" w:firstColumn="0" w:lastColumn="0" w:oddVBand="0" w:evenVBand="0" w:oddHBand="1" w:evenHBand="0" w:firstRowFirstColumn="0" w:firstRowLastColumn="0" w:lastRowFirstColumn="0" w:lastRowLastColumn="0"/>
            </w:pPr>
            <w:r>
              <w:t>Category-wise inflows</w:t>
            </w:r>
          </w:p>
        </w:tc>
        <w:tc>
          <w:tcPr>
            <w:tcW w:w="3006" w:type="dxa"/>
          </w:tcPr>
          <w:p w14:paraId="30F2F6D0" w14:textId="4639BD5A" w:rsidR="008C4138" w:rsidRDefault="008C4138" w:rsidP="008C4138">
            <w:pPr>
              <w:cnfStyle w:val="000000100000" w:firstRow="0" w:lastRow="0" w:firstColumn="0" w:lastColumn="0" w:oddVBand="0" w:evenVBand="0" w:oddHBand="1" w:evenHBand="0" w:firstRowFirstColumn="0" w:firstRowLastColumn="0" w:lastRowFirstColumn="0" w:lastRowLastColumn="0"/>
            </w:pPr>
            <w:r>
              <w:t>144</w:t>
            </w:r>
          </w:p>
        </w:tc>
      </w:tr>
      <w:tr w:rsidR="008C4138" w14:paraId="56147009" w14:textId="77777777" w:rsidTr="008C4138">
        <w:tc>
          <w:tcPr>
            <w:cnfStyle w:val="001000000000" w:firstRow="0" w:lastRow="0" w:firstColumn="1" w:lastColumn="0" w:oddVBand="0" w:evenVBand="0" w:oddHBand="0" w:evenHBand="0" w:firstRowFirstColumn="0" w:firstRowLastColumn="0" w:lastRowFirstColumn="0" w:lastRowLastColumn="0"/>
            <w:tcW w:w="3005" w:type="dxa"/>
          </w:tcPr>
          <w:p w14:paraId="6256BD4A" w14:textId="30220348" w:rsidR="008C4138" w:rsidRDefault="008C4138" w:rsidP="008C4138">
            <w:r>
              <w:t>06_industry_folio_count.csv</w:t>
            </w:r>
          </w:p>
        </w:tc>
        <w:tc>
          <w:tcPr>
            <w:tcW w:w="3005" w:type="dxa"/>
          </w:tcPr>
          <w:p w14:paraId="34A89F44" w14:textId="23E4B5FA" w:rsidR="008C4138" w:rsidRDefault="008C4138" w:rsidP="008C4138">
            <w:pPr>
              <w:cnfStyle w:val="000000000000" w:firstRow="0" w:lastRow="0" w:firstColumn="0" w:lastColumn="0" w:oddVBand="0" w:evenVBand="0" w:oddHBand="0" w:evenHBand="0" w:firstRowFirstColumn="0" w:firstRowLastColumn="0" w:lastRowFirstColumn="0" w:lastRowLastColumn="0"/>
            </w:pPr>
            <w:r>
              <w:t>Industry folio statistics</w:t>
            </w:r>
          </w:p>
        </w:tc>
        <w:tc>
          <w:tcPr>
            <w:tcW w:w="3006" w:type="dxa"/>
          </w:tcPr>
          <w:p w14:paraId="43F2D64F" w14:textId="182602FA" w:rsidR="008C4138" w:rsidRDefault="008C4138" w:rsidP="008C4138">
            <w:pPr>
              <w:cnfStyle w:val="000000000000" w:firstRow="0" w:lastRow="0" w:firstColumn="0" w:lastColumn="0" w:oddVBand="0" w:evenVBand="0" w:oddHBand="0" w:evenHBand="0" w:firstRowFirstColumn="0" w:firstRowLastColumn="0" w:lastRowFirstColumn="0" w:lastRowLastColumn="0"/>
            </w:pPr>
            <w:r>
              <w:t>21</w:t>
            </w:r>
          </w:p>
        </w:tc>
      </w:tr>
      <w:tr w:rsidR="008C4138" w14:paraId="103D1F7A" w14:textId="77777777" w:rsidTr="008C4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5083D71" w14:textId="054CEB6B" w:rsidR="008C4138" w:rsidRDefault="008C4138" w:rsidP="008C4138">
            <w:r>
              <w:t>07_scheme_performance.csv</w:t>
            </w:r>
          </w:p>
        </w:tc>
        <w:tc>
          <w:tcPr>
            <w:tcW w:w="3005" w:type="dxa"/>
          </w:tcPr>
          <w:p w14:paraId="3829FC75" w14:textId="72F01CFE" w:rsidR="008C4138" w:rsidRDefault="008C4138" w:rsidP="008C4138">
            <w:pPr>
              <w:cnfStyle w:val="000000100000" w:firstRow="0" w:lastRow="0" w:firstColumn="0" w:lastColumn="0" w:oddVBand="0" w:evenVBand="0" w:oddHBand="1" w:evenHBand="0" w:firstRowFirstColumn="0" w:firstRowLastColumn="0" w:lastRowFirstColumn="0" w:lastRowLastColumn="0"/>
            </w:pPr>
            <w:r>
              <w:t>Fund performance metrics</w:t>
            </w:r>
          </w:p>
        </w:tc>
        <w:tc>
          <w:tcPr>
            <w:tcW w:w="3006" w:type="dxa"/>
          </w:tcPr>
          <w:p w14:paraId="3DC6D744" w14:textId="0095342A" w:rsidR="008C4138" w:rsidRDefault="008C4138" w:rsidP="008C4138">
            <w:pPr>
              <w:cnfStyle w:val="000000100000" w:firstRow="0" w:lastRow="0" w:firstColumn="0" w:lastColumn="0" w:oddVBand="0" w:evenVBand="0" w:oddHBand="1" w:evenHBand="0" w:firstRowFirstColumn="0" w:firstRowLastColumn="0" w:lastRowFirstColumn="0" w:lastRowLastColumn="0"/>
            </w:pPr>
            <w:r>
              <w:t>40</w:t>
            </w:r>
          </w:p>
        </w:tc>
      </w:tr>
      <w:tr w:rsidR="008C4138" w14:paraId="6F84683D" w14:textId="77777777" w:rsidTr="008C4138">
        <w:tc>
          <w:tcPr>
            <w:cnfStyle w:val="001000000000" w:firstRow="0" w:lastRow="0" w:firstColumn="1" w:lastColumn="0" w:oddVBand="0" w:evenVBand="0" w:oddHBand="0" w:evenHBand="0" w:firstRowFirstColumn="0" w:firstRowLastColumn="0" w:lastRowFirstColumn="0" w:lastRowLastColumn="0"/>
            <w:tcW w:w="3005" w:type="dxa"/>
          </w:tcPr>
          <w:p w14:paraId="34B41655" w14:textId="76FED458" w:rsidR="008C4138" w:rsidRDefault="008C4138" w:rsidP="008C4138">
            <w:r>
              <w:t>08_investor_transactions.csv</w:t>
            </w:r>
          </w:p>
        </w:tc>
        <w:tc>
          <w:tcPr>
            <w:tcW w:w="3005" w:type="dxa"/>
          </w:tcPr>
          <w:p w14:paraId="7BC98248" w14:textId="292530CD" w:rsidR="008C4138" w:rsidRDefault="008C4138" w:rsidP="008C4138">
            <w:pPr>
              <w:cnfStyle w:val="000000000000" w:firstRow="0" w:lastRow="0" w:firstColumn="0" w:lastColumn="0" w:oddVBand="0" w:evenVBand="0" w:oddHBand="0" w:evenHBand="0" w:firstRowFirstColumn="0" w:firstRowLastColumn="0" w:lastRowFirstColumn="0" w:lastRowLastColumn="0"/>
            </w:pPr>
            <w:r>
              <w:t>Investor transactions</w:t>
            </w:r>
          </w:p>
        </w:tc>
        <w:tc>
          <w:tcPr>
            <w:tcW w:w="3006" w:type="dxa"/>
          </w:tcPr>
          <w:p w14:paraId="7C980854" w14:textId="12CDFF05" w:rsidR="008C4138" w:rsidRDefault="008C4138" w:rsidP="008C4138">
            <w:pPr>
              <w:cnfStyle w:val="000000000000" w:firstRow="0" w:lastRow="0" w:firstColumn="0" w:lastColumn="0" w:oddVBand="0" w:evenVBand="0" w:oddHBand="0" w:evenHBand="0" w:firstRowFirstColumn="0" w:firstRowLastColumn="0" w:lastRowFirstColumn="0" w:lastRowLastColumn="0"/>
            </w:pPr>
            <w:r>
              <w:t>32,778</w:t>
            </w:r>
          </w:p>
        </w:tc>
      </w:tr>
      <w:tr w:rsidR="008C4138" w14:paraId="7B0FC5E9" w14:textId="77777777" w:rsidTr="008C41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ECEC6F9" w14:textId="03BD0E6E" w:rsidR="008C4138" w:rsidRDefault="008C4138" w:rsidP="008C4138">
            <w:r>
              <w:t>09_portfolio_holdings.csv</w:t>
            </w:r>
          </w:p>
        </w:tc>
        <w:tc>
          <w:tcPr>
            <w:tcW w:w="3005" w:type="dxa"/>
          </w:tcPr>
          <w:p w14:paraId="4DB406EA" w14:textId="06DF3A80" w:rsidR="008C4138" w:rsidRDefault="008C4138" w:rsidP="008C4138">
            <w:pPr>
              <w:cnfStyle w:val="000000100000" w:firstRow="0" w:lastRow="0" w:firstColumn="0" w:lastColumn="0" w:oddVBand="0" w:evenVBand="0" w:oddHBand="1" w:evenHBand="0" w:firstRowFirstColumn="0" w:firstRowLastColumn="0" w:lastRowFirstColumn="0" w:lastRowLastColumn="0"/>
            </w:pPr>
            <w:r>
              <w:t>Portfolio holdings</w:t>
            </w:r>
          </w:p>
        </w:tc>
        <w:tc>
          <w:tcPr>
            <w:tcW w:w="3006" w:type="dxa"/>
          </w:tcPr>
          <w:p w14:paraId="0E7A0B4A" w14:textId="3CD3FE3E" w:rsidR="008C4138" w:rsidRDefault="008C4138" w:rsidP="008C4138">
            <w:pPr>
              <w:cnfStyle w:val="000000100000" w:firstRow="0" w:lastRow="0" w:firstColumn="0" w:lastColumn="0" w:oddVBand="0" w:evenVBand="0" w:oddHBand="1" w:evenHBand="0" w:firstRowFirstColumn="0" w:firstRowLastColumn="0" w:lastRowFirstColumn="0" w:lastRowLastColumn="0"/>
            </w:pPr>
            <w:r>
              <w:t>322</w:t>
            </w:r>
          </w:p>
        </w:tc>
      </w:tr>
      <w:tr w:rsidR="008C4138" w14:paraId="3AD503D6" w14:textId="77777777" w:rsidTr="008C4138">
        <w:tc>
          <w:tcPr>
            <w:cnfStyle w:val="001000000000" w:firstRow="0" w:lastRow="0" w:firstColumn="1" w:lastColumn="0" w:oddVBand="0" w:evenVBand="0" w:oddHBand="0" w:evenHBand="0" w:firstRowFirstColumn="0" w:firstRowLastColumn="0" w:lastRowFirstColumn="0" w:lastRowLastColumn="0"/>
            <w:tcW w:w="3005" w:type="dxa"/>
          </w:tcPr>
          <w:p w14:paraId="2728660B" w14:textId="2BCD5DC7" w:rsidR="008C4138" w:rsidRDefault="008C4138" w:rsidP="008C4138">
            <w:r>
              <w:t>10_benchmark_indices.csv</w:t>
            </w:r>
          </w:p>
        </w:tc>
        <w:tc>
          <w:tcPr>
            <w:tcW w:w="3005" w:type="dxa"/>
          </w:tcPr>
          <w:p w14:paraId="53DF8B23" w14:textId="00935930" w:rsidR="008C4138" w:rsidRDefault="008C4138" w:rsidP="008C4138">
            <w:pPr>
              <w:cnfStyle w:val="000000000000" w:firstRow="0" w:lastRow="0" w:firstColumn="0" w:lastColumn="0" w:oddVBand="0" w:evenVBand="0" w:oddHBand="0" w:evenHBand="0" w:firstRowFirstColumn="0" w:firstRowLastColumn="0" w:lastRowFirstColumn="0" w:lastRowLastColumn="0"/>
            </w:pPr>
            <w:r>
              <w:t>Benchmark index history</w:t>
            </w:r>
          </w:p>
        </w:tc>
        <w:tc>
          <w:tcPr>
            <w:tcW w:w="3006" w:type="dxa"/>
          </w:tcPr>
          <w:p w14:paraId="41E9A112" w14:textId="2FD13B43" w:rsidR="008C4138" w:rsidRDefault="008C4138" w:rsidP="008C4138">
            <w:pPr>
              <w:cnfStyle w:val="000000000000" w:firstRow="0" w:lastRow="0" w:firstColumn="0" w:lastColumn="0" w:oddVBand="0" w:evenVBand="0" w:oddHBand="0" w:evenHBand="0" w:firstRowFirstColumn="0" w:firstRowLastColumn="0" w:lastRowFirstColumn="0" w:lastRowLastColumn="0"/>
            </w:pPr>
            <w:r>
              <w:t>8,050</w:t>
            </w:r>
          </w:p>
        </w:tc>
      </w:tr>
    </w:tbl>
    <w:p w14:paraId="488F3575" w14:textId="77777777" w:rsidR="008C4138" w:rsidRDefault="008C4138" w:rsidP="00907BCE"/>
    <w:p w14:paraId="39D5257C" w14:textId="23FC3582" w:rsidR="008C4138" w:rsidRDefault="008C4138" w:rsidP="00907BCE">
      <w:r w:rsidRPr="008C4138">
        <w:t>These datasets collectively provide information required for financial performance evaluation, investor behaviour analysis, portfolio concentration analysis, benchmark comparison, and dashboard reporting.</w:t>
      </w:r>
    </w:p>
    <w:p w14:paraId="177796BB" w14:textId="61DE36BC" w:rsidR="008C4138" w:rsidRDefault="008C4138">
      <w:r>
        <w:br w:type="page"/>
      </w:r>
    </w:p>
    <w:p w14:paraId="22ABEDBB" w14:textId="77777777" w:rsidR="00777792" w:rsidRDefault="00777792" w:rsidP="008C4138">
      <w:pPr>
        <w:rPr>
          <w:b/>
          <w:bCs/>
          <w:sz w:val="40"/>
          <w:szCs w:val="40"/>
        </w:rPr>
      </w:pPr>
      <w:r w:rsidRPr="00777792">
        <w:rPr>
          <w:b/>
          <w:bCs/>
          <w:sz w:val="40"/>
          <w:szCs w:val="40"/>
        </w:rPr>
        <w:lastRenderedPageBreak/>
        <w:t>ETL (Extract, Transform, Load) Pipeline</w:t>
      </w:r>
    </w:p>
    <w:p w14:paraId="5E153A49" w14:textId="77777777" w:rsidR="00777792" w:rsidRPr="00777792" w:rsidRDefault="00777792" w:rsidP="00777792">
      <w:r w:rsidRPr="00777792">
        <w:t>The ETL (Extract, Transform, Load) pipeline was developed to automate the complete data preparation process for the Mutual Fund Analytics project. The pipeline reads raw datasets, validates the data, performs cleaning and transformation operations, and loads the processed datasets into a SQLite database. Automating these steps ensures consistency, reduces manual effort, and prepares reliable data for further analysis.</w:t>
      </w:r>
    </w:p>
    <w:p w14:paraId="35CFF288" w14:textId="77777777" w:rsidR="008C4138" w:rsidRPr="008C4138" w:rsidRDefault="008C4138" w:rsidP="008C4138">
      <w:pPr>
        <w:rPr>
          <w:b/>
          <w:bCs/>
        </w:rPr>
      </w:pPr>
      <w:r w:rsidRPr="008C4138">
        <w:rPr>
          <w:b/>
          <w:bCs/>
        </w:rPr>
        <w:t>ETL Workflow</w:t>
      </w:r>
    </w:p>
    <w:p w14:paraId="05982519" w14:textId="77777777" w:rsidR="008C4138" w:rsidRPr="008C4138" w:rsidRDefault="008C4138" w:rsidP="008C4138">
      <w:pPr>
        <w:numPr>
          <w:ilvl w:val="0"/>
          <w:numId w:val="3"/>
        </w:numPr>
      </w:pPr>
      <w:r w:rsidRPr="008C4138">
        <w:t xml:space="preserve">Extract raw mutual fund datasets. </w:t>
      </w:r>
    </w:p>
    <w:p w14:paraId="38D3F3D1" w14:textId="77777777" w:rsidR="008C4138" w:rsidRPr="008C4138" w:rsidRDefault="008C4138" w:rsidP="008C4138">
      <w:pPr>
        <w:numPr>
          <w:ilvl w:val="0"/>
          <w:numId w:val="3"/>
        </w:numPr>
      </w:pPr>
      <w:r w:rsidRPr="008C4138">
        <w:t xml:space="preserve">Validate dataset structure and data types. </w:t>
      </w:r>
    </w:p>
    <w:p w14:paraId="363D7A8F" w14:textId="77777777" w:rsidR="008C4138" w:rsidRPr="008C4138" w:rsidRDefault="008C4138" w:rsidP="008C4138">
      <w:pPr>
        <w:numPr>
          <w:ilvl w:val="0"/>
          <w:numId w:val="3"/>
        </w:numPr>
      </w:pPr>
      <w:r w:rsidRPr="008C4138">
        <w:t xml:space="preserve">Clean missing values, duplicates, and invalid records. </w:t>
      </w:r>
    </w:p>
    <w:p w14:paraId="6F938D6C" w14:textId="77777777" w:rsidR="008C4138" w:rsidRPr="008C4138" w:rsidRDefault="008C4138" w:rsidP="008C4138">
      <w:pPr>
        <w:numPr>
          <w:ilvl w:val="0"/>
          <w:numId w:val="3"/>
        </w:numPr>
      </w:pPr>
      <w:r w:rsidRPr="008C4138">
        <w:t xml:space="preserve">Standardize date formats and numerical fields. </w:t>
      </w:r>
    </w:p>
    <w:p w14:paraId="0AA56166" w14:textId="77777777" w:rsidR="008C4138" w:rsidRPr="008C4138" w:rsidRDefault="008C4138" w:rsidP="008C4138">
      <w:pPr>
        <w:numPr>
          <w:ilvl w:val="0"/>
          <w:numId w:val="3"/>
        </w:numPr>
      </w:pPr>
      <w:r w:rsidRPr="008C4138">
        <w:t xml:space="preserve">Save cleaned datasets to the processed folder. </w:t>
      </w:r>
    </w:p>
    <w:p w14:paraId="05962E98" w14:textId="77777777" w:rsidR="008C4138" w:rsidRPr="008C4138" w:rsidRDefault="008C4138" w:rsidP="008C4138">
      <w:pPr>
        <w:numPr>
          <w:ilvl w:val="0"/>
          <w:numId w:val="3"/>
        </w:numPr>
      </w:pPr>
      <w:r w:rsidRPr="008C4138">
        <w:t xml:space="preserve">Load processed datasets into SQLite. </w:t>
      </w:r>
    </w:p>
    <w:p w14:paraId="5190BC9E" w14:textId="5932A793" w:rsidR="008C4138" w:rsidRDefault="008C4138" w:rsidP="008C4138">
      <w:pPr>
        <w:numPr>
          <w:ilvl w:val="0"/>
          <w:numId w:val="3"/>
        </w:numPr>
      </w:pPr>
      <w:r w:rsidRPr="008C4138">
        <w:t xml:space="preserve">Verify database tables and row counts. </w:t>
      </w:r>
    </w:p>
    <w:p w14:paraId="2E965166" w14:textId="77777777" w:rsidR="00777792" w:rsidRPr="008C4138" w:rsidRDefault="00777792" w:rsidP="00777792"/>
    <w:p w14:paraId="38A0DDBA" w14:textId="77777777" w:rsidR="008C4138" w:rsidRDefault="008C4138" w:rsidP="008C4138">
      <w:pPr>
        <w:rPr>
          <w:b/>
          <w:bCs/>
        </w:rPr>
      </w:pPr>
      <w:r w:rsidRPr="008C4138">
        <w:rPr>
          <w:b/>
          <w:bCs/>
        </w:rPr>
        <w:t>Scripts Developed</w:t>
      </w:r>
    </w:p>
    <w:tbl>
      <w:tblPr>
        <w:tblStyle w:val="PlainTable1"/>
        <w:tblW w:w="0" w:type="auto"/>
        <w:tblLook w:val="04A0" w:firstRow="1" w:lastRow="0" w:firstColumn="1" w:lastColumn="0" w:noHBand="0" w:noVBand="1"/>
      </w:tblPr>
      <w:tblGrid>
        <w:gridCol w:w="4508"/>
        <w:gridCol w:w="4508"/>
      </w:tblGrid>
      <w:tr w:rsidR="00777792" w14:paraId="4DC632FE" w14:textId="77777777" w:rsidTr="00777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1D8BF96" w14:textId="32A32DFE" w:rsidR="00777792" w:rsidRDefault="00777792" w:rsidP="00777792">
            <w:pPr>
              <w:rPr>
                <w:b w:val="0"/>
                <w:bCs w:val="0"/>
              </w:rPr>
            </w:pPr>
            <w:r w:rsidRPr="008C4138">
              <w:t>Script</w:t>
            </w:r>
          </w:p>
        </w:tc>
        <w:tc>
          <w:tcPr>
            <w:tcW w:w="4508" w:type="dxa"/>
          </w:tcPr>
          <w:p w14:paraId="133AB1DD" w14:textId="3928395F" w:rsidR="00777792" w:rsidRDefault="00777792" w:rsidP="00777792">
            <w:pPr>
              <w:cnfStyle w:val="100000000000" w:firstRow="1" w:lastRow="0" w:firstColumn="0" w:lastColumn="0" w:oddVBand="0" w:evenVBand="0" w:oddHBand="0" w:evenHBand="0" w:firstRowFirstColumn="0" w:firstRowLastColumn="0" w:lastRowFirstColumn="0" w:lastRowLastColumn="0"/>
              <w:rPr>
                <w:b w:val="0"/>
                <w:bCs w:val="0"/>
              </w:rPr>
            </w:pPr>
            <w:r w:rsidRPr="008C4138">
              <w:t>Purpose</w:t>
            </w:r>
          </w:p>
        </w:tc>
      </w:tr>
      <w:tr w:rsidR="00777792" w14:paraId="1C49C428" w14:textId="77777777" w:rsidTr="0077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79F0D98" w14:textId="572DD205" w:rsidR="00777792" w:rsidRDefault="00777792" w:rsidP="00777792">
            <w:pPr>
              <w:rPr>
                <w:b w:val="0"/>
                <w:bCs w:val="0"/>
              </w:rPr>
            </w:pPr>
            <w:r w:rsidRPr="008C4138">
              <w:t>data_ingestion.py</w:t>
            </w:r>
          </w:p>
        </w:tc>
        <w:tc>
          <w:tcPr>
            <w:tcW w:w="4508" w:type="dxa"/>
          </w:tcPr>
          <w:p w14:paraId="3BD95975" w14:textId="13DEE1DC" w:rsidR="00777792" w:rsidRDefault="00777792" w:rsidP="00777792">
            <w:pPr>
              <w:cnfStyle w:val="000000100000" w:firstRow="0" w:lastRow="0" w:firstColumn="0" w:lastColumn="0" w:oddVBand="0" w:evenVBand="0" w:oddHBand="1" w:evenHBand="0" w:firstRowFirstColumn="0" w:firstRowLastColumn="0" w:lastRowFirstColumn="0" w:lastRowLastColumn="0"/>
              <w:rPr>
                <w:b/>
                <w:bCs/>
              </w:rPr>
            </w:pPr>
            <w:r w:rsidRPr="008C4138">
              <w:t>Reads raw datasets</w:t>
            </w:r>
          </w:p>
        </w:tc>
      </w:tr>
      <w:tr w:rsidR="00777792" w14:paraId="3EB987FD" w14:textId="77777777" w:rsidTr="00777792">
        <w:tc>
          <w:tcPr>
            <w:cnfStyle w:val="001000000000" w:firstRow="0" w:lastRow="0" w:firstColumn="1" w:lastColumn="0" w:oddVBand="0" w:evenVBand="0" w:oddHBand="0" w:evenHBand="0" w:firstRowFirstColumn="0" w:firstRowLastColumn="0" w:lastRowFirstColumn="0" w:lastRowLastColumn="0"/>
            <w:tcW w:w="4508" w:type="dxa"/>
          </w:tcPr>
          <w:p w14:paraId="2D8E33B7" w14:textId="688B78CE" w:rsidR="00777792" w:rsidRDefault="00777792" w:rsidP="00777792">
            <w:pPr>
              <w:rPr>
                <w:b w:val="0"/>
                <w:bCs w:val="0"/>
              </w:rPr>
            </w:pPr>
            <w:r w:rsidRPr="008C4138">
              <w:t>clean_nav_history.py</w:t>
            </w:r>
          </w:p>
        </w:tc>
        <w:tc>
          <w:tcPr>
            <w:tcW w:w="4508" w:type="dxa"/>
          </w:tcPr>
          <w:p w14:paraId="4362C201" w14:textId="49A66667" w:rsidR="00777792" w:rsidRDefault="00777792" w:rsidP="00777792">
            <w:pPr>
              <w:cnfStyle w:val="000000000000" w:firstRow="0" w:lastRow="0" w:firstColumn="0" w:lastColumn="0" w:oddVBand="0" w:evenVBand="0" w:oddHBand="0" w:evenHBand="0" w:firstRowFirstColumn="0" w:firstRowLastColumn="0" w:lastRowFirstColumn="0" w:lastRowLastColumn="0"/>
              <w:rPr>
                <w:b/>
                <w:bCs/>
              </w:rPr>
            </w:pPr>
            <w:r w:rsidRPr="008C4138">
              <w:t>Cleans NAV data</w:t>
            </w:r>
          </w:p>
        </w:tc>
      </w:tr>
      <w:tr w:rsidR="00777792" w14:paraId="5564A3F1" w14:textId="77777777" w:rsidTr="0077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B256BE0" w14:textId="0FB36905" w:rsidR="00777792" w:rsidRDefault="00777792" w:rsidP="00777792">
            <w:pPr>
              <w:rPr>
                <w:b w:val="0"/>
                <w:bCs w:val="0"/>
              </w:rPr>
            </w:pPr>
            <w:r w:rsidRPr="008C4138">
              <w:t>clean_scheme_performance.py</w:t>
            </w:r>
          </w:p>
        </w:tc>
        <w:tc>
          <w:tcPr>
            <w:tcW w:w="4508" w:type="dxa"/>
          </w:tcPr>
          <w:p w14:paraId="75A85227" w14:textId="70D091FF" w:rsidR="00777792" w:rsidRDefault="00777792" w:rsidP="00777792">
            <w:pPr>
              <w:cnfStyle w:val="000000100000" w:firstRow="0" w:lastRow="0" w:firstColumn="0" w:lastColumn="0" w:oddVBand="0" w:evenVBand="0" w:oddHBand="1" w:evenHBand="0" w:firstRowFirstColumn="0" w:firstRowLastColumn="0" w:lastRowFirstColumn="0" w:lastRowLastColumn="0"/>
              <w:rPr>
                <w:b/>
                <w:bCs/>
              </w:rPr>
            </w:pPr>
            <w:r w:rsidRPr="008C4138">
              <w:t>Cleans performance dataset</w:t>
            </w:r>
          </w:p>
        </w:tc>
      </w:tr>
      <w:tr w:rsidR="00777792" w14:paraId="38F40410" w14:textId="77777777" w:rsidTr="00777792">
        <w:tc>
          <w:tcPr>
            <w:cnfStyle w:val="001000000000" w:firstRow="0" w:lastRow="0" w:firstColumn="1" w:lastColumn="0" w:oddVBand="0" w:evenVBand="0" w:oddHBand="0" w:evenHBand="0" w:firstRowFirstColumn="0" w:firstRowLastColumn="0" w:lastRowFirstColumn="0" w:lastRowLastColumn="0"/>
            <w:tcW w:w="4508" w:type="dxa"/>
          </w:tcPr>
          <w:p w14:paraId="3FBC5380" w14:textId="0C7DD1C9" w:rsidR="00777792" w:rsidRDefault="00777792" w:rsidP="00777792">
            <w:pPr>
              <w:rPr>
                <w:b w:val="0"/>
                <w:bCs w:val="0"/>
              </w:rPr>
            </w:pPr>
            <w:r w:rsidRPr="008C4138">
              <w:t>clean_investor_transactions.py</w:t>
            </w:r>
          </w:p>
        </w:tc>
        <w:tc>
          <w:tcPr>
            <w:tcW w:w="4508" w:type="dxa"/>
          </w:tcPr>
          <w:p w14:paraId="36DC3542" w14:textId="51E5C018" w:rsidR="00777792" w:rsidRDefault="00777792" w:rsidP="00777792">
            <w:pPr>
              <w:cnfStyle w:val="000000000000" w:firstRow="0" w:lastRow="0" w:firstColumn="0" w:lastColumn="0" w:oddVBand="0" w:evenVBand="0" w:oddHBand="0" w:evenHBand="0" w:firstRowFirstColumn="0" w:firstRowLastColumn="0" w:lastRowFirstColumn="0" w:lastRowLastColumn="0"/>
              <w:rPr>
                <w:b/>
                <w:bCs/>
              </w:rPr>
            </w:pPr>
            <w:r w:rsidRPr="008C4138">
              <w:t>Cleans transaction dataset</w:t>
            </w:r>
          </w:p>
        </w:tc>
      </w:tr>
      <w:tr w:rsidR="00777792" w14:paraId="6C5C22FD" w14:textId="77777777" w:rsidTr="0077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4F70686" w14:textId="76073BC5" w:rsidR="00777792" w:rsidRDefault="00777792" w:rsidP="00777792">
            <w:pPr>
              <w:rPr>
                <w:b w:val="0"/>
                <w:bCs w:val="0"/>
              </w:rPr>
            </w:pPr>
            <w:r w:rsidRPr="008C4138">
              <w:t>load_to_sqlite.py</w:t>
            </w:r>
          </w:p>
        </w:tc>
        <w:tc>
          <w:tcPr>
            <w:tcW w:w="4508" w:type="dxa"/>
          </w:tcPr>
          <w:p w14:paraId="23C23446" w14:textId="0E8CF9B8" w:rsidR="00777792" w:rsidRDefault="00777792" w:rsidP="00777792">
            <w:pPr>
              <w:cnfStyle w:val="000000100000" w:firstRow="0" w:lastRow="0" w:firstColumn="0" w:lastColumn="0" w:oddVBand="0" w:evenVBand="0" w:oddHBand="1" w:evenHBand="0" w:firstRowFirstColumn="0" w:firstRowLastColumn="0" w:lastRowFirstColumn="0" w:lastRowLastColumn="0"/>
              <w:rPr>
                <w:b/>
                <w:bCs/>
              </w:rPr>
            </w:pPr>
            <w:r w:rsidRPr="008C4138">
              <w:t>Loads data into SQLite</w:t>
            </w:r>
          </w:p>
        </w:tc>
      </w:tr>
      <w:tr w:rsidR="00777792" w14:paraId="6B9789FE" w14:textId="77777777" w:rsidTr="00777792">
        <w:tc>
          <w:tcPr>
            <w:cnfStyle w:val="001000000000" w:firstRow="0" w:lastRow="0" w:firstColumn="1" w:lastColumn="0" w:oddVBand="0" w:evenVBand="0" w:oddHBand="0" w:evenHBand="0" w:firstRowFirstColumn="0" w:firstRowLastColumn="0" w:lastRowFirstColumn="0" w:lastRowLastColumn="0"/>
            <w:tcW w:w="4508" w:type="dxa"/>
          </w:tcPr>
          <w:p w14:paraId="25B741A4" w14:textId="5154B2C7" w:rsidR="00777792" w:rsidRDefault="00777792" w:rsidP="00777792">
            <w:pPr>
              <w:rPr>
                <w:b w:val="0"/>
                <w:bCs w:val="0"/>
              </w:rPr>
            </w:pPr>
            <w:r w:rsidRPr="008C4138">
              <w:t>verify_sqlite_data.py</w:t>
            </w:r>
          </w:p>
        </w:tc>
        <w:tc>
          <w:tcPr>
            <w:tcW w:w="4508" w:type="dxa"/>
          </w:tcPr>
          <w:p w14:paraId="025E02A1" w14:textId="395B5934" w:rsidR="00777792" w:rsidRDefault="00777792" w:rsidP="00777792">
            <w:pPr>
              <w:cnfStyle w:val="000000000000" w:firstRow="0" w:lastRow="0" w:firstColumn="0" w:lastColumn="0" w:oddVBand="0" w:evenVBand="0" w:oddHBand="0" w:evenHBand="0" w:firstRowFirstColumn="0" w:firstRowLastColumn="0" w:lastRowFirstColumn="0" w:lastRowLastColumn="0"/>
              <w:rPr>
                <w:b/>
                <w:bCs/>
              </w:rPr>
            </w:pPr>
            <w:r w:rsidRPr="008C4138">
              <w:t>Verifies database</w:t>
            </w:r>
          </w:p>
        </w:tc>
      </w:tr>
      <w:tr w:rsidR="00777792" w14:paraId="4246D6FA" w14:textId="77777777" w:rsidTr="00777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F95B543" w14:textId="007A02BA" w:rsidR="00777792" w:rsidRDefault="00777792" w:rsidP="00777792">
            <w:pPr>
              <w:rPr>
                <w:b w:val="0"/>
                <w:bCs w:val="0"/>
              </w:rPr>
            </w:pPr>
            <w:r w:rsidRPr="008C4138">
              <w:t>etl_pipeline.py</w:t>
            </w:r>
          </w:p>
        </w:tc>
        <w:tc>
          <w:tcPr>
            <w:tcW w:w="4508" w:type="dxa"/>
          </w:tcPr>
          <w:p w14:paraId="1D57899C" w14:textId="63C73D16" w:rsidR="00777792" w:rsidRDefault="00777792" w:rsidP="00777792">
            <w:pPr>
              <w:cnfStyle w:val="000000100000" w:firstRow="0" w:lastRow="0" w:firstColumn="0" w:lastColumn="0" w:oddVBand="0" w:evenVBand="0" w:oddHBand="1" w:evenHBand="0" w:firstRowFirstColumn="0" w:firstRowLastColumn="0" w:lastRowFirstColumn="0" w:lastRowLastColumn="0"/>
              <w:rPr>
                <w:b/>
                <w:bCs/>
              </w:rPr>
            </w:pPr>
            <w:r w:rsidRPr="008C4138">
              <w:t>Runs the complete ETL process</w:t>
            </w:r>
          </w:p>
        </w:tc>
      </w:tr>
      <w:tr w:rsidR="00777792" w14:paraId="5DE21376" w14:textId="77777777" w:rsidTr="00777792">
        <w:tc>
          <w:tcPr>
            <w:cnfStyle w:val="001000000000" w:firstRow="0" w:lastRow="0" w:firstColumn="1" w:lastColumn="0" w:oddVBand="0" w:evenVBand="0" w:oddHBand="0" w:evenHBand="0" w:firstRowFirstColumn="0" w:firstRowLastColumn="0" w:lastRowFirstColumn="0" w:lastRowLastColumn="0"/>
            <w:tcW w:w="4508" w:type="dxa"/>
          </w:tcPr>
          <w:p w14:paraId="32B1FC3A" w14:textId="6D7F5294" w:rsidR="00777792" w:rsidRDefault="00777792" w:rsidP="00777792">
            <w:pPr>
              <w:rPr>
                <w:b w:val="0"/>
                <w:bCs w:val="0"/>
              </w:rPr>
            </w:pPr>
            <w:r w:rsidRPr="008C4138">
              <w:t>live_nav_fetch.py</w:t>
            </w:r>
          </w:p>
        </w:tc>
        <w:tc>
          <w:tcPr>
            <w:tcW w:w="4508" w:type="dxa"/>
          </w:tcPr>
          <w:p w14:paraId="71261AE1" w14:textId="488FD80C" w:rsidR="00777792" w:rsidRDefault="00777792" w:rsidP="00777792">
            <w:pPr>
              <w:cnfStyle w:val="000000000000" w:firstRow="0" w:lastRow="0" w:firstColumn="0" w:lastColumn="0" w:oddVBand="0" w:evenVBand="0" w:oddHBand="0" w:evenHBand="0" w:firstRowFirstColumn="0" w:firstRowLastColumn="0" w:lastRowFirstColumn="0" w:lastRowLastColumn="0"/>
              <w:rPr>
                <w:b/>
                <w:bCs/>
              </w:rPr>
            </w:pPr>
            <w:r w:rsidRPr="008C4138">
              <w:t>Fetches latest NAV from MF API</w:t>
            </w:r>
          </w:p>
        </w:tc>
      </w:tr>
    </w:tbl>
    <w:p w14:paraId="6ECE5BCB" w14:textId="77777777" w:rsidR="00777792" w:rsidRDefault="00777792" w:rsidP="008C4138">
      <w:pPr>
        <w:rPr>
          <w:b/>
          <w:bCs/>
        </w:rPr>
      </w:pPr>
    </w:p>
    <w:p w14:paraId="69AE4132" w14:textId="77777777" w:rsidR="003F429A" w:rsidRDefault="003F429A" w:rsidP="008C4138">
      <w:pPr>
        <w:rPr>
          <w:b/>
          <w:bCs/>
        </w:rPr>
      </w:pPr>
    </w:p>
    <w:p w14:paraId="191EDD2B" w14:textId="77777777" w:rsidR="003F429A" w:rsidRDefault="003F429A" w:rsidP="008C4138">
      <w:pPr>
        <w:rPr>
          <w:b/>
          <w:bCs/>
        </w:rPr>
      </w:pPr>
    </w:p>
    <w:p w14:paraId="31685E68" w14:textId="77777777" w:rsidR="003F429A" w:rsidRDefault="003F429A" w:rsidP="008C4138">
      <w:pPr>
        <w:rPr>
          <w:b/>
          <w:bCs/>
        </w:rPr>
      </w:pPr>
    </w:p>
    <w:p w14:paraId="2442A95B" w14:textId="77777777" w:rsidR="003F429A" w:rsidRDefault="003F429A" w:rsidP="008C4138">
      <w:pPr>
        <w:rPr>
          <w:b/>
          <w:bCs/>
        </w:rPr>
      </w:pPr>
    </w:p>
    <w:p w14:paraId="2286C8F6" w14:textId="77777777" w:rsidR="003F429A" w:rsidRDefault="003F429A" w:rsidP="008C4138">
      <w:pPr>
        <w:rPr>
          <w:b/>
          <w:bCs/>
        </w:rPr>
      </w:pPr>
    </w:p>
    <w:p w14:paraId="2F70AC77" w14:textId="77777777" w:rsidR="003F429A" w:rsidRDefault="003F429A" w:rsidP="008C4138">
      <w:pPr>
        <w:rPr>
          <w:b/>
          <w:bCs/>
        </w:rPr>
      </w:pPr>
    </w:p>
    <w:p w14:paraId="45A22336" w14:textId="4318A268" w:rsidR="003F429A" w:rsidRPr="008C4138" w:rsidRDefault="003F429A" w:rsidP="008C4138">
      <w:pPr>
        <w:rPr>
          <w:b/>
          <w:bCs/>
        </w:rPr>
      </w:pPr>
      <w:r w:rsidRPr="003F429A">
        <w:rPr>
          <w:b/>
          <w:bCs/>
        </w:rPr>
        <w:lastRenderedPageBreak/>
        <w:t>Figure 1: ETL Pipeline – Data Ingestion</w:t>
      </w:r>
    </w:p>
    <w:p w14:paraId="377D880B" w14:textId="3C918E71" w:rsidR="008C4138" w:rsidRDefault="003F429A" w:rsidP="00907BCE">
      <w:r w:rsidRPr="003F429A">
        <w:drawing>
          <wp:inline distT="0" distB="0" distL="0" distR="0" wp14:anchorId="37125A8B" wp14:editId="5A38324F">
            <wp:extent cx="4252455" cy="3117600"/>
            <wp:effectExtent l="19050" t="19050" r="15240" b="26035"/>
            <wp:docPr id="1181823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23928" name=""/>
                    <pic:cNvPicPr/>
                  </pic:nvPicPr>
                  <pic:blipFill>
                    <a:blip r:embed="rId10"/>
                    <a:stretch>
                      <a:fillRect/>
                    </a:stretch>
                  </pic:blipFill>
                  <pic:spPr>
                    <a:xfrm>
                      <a:off x="0" y="0"/>
                      <a:ext cx="4297170" cy="3150382"/>
                    </a:xfrm>
                    <a:prstGeom prst="rect">
                      <a:avLst/>
                    </a:prstGeom>
                    <a:ln>
                      <a:solidFill>
                        <a:schemeClr val="tx1"/>
                      </a:solidFill>
                    </a:ln>
                  </pic:spPr>
                </pic:pic>
              </a:graphicData>
            </a:graphic>
          </wp:inline>
        </w:drawing>
      </w:r>
    </w:p>
    <w:p w14:paraId="3494161C" w14:textId="77777777" w:rsidR="003F429A" w:rsidRDefault="003F429A" w:rsidP="00907BCE">
      <w:r w:rsidRPr="003F429A">
        <w:drawing>
          <wp:inline distT="0" distB="0" distL="0" distR="0" wp14:anchorId="7325B289" wp14:editId="574445A1">
            <wp:extent cx="4266565" cy="3664800"/>
            <wp:effectExtent l="19050" t="19050" r="19685" b="12065"/>
            <wp:docPr id="64141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13021" name=""/>
                    <pic:cNvPicPr/>
                  </pic:nvPicPr>
                  <pic:blipFill>
                    <a:blip r:embed="rId11"/>
                    <a:stretch>
                      <a:fillRect/>
                    </a:stretch>
                  </pic:blipFill>
                  <pic:spPr>
                    <a:xfrm>
                      <a:off x="0" y="0"/>
                      <a:ext cx="4285948" cy="3681449"/>
                    </a:xfrm>
                    <a:prstGeom prst="rect">
                      <a:avLst/>
                    </a:prstGeom>
                    <a:ln>
                      <a:solidFill>
                        <a:schemeClr val="tx1"/>
                      </a:solidFill>
                    </a:ln>
                  </pic:spPr>
                </pic:pic>
              </a:graphicData>
            </a:graphic>
          </wp:inline>
        </w:drawing>
      </w:r>
    </w:p>
    <w:p w14:paraId="3F9022CE" w14:textId="77777777" w:rsidR="003F429A" w:rsidRDefault="003F429A" w:rsidP="00907BCE">
      <w:pPr>
        <w:rPr>
          <w:b/>
          <w:bCs/>
        </w:rPr>
      </w:pPr>
    </w:p>
    <w:p w14:paraId="23E5A7D2" w14:textId="77777777" w:rsidR="003F429A" w:rsidRDefault="003F429A" w:rsidP="00907BCE">
      <w:pPr>
        <w:rPr>
          <w:b/>
          <w:bCs/>
        </w:rPr>
      </w:pPr>
    </w:p>
    <w:p w14:paraId="5D1BEFE8" w14:textId="77777777" w:rsidR="003F429A" w:rsidRDefault="003F429A" w:rsidP="00907BCE">
      <w:pPr>
        <w:rPr>
          <w:b/>
          <w:bCs/>
        </w:rPr>
      </w:pPr>
    </w:p>
    <w:p w14:paraId="1D130BCF" w14:textId="77777777" w:rsidR="003F429A" w:rsidRDefault="003F429A" w:rsidP="00907BCE">
      <w:pPr>
        <w:rPr>
          <w:b/>
          <w:bCs/>
        </w:rPr>
      </w:pPr>
    </w:p>
    <w:p w14:paraId="7FC8F867" w14:textId="13CF91A4" w:rsidR="003F429A" w:rsidRDefault="003F429A" w:rsidP="00907BCE">
      <w:r w:rsidRPr="003F429A">
        <w:rPr>
          <w:b/>
          <w:bCs/>
        </w:rPr>
        <w:lastRenderedPageBreak/>
        <w:t>Figure 2:</w:t>
      </w:r>
      <w:r w:rsidRPr="003F429A">
        <w:t xml:space="preserve"> SQLite Database Loading</w:t>
      </w:r>
    </w:p>
    <w:p w14:paraId="609166B8" w14:textId="3D244C68" w:rsidR="003F429A" w:rsidRDefault="003F429A" w:rsidP="00907BCE">
      <w:r w:rsidRPr="003F429A">
        <w:drawing>
          <wp:inline distT="0" distB="0" distL="0" distR="0" wp14:anchorId="1FCAEA88" wp14:editId="3A18E536">
            <wp:extent cx="4464000" cy="2825750"/>
            <wp:effectExtent l="19050" t="19050" r="13335" b="12700"/>
            <wp:docPr id="209984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49868" name=""/>
                    <pic:cNvPicPr/>
                  </pic:nvPicPr>
                  <pic:blipFill>
                    <a:blip r:embed="rId12"/>
                    <a:stretch>
                      <a:fillRect/>
                    </a:stretch>
                  </pic:blipFill>
                  <pic:spPr>
                    <a:xfrm>
                      <a:off x="0" y="0"/>
                      <a:ext cx="4469228" cy="2829059"/>
                    </a:xfrm>
                    <a:prstGeom prst="rect">
                      <a:avLst/>
                    </a:prstGeom>
                    <a:ln>
                      <a:solidFill>
                        <a:schemeClr val="tx1"/>
                      </a:solidFill>
                    </a:ln>
                  </pic:spPr>
                </pic:pic>
              </a:graphicData>
            </a:graphic>
          </wp:inline>
        </w:drawing>
      </w:r>
    </w:p>
    <w:p w14:paraId="68A96254" w14:textId="77777777" w:rsidR="00743471" w:rsidRDefault="00743471" w:rsidP="00907BCE">
      <w:pPr>
        <w:rPr>
          <w:b/>
          <w:bCs/>
        </w:rPr>
      </w:pPr>
    </w:p>
    <w:p w14:paraId="7C876114" w14:textId="452E10A6" w:rsidR="003F429A" w:rsidRDefault="00743471" w:rsidP="00907BCE">
      <w:r w:rsidRPr="00743471">
        <w:rPr>
          <w:b/>
          <w:bCs/>
        </w:rPr>
        <w:t>Figure 3:</w:t>
      </w:r>
      <w:r w:rsidRPr="00743471">
        <w:t xml:space="preserve"> ETL Pipeline Completed Successfully</w:t>
      </w:r>
    </w:p>
    <w:p w14:paraId="73EAE8B4" w14:textId="7AA45814" w:rsidR="003F429A" w:rsidRDefault="003F429A" w:rsidP="00907BCE">
      <w:r w:rsidRPr="003F429A">
        <w:drawing>
          <wp:inline distT="0" distB="0" distL="0" distR="0" wp14:anchorId="0DD3F3F3" wp14:editId="2269F0FA">
            <wp:extent cx="4435200" cy="1206435"/>
            <wp:effectExtent l="19050" t="19050" r="22860" b="13335"/>
            <wp:docPr id="144482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20162" name=""/>
                    <pic:cNvPicPr/>
                  </pic:nvPicPr>
                  <pic:blipFill>
                    <a:blip r:embed="rId13"/>
                    <a:stretch>
                      <a:fillRect/>
                    </a:stretch>
                  </pic:blipFill>
                  <pic:spPr>
                    <a:xfrm>
                      <a:off x="0" y="0"/>
                      <a:ext cx="4474930" cy="1217242"/>
                    </a:xfrm>
                    <a:prstGeom prst="rect">
                      <a:avLst/>
                    </a:prstGeom>
                    <a:ln>
                      <a:solidFill>
                        <a:schemeClr val="tx1"/>
                      </a:solidFill>
                    </a:ln>
                  </pic:spPr>
                </pic:pic>
              </a:graphicData>
            </a:graphic>
          </wp:inline>
        </w:drawing>
      </w:r>
    </w:p>
    <w:p w14:paraId="549F9C23" w14:textId="0A35D86A" w:rsidR="00743471" w:rsidRDefault="00743471">
      <w:r>
        <w:br w:type="page"/>
      </w:r>
    </w:p>
    <w:p w14:paraId="5EB6BDDE" w14:textId="77777777" w:rsidR="00743471" w:rsidRPr="00743471" w:rsidRDefault="00743471" w:rsidP="00743471">
      <w:pPr>
        <w:rPr>
          <w:sz w:val="40"/>
          <w:szCs w:val="40"/>
        </w:rPr>
      </w:pPr>
      <w:r w:rsidRPr="00743471">
        <w:rPr>
          <w:b/>
          <w:bCs/>
          <w:sz w:val="40"/>
          <w:szCs w:val="40"/>
        </w:rPr>
        <w:lastRenderedPageBreak/>
        <w:t>Exploratory Data Analysis (EDA)</w:t>
      </w:r>
    </w:p>
    <w:p w14:paraId="50EC0572" w14:textId="77777777" w:rsidR="00743471" w:rsidRPr="00743471" w:rsidRDefault="00743471" w:rsidP="00743471">
      <w:pPr>
        <w:jc w:val="both"/>
      </w:pPr>
      <w:r w:rsidRPr="00743471">
        <w:t>Exploratory Data Analysis (EDA) was performed to understand the structure, quality, and characteristics of the mutual fund datasets before conducting performance analysis. Various visualizations were created to identify trends, distributions, relationships, and potential insights related to mutual funds, investors, and market behaviour.</w:t>
      </w:r>
    </w:p>
    <w:p w14:paraId="0999B6AA" w14:textId="77777777" w:rsidR="00743471" w:rsidRDefault="00743471" w:rsidP="00743471">
      <w:pPr>
        <w:jc w:val="both"/>
      </w:pPr>
      <w:r w:rsidRPr="00743471">
        <w:t>The analysis covers industry growth, investor demographics, SIP patterns, sector allocation, portfolio diversification, and benchmark movements. These insights helped validate the data and provided a foundation for the financial analytics performed in later stages of the project.</w:t>
      </w:r>
    </w:p>
    <w:p w14:paraId="43E02397" w14:textId="77777777" w:rsidR="00B0054C" w:rsidRDefault="00B0054C" w:rsidP="00743471">
      <w:pPr>
        <w:jc w:val="both"/>
      </w:pPr>
    </w:p>
    <w:p w14:paraId="53098D46" w14:textId="4C70141A" w:rsidR="00F16C26" w:rsidRDefault="00F16C26" w:rsidP="00F16C26">
      <w:pPr>
        <w:jc w:val="both"/>
      </w:pPr>
      <w:r w:rsidRPr="00F16C26">
        <w:drawing>
          <wp:inline distT="0" distB="0" distL="0" distR="0" wp14:anchorId="1E7A4082" wp14:editId="08EC3D9C">
            <wp:extent cx="5731510" cy="4219200"/>
            <wp:effectExtent l="19050" t="19050" r="21590" b="10160"/>
            <wp:docPr id="1691843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40941" cy="4226142"/>
                    </a:xfrm>
                    <a:prstGeom prst="rect">
                      <a:avLst/>
                    </a:prstGeom>
                    <a:noFill/>
                    <a:ln>
                      <a:solidFill>
                        <a:schemeClr val="tx1"/>
                      </a:solidFill>
                    </a:ln>
                  </pic:spPr>
                </pic:pic>
              </a:graphicData>
            </a:graphic>
          </wp:inline>
        </w:drawing>
      </w:r>
    </w:p>
    <w:p w14:paraId="0C62E080" w14:textId="77777777" w:rsidR="00F16C26" w:rsidRPr="00F16C26" w:rsidRDefault="00F16C26" w:rsidP="00F16C26">
      <w:pPr>
        <w:jc w:val="both"/>
      </w:pPr>
    </w:p>
    <w:p w14:paraId="1ED07A76" w14:textId="56E82CE5" w:rsidR="00743471" w:rsidRDefault="00F16C26" w:rsidP="00743471">
      <w:pPr>
        <w:jc w:val="both"/>
        <w:rPr>
          <w:b/>
          <w:bCs/>
        </w:rPr>
      </w:pPr>
      <w:r w:rsidRPr="00F16C26">
        <w:rPr>
          <w:b/>
          <w:bCs/>
        </w:rPr>
        <w:t>Figure 4.1 – Growth in Assets Under Management (AUM)</w:t>
      </w:r>
    </w:p>
    <w:p w14:paraId="4AD7A619" w14:textId="0E846925" w:rsidR="00F16C26" w:rsidRDefault="00F16C26" w:rsidP="00743471">
      <w:pPr>
        <w:jc w:val="both"/>
      </w:pPr>
      <w:r w:rsidRPr="00F16C26">
        <w:t>The chart compares the Assets Under Management (AUM) of different mutual fund houses from 2022 to 2025. SBI Mutual Fund consistently maintained the largest AUM, indicating its strong market position and investor confidence.</w:t>
      </w:r>
    </w:p>
    <w:p w14:paraId="767389C1" w14:textId="7FB3926B" w:rsidR="00F16C26" w:rsidRPr="00F16C26" w:rsidRDefault="00F16C26" w:rsidP="00F16C26">
      <w:pPr>
        <w:jc w:val="both"/>
      </w:pPr>
      <w:r w:rsidRPr="00F16C26">
        <w:lastRenderedPageBreak/>
        <w:drawing>
          <wp:inline distT="0" distB="0" distL="0" distR="0" wp14:anchorId="589F685C" wp14:editId="3C3C6E37">
            <wp:extent cx="5731510" cy="3753750"/>
            <wp:effectExtent l="19050" t="19050" r="21590" b="18415"/>
            <wp:docPr id="1394076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9360" cy="3758891"/>
                    </a:xfrm>
                    <a:prstGeom prst="rect">
                      <a:avLst/>
                    </a:prstGeom>
                    <a:noFill/>
                    <a:ln>
                      <a:solidFill>
                        <a:schemeClr val="tx1"/>
                      </a:solidFill>
                    </a:ln>
                  </pic:spPr>
                </pic:pic>
              </a:graphicData>
            </a:graphic>
          </wp:inline>
        </w:drawing>
      </w:r>
    </w:p>
    <w:p w14:paraId="5648EE25" w14:textId="35A07B28" w:rsidR="00F16C26" w:rsidRPr="00F16C26" w:rsidRDefault="00F16C26" w:rsidP="00743471">
      <w:pPr>
        <w:jc w:val="both"/>
        <w:rPr>
          <w:b/>
          <w:bCs/>
        </w:rPr>
      </w:pPr>
      <w:r w:rsidRPr="00F16C26">
        <w:rPr>
          <w:b/>
          <w:bCs/>
        </w:rPr>
        <w:t>Figure 4.2 – Monthly SIP Inflow Trend</w:t>
      </w:r>
    </w:p>
    <w:p w14:paraId="5707298B" w14:textId="2A23F49A" w:rsidR="00F16C26" w:rsidRDefault="00F16C26" w:rsidP="00743471">
      <w:pPr>
        <w:jc w:val="both"/>
      </w:pPr>
      <w:r w:rsidRPr="00F16C26">
        <w:t>Monthly SIP inflows remained consistently strong throughout the observation period, reflecting increasing investor participation and the growing preference for disciplined long-term investing through Systematic Investment Plans.</w:t>
      </w:r>
    </w:p>
    <w:p w14:paraId="4F40045D" w14:textId="71C68702" w:rsidR="00F16C26" w:rsidRPr="00B0054C" w:rsidRDefault="00B0054C" w:rsidP="00743471">
      <w:pPr>
        <w:jc w:val="both"/>
        <w:rPr>
          <w:b/>
          <w:bCs/>
        </w:rPr>
      </w:pPr>
      <w:r w:rsidRPr="00B0054C">
        <w:rPr>
          <w:b/>
          <w:bCs/>
        </w:rPr>
        <w:t>Key Observations</w:t>
      </w:r>
    </w:p>
    <w:p w14:paraId="37E0C1D5" w14:textId="77777777" w:rsidR="00F16C26" w:rsidRPr="00F16C26" w:rsidRDefault="00F16C26" w:rsidP="00F16C26">
      <w:pPr>
        <w:numPr>
          <w:ilvl w:val="0"/>
          <w:numId w:val="4"/>
        </w:numPr>
        <w:jc w:val="both"/>
      </w:pPr>
      <w:r w:rsidRPr="00F16C26">
        <w:t xml:space="preserve">SBI Mutual Fund managed the highest Assets Under Management during the study period. </w:t>
      </w:r>
    </w:p>
    <w:p w14:paraId="4478E12B" w14:textId="77777777" w:rsidR="00F16C26" w:rsidRPr="00F16C26" w:rsidRDefault="00F16C26" w:rsidP="00F16C26">
      <w:pPr>
        <w:numPr>
          <w:ilvl w:val="0"/>
          <w:numId w:val="4"/>
        </w:numPr>
        <w:jc w:val="both"/>
      </w:pPr>
      <w:r w:rsidRPr="00F16C26">
        <w:t xml:space="preserve">Industry-wide AUM showed consistent growth over multiple years. </w:t>
      </w:r>
    </w:p>
    <w:p w14:paraId="6C6311D3" w14:textId="77777777" w:rsidR="00F16C26" w:rsidRPr="00F16C26" w:rsidRDefault="00F16C26" w:rsidP="00F16C26">
      <w:pPr>
        <w:numPr>
          <w:ilvl w:val="0"/>
          <w:numId w:val="4"/>
        </w:numPr>
        <w:jc w:val="both"/>
      </w:pPr>
      <w:r w:rsidRPr="00F16C26">
        <w:t xml:space="preserve">Monthly SIP inflows remained stable with gradual upward movement. </w:t>
      </w:r>
    </w:p>
    <w:p w14:paraId="66DE69EE" w14:textId="365BCA54" w:rsidR="00F16C26" w:rsidRPr="00F16C26" w:rsidRDefault="00F16C26" w:rsidP="00B0054C">
      <w:pPr>
        <w:numPr>
          <w:ilvl w:val="0"/>
          <w:numId w:val="4"/>
        </w:numPr>
        <w:jc w:val="both"/>
      </w:pPr>
      <w:r w:rsidRPr="00F16C26">
        <w:t xml:space="preserve">Investor participation continued to increase through systematic investment plans. </w:t>
      </w:r>
    </w:p>
    <w:p w14:paraId="6F737A48" w14:textId="7A6DB61A" w:rsidR="00B0054C" w:rsidRDefault="00B0054C">
      <w:r>
        <w:br w:type="page"/>
      </w:r>
    </w:p>
    <w:p w14:paraId="7E00F206" w14:textId="1D6CB091" w:rsidR="00B0054C" w:rsidRPr="00B0054C" w:rsidRDefault="00B0054C" w:rsidP="00743471">
      <w:pPr>
        <w:rPr>
          <w:b/>
          <w:bCs/>
          <w:sz w:val="40"/>
          <w:szCs w:val="40"/>
        </w:rPr>
      </w:pPr>
      <w:r w:rsidRPr="00B0054C">
        <w:rPr>
          <w:b/>
          <w:bCs/>
          <w:sz w:val="40"/>
          <w:szCs w:val="40"/>
        </w:rPr>
        <w:lastRenderedPageBreak/>
        <w:t>Investor Demographics Analysis</w:t>
      </w:r>
    </w:p>
    <w:p w14:paraId="3082DC74" w14:textId="01CA82D3" w:rsidR="00B0054C" w:rsidRPr="00B0054C" w:rsidRDefault="00B0054C" w:rsidP="00743471">
      <w:pPr>
        <w:rPr>
          <w:b/>
          <w:bCs/>
        </w:rPr>
      </w:pPr>
      <w:r w:rsidRPr="00B0054C">
        <w:rPr>
          <w:b/>
          <w:bCs/>
        </w:rPr>
        <w:t>Figure 4.3 – Gender Distribution of Investors</w:t>
      </w:r>
    </w:p>
    <w:p w14:paraId="7292E162" w14:textId="1FF08511" w:rsidR="00B0054C" w:rsidRPr="00B0054C" w:rsidRDefault="00B0054C" w:rsidP="00B0054C">
      <w:r w:rsidRPr="00B0054C">
        <w:drawing>
          <wp:inline distT="0" distB="0" distL="0" distR="0" wp14:anchorId="473C6246" wp14:editId="09A48E1A">
            <wp:extent cx="5730205" cy="2347200"/>
            <wp:effectExtent l="19050" t="19050" r="23495" b="15240"/>
            <wp:docPr id="21052162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737" cy="2356839"/>
                    </a:xfrm>
                    <a:prstGeom prst="rect">
                      <a:avLst/>
                    </a:prstGeom>
                    <a:noFill/>
                    <a:ln>
                      <a:solidFill>
                        <a:schemeClr val="tx1"/>
                      </a:solidFill>
                    </a:ln>
                  </pic:spPr>
                </pic:pic>
              </a:graphicData>
            </a:graphic>
          </wp:inline>
        </w:drawing>
      </w:r>
    </w:p>
    <w:p w14:paraId="1B4C9BC5" w14:textId="09F24131" w:rsidR="00B0054C" w:rsidRDefault="00B0054C" w:rsidP="00743471">
      <w:r w:rsidRPr="00B0054C">
        <w:t>The gender distribution illustrates the participation of male and female investors in mutual fund investments, providing insights into investor diversity.</w:t>
      </w:r>
    </w:p>
    <w:p w14:paraId="709B3BA2" w14:textId="77777777" w:rsidR="00B0054C" w:rsidRDefault="00B0054C" w:rsidP="00743471"/>
    <w:p w14:paraId="06D3C899" w14:textId="495B5168" w:rsidR="00B0054C" w:rsidRPr="00B0054C" w:rsidRDefault="00B0054C" w:rsidP="00743471">
      <w:pPr>
        <w:rPr>
          <w:b/>
          <w:bCs/>
        </w:rPr>
      </w:pPr>
      <w:r w:rsidRPr="00B0054C">
        <w:rPr>
          <w:b/>
          <w:bCs/>
        </w:rPr>
        <w:t>Figure 4.4 – Age Group Distribution</w:t>
      </w:r>
    </w:p>
    <w:p w14:paraId="779F727A" w14:textId="545F0153" w:rsidR="00B0054C" w:rsidRDefault="00B0054C" w:rsidP="00B0054C">
      <w:r w:rsidRPr="00B0054C">
        <w:drawing>
          <wp:inline distT="0" distB="0" distL="0" distR="0" wp14:anchorId="053C5BEE" wp14:editId="06C689E3">
            <wp:extent cx="5730718" cy="3379350"/>
            <wp:effectExtent l="19050" t="19050" r="22860" b="12065"/>
            <wp:docPr id="6954833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73559" cy="3404613"/>
                    </a:xfrm>
                    <a:prstGeom prst="rect">
                      <a:avLst/>
                    </a:prstGeom>
                    <a:noFill/>
                    <a:ln>
                      <a:solidFill>
                        <a:schemeClr val="tx1"/>
                      </a:solidFill>
                    </a:ln>
                  </pic:spPr>
                </pic:pic>
              </a:graphicData>
            </a:graphic>
          </wp:inline>
        </w:drawing>
      </w:r>
    </w:p>
    <w:p w14:paraId="33A9B0F0" w14:textId="0D269F4D" w:rsidR="00B0054C" w:rsidRDefault="00B0054C" w:rsidP="00B0054C">
      <w:r w:rsidRPr="00B0054C">
        <w:t>Most investments originate from economically active age groups, particularly investors between 26–</w:t>
      </w:r>
      <w:r>
        <w:t>3</w:t>
      </w:r>
      <w:r w:rsidRPr="00B0054C">
        <w:t>5 years, indicating strong participation from working professionals.</w:t>
      </w:r>
    </w:p>
    <w:p w14:paraId="1D77C5A6" w14:textId="16E62ED3" w:rsidR="00B0054C" w:rsidRDefault="00B0054C">
      <w:r>
        <w:br w:type="page"/>
      </w:r>
    </w:p>
    <w:p w14:paraId="179F0D00" w14:textId="1C31B2D0" w:rsidR="00B0054C" w:rsidRPr="00B0054C" w:rsidRDefault="00B0054C" w:rsidP="00B0054C">
      <w:pPr>
        <w:rPr>
          <w:b/>
          <w:bCs/>
        </w:rPr>
      </w:pPr>
      <w:r w:rsidRPr="00B0054C">
        <w:rPr>
          <w:b/>
          <w:bCs/>
        </w:rPr>
        <w:lastRenderedPageBreak/>
        <w:t>Figure 4.5 – T30 vs B30 Distribution</w:t>
      </w:r>
    </w:p>
    <w:p w14:paraId="4A569618" w14:textId="3FE0FDE9" w:rsidR="00B0054C" w:rsidRDefault="00B0054C" w:rsidP="00B0054C">
      <w:r w:rsidRPr="00B0054C">
        <w:drawing>
          <wp:inline distT="0" distB="0" distL="0" distR="0" wp14:anchorId="1859DBEB" wp14:editId="1DBA150E">
            <wp:extent cx="5730221" cy="4005750"/>
            <wp:effectExtent l="19050" t="19050" r="23495" b="13970"/>
            <wp:docPr id="17344705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5940" cy="4023729"/>
                    </a:xfrm>
                    <a:prstGeom prst="rect">
                      <a:avLst/>
                    </a:prstGeom>
                    <a:noFill/>
                    <a:ln>
                      <a:solidFill>
                        <a:schemeClr val="tx1"/>
                      </a:solidFill>
                    </a:ln>
                  </pic:spPr>
                </pic:pic>
              </a:graphicData>
            </a:graphic>
          </wp:inline>
        </w:drawing>
      </w:r>
    </w:p>
    <w:p w14:paraId="50304D0A" w14:textId="77777777" w:rsidR="00B0054C" w:rsidRDefault="00B0054C" w:rsidP="00B0054C"/>
    <w:p w14:paraId="02A4DBC5" w14:textId="4174A0B0" w:rsidR="00B0054C" w:rsidRDefault="00B0054C" w:rsidP="00B0054C">
      <w:r w:rsidRPr="00B0054C">
        <w:t>The comparison between T30 and B30 cities highlights investor participation across metropolitan and emerging markets, demonstrating expanding mutual fund penetration beyond major cities.</w:t>
      </w:r>
    </w:p>
    <w:p w14:paraId="2FDC0D45" w14:textId="77777777" w:rsidR="00B0054C" w:rsidRDefault="00B0054C" w:rsidP="00B0054C"/>
    <w:p w14:paraId="1BABCE0A" w14:textId="77777777" w:rsidR="00B0054C" w:rsidRDefault="00B0054C" w:rsidP="00B0054C"/>
    <w:p w14:paraId="79E0A259" w14:textId="77777777" w:rsidR="00B0054C" w:rsidRPr="00B0054C" w:rsidRDefault="00B0054C" w:rsidP="00B0054C">
      <w:pPr>
        <w:rPr>
          <w:b/>
          <w:bCs/>
        </w:rPr>
      </w:pPr>
      <w:r w:rsidRPr="00B0054C">
        <w:rPr>
          <w:b/>
          <w:bCs/>
        </w:rPr>
        <w:t>Key Observations</w:t>
      </w:r>
    </w:p>
    <w:p w14:paraId="39C131C5" w14:textId="77777777" w:rsidR="00B0054C" w:rsidRPr="00B0054C" w:rsidRDefault="00B0054C" w:rsidP="00B0054C">
      <w:pPr>
        <w:numPr>
          <w:ilvl w:val="0"/>
          <w:numId w:val="5"/>
        </w:numPr>
      </w:pPr>
      <w:r w:rsidRPr="00B0054C">
        <w:t xml:space="preserve">Working-age investors represent the largest investment segment. </w:t>
      </w:r>
    </w:p>
    <w:p w14:paraId="439F3758" w14:textId="77777777" w:rsidR="00B0054C" w:rsidRPr="00B0054C" w:rsidRDefault="00B0054C" w:rsidP="00B0054C">
      <w:pPr>
        <w:numPr>
          <w:ilvl w:val="0"/>
          <w:numId w:val="5"/>
        </w:numPr>
      </w:pPr>
      <w:r w:rsidRPr="00B0054C">
        <w:t xml:space="preserve">Mutual fund participation is growing across both T30 and B30 cities. </w:t>
      </w:r>
    </w:p>
    <w:p w14:paraId="4E1B1092" w14:textId="77777777" w:rsidR="00B0054C" w:rsidRDefault="00B0054C" w:rsidP="00B0054C">
      <w:pPr>
        <w:numPr>
          <w:ilvl w:val="0"/>
          <w:numId w:val="5"/>
        </w:numPr>
      </w:pPr>
      <w:r w:rsidRPr="00B0054C">
        <w:t>The investor base shows participation across multiple demographic groups.</w:t>
      </w:r>
    </w:p>
    <w:p w14:paraId="2E1B87D6" w14:textId="77777777" w:rsidR="00B0054C" w:rsidRDefault="00B0054C" w:rsidP="00B0054C">
      <w:pPr>
        <w:ind w:left="360"/>
      </w:pPr>
    </w:p>
    <w:p w14:paraId="6387B058" w14:textId="6785098A" w:rsidR="00B0054C" w:rsidRDefault="00B0054C">
      <w:r>
        <w:br w:type="page"/>
      </w:r>
    </w:p>
    <w:p w14:paraId="75CBF0B6" w14:textId="1A8C91B8" w:rsidR="00B0054C" w:rsidRDefault="00223A56" w:rsidP="00B0054C">
      <w:pPr>
        <w:ind w:left="360"/>
      </w:pPr>
      <w:r w:rsidRPr="00223A56">
        <w:lastRenderedPageBreak/>
        <w:t>Market &amp; Portfolio Analysis</w:t>
      </w:r>
    </w:p>
    <w:p w14:paraId="41FBF41D" w14:textId="77777777" w:rsidR="00223A56" w:rsidRDefault="00223A56" w:rsidP="00223A56">
      <w:pPr>
        <w:ind w:left="360"/>
        <w:rPr>
          <w:b/>
          <w:bCs/>
        </w:rPr>
      </w:pPr>
      <w:r w:rsidRPr="00223A56">
        <w:rPr>
          <w:b/>
          <w:bCs/>
        </w:rPr>
        <w:t>Figure 4.6 – Category-wise Net Inflows</w:t>
      </w:r>
    </w:p>
    <w:p w14:paraId="4EAA2195" w14:textId="2E80984E" w:rsidR="00223A56" w:rsidRPr="00223A56" w:rsidRDefault="00223A56" w:rsidP="00223A56">
      <w:pPr>
        <w:ind w:left="360"/>
      </w:pPr>
      <w:r w:rsidRPr="00223A56">
        <w:drawing>
          <wp:inline distT="0" distB="0" distL="0" distR="0" wp14:anchorId="291D551D" wp14:editId="40970EF6">
            <wp:extent cx="5730811" cy="2169750"/>
            <wp:effectExtent l="19050" t="19050" r="22860" b="21590"/>
            <wp:docPr id="1089839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0898" cy="2177355"/>
                    </a:xfrm>
                    <a:prstGeom prst="rect">
                      <a:avLst/>
                    </a:prstGeom>
                    <a:noFill/>
                    <a:ln>
                      <a:solidFill>
                        <a:schemeClr val="tx1"/>
                      </a:solidFill>
                    </a:ln>
                  </pic:spPr>
                </pic:pic>
              </a:graphicData>
            </a:graphic>
          </wp:inline>
        </w:drawing>
      </w:r>
    </w:p>
    <w:p w14:paraId="5A41839E" w14:textId="77777777" w:rsidR="00223A56" w:rsidRDefault="00223A56" w:rsidP="00223A56">
      <w:pPr>
        <w:ind w:left="360"/>
      </w:pPr>
      <w:r w:rsidRPr="00223A56">
        <w:t>The heatmap illustrates monthly net inflows across different mutual fund categories. Flexi Cap, Mid Cap, and Large &amp; Mid Cap funds consistently attracted higher investor inflows compared to other categories.</w:t>
      </w:r>
    </w:p>
    <w:p w14:paraId="6EDA7708" w14:textId="77777777" w:rsidR="00223A56" w:rsidRDefault="00223A56" w:rsidP="00223A56">
      <w:pPr>
        <w:ind w:left="360"/>
      </w:pPr>
    </w:p>
    <w:p w14:paraId="3820EBAF" w14:textId="77777777" w:rsidR="00223A56" w:rsidRDefault="00223A56" w:rsidP="00223A56">
      <w:pPr>
        <w:ind w:left="360"/>
        <w:rPr>
          <w:b/>
          <w:bCs/>
        </w:rPr>
      </w:pPr>
      <w:r w:rsidRPr="00223A56">
        <w:rPr>
          <w:b/>
          <w:bCs/>
        </w:rPr>
        <w:t>Figure 4.7 – Sector Allocation of Portfolio Holdings</w:t>
      </w:r>
    </w:p>
    <w:p w14:paraId="61FE6466" w14:textId="26D5747C" w:rsidR="00223A56" w:rsidRPr="00223A56" w:rsidRDefault="00223A56" w:rsidP="00223A56">
      <w:pPr>
        <w:ind w:left="360"/>
      </w:pPr>
      <w:r w:rsidRPr="00223A56">
        <w:drawing>
          <wp:inline distT="0" distB="0" distL="0" distR="0" wp14:anchorId="746D1F05" wp14:editId="277B4F1F">
            <wp:extent cx="5728252" cy="3300150"/>
            <wp:effectExtent l="19050" t="19050" r="25400" b="14605"/>
            <wp:docPr id="16421060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21229" cy="3353716"/>
                    </a:xfrm>
                    <a:prstGeom prst="rect">
                      <a:avLst/>
                    </a:prstGeom>
                    <a:noFill/>
                    <a:ln>
                      <a:solidFill>
                        <a:schemeClr val="tx1"/>
                      </a:solidFill>
                    </a:ln>
                  </pic:spPr>
                </pic:pic>
              </a:graphicData>
            </a:graphic>
          </wp:inline>
        </w:drawing>
      </w:r>
    </w:p>
    <w:p w14:paraId="775E965C" w14:textId="77777777" w:rsidR="00223A56" w:rsidRDefault="00223A56" w:rsidP="00223A56">
      <w:pPr>
        <w:ind w:left="360"/>
      </w:pPr>
      <w:r w:rsidRPr="00223A56">
        <w:t>The portfolio holdings are diversified across multiple sectors such as Banking, IT, Pharma, FMCG, Utilities, and Manufacturing. Sector allocation provides insight into diversification and investment concentration.</w:t>
      </w:r>
    </w:p>
    <w:p w14:paraId="3FA885F5" w14:textId="3F27DB06" w:rsidR="00223A56" w:rsidRDefault="00223A56">
      <w:r>
        <w:br w:type="page"/>
      </w:r>
    </w:p>
    <w:p w14:paraId="4D83FF73" w14:textId="7DD19C3E" w:rsidR="00223A56" w:rsidRDefault="00223A56" w:rsidP="00223A56">
      <w:pPr>
        <w:ind w:left="360"/>
        <w:rPr>
          <w:b/>
          <w:bCs/>
        </w:rPr>
      </w:pPr>
      <w:r w:rsidRPr="00223A56">
        <w:rPr>
          <w:b/>
          <w:bCs/>
        </w:rPr>
        <w:lastRenderedPageBreak/>
        <w:t xml:space="preserve">Figure 4.8 – </w:t>
      </w:r>
      <w:r w:rsidR="00C72220" w:rsidRPr="00C72220">
        <w:rPr>
          <w:b/>
          <w:bCs/>
        </w:rPr>
        <w:t>Growth of Mutual Fund Folios (2022–2025)</w:t>
      </w:r>
    </w:p>
    <w:p w14:paraId="55FF99FB" w14:textId="1683F5F2" w:rsidR="00223A56" w:rsidRPr="00223A56" w:rsidRDefault="00223A56" w:rsidP="00223A56">
      <w:pPr>
        <w:ind w:left="360"/>
      </w:pPr>
      <w:r w:rsidRPr="00223A56">
        <w:drawing>
          <wp:inline distT="0" distB="0" distL="0" distR="0" wp14:anchorId="4EB02170" wp14:editId="2BC6C4FF">
            <wp:extent cx="5731510" cy="2456180"/>
            <wp:effectExtent l="19050" t="19050" r="21590" b="20320"/>
            <wp:docPr id="15411875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solidFill>
                        <a:schemeClr val="tx1"/>
                      </a:solidFill>
                    </a:ln>
                  </pic:spPr>
                </pic:pic>
              </a:graphicData>
            </a:graphic>
          </wp:inline>
        </w:drawing>
      </w:r>
    </w:p>
    <w:p w14:paraId="2B09F062" w14:textId="77777777" w:rsidR="00223A56" w:rsidRPr="00223A56" w:rsidRDefault="00223A56" w:rsidP="00223A56">
      <w:pPr>
        <w:ind w:left="360"/>
      </w:pPr>
    </w:p>
    <w:p w14:paraId="3F0046F9" w14:textId="77777777" w:rsidR="00C72220" w:rsidRPr="00C72220" w:rsidRDefault="00C72220" w:rsidP="00C72220">
      <w:pPr>
        <w:ind w:left="360"/>
      </w:pPr>
      <w:r w:rsidRPr="00C72220">
        <w:rPr>
          <w:b/>
          <w:bCs/>
        </w:rPr>
        <w:t>Description:</w:t>
      </w:r>
    </w:p>
    <w:p w14:paraId="08AF856B" w14:textId="77777777" w:rsidR="00C72220" w:rsidRPr="00C72220" w:rsidRDefault="00C72220" w:rsidP="00C72220">
      <w:pPr>
        <w:ind w:left="360"/>
      </w:pPr>
      <w:r w:rsidRPr="00C72220">
        <w:t xml:space="preserve">The chart illustrates the steady growth in the total number of mutual fund folios between 2022 and 2025. Total folios increased from approximately </w:t>
      </w:r>
      <w:r w:rsidRPr="00C72220">
        <w:rPr>
          <w:b/>
          <w:bCs/>
        </w:rPr>
        <w:t>13.26 crore</w:t>
      </w:r>
      <w:r w:rsidRPr="00C72220">
        <w:t xml:space="preserve"> in early 2022 to over </w:t>
      </w:r>
      <w:r w:rsidRPr="00C72220">
        <w:rPr>
          <w:b/>
          <w:bCs/>
        </w:rPr>
        <w:t>26.12 crore</w:t>
      </w:r>
      <w:r w:rsidRPr="00C72220">
        <w:t xml:space="preserve"> by the end of 2025, reflecting rising retail investor participation and increasing adoption of mutual fund investments in India.</w:t>
      </w:r>
    </w:p>
    <w:p w14:paraId="509E0DDF" w14:textId="77777777" w:rsidR="00C72220" w:rsidRPr="00C72220" w:rsidRDefault="00C72220" w:rsidP="00C72220">
      <w:pPr>
        <w:ind w:left="360"/>
      </w:pPr>
      <w:r w:rsidRPr="00C72220">
        <w:rPr>
          <w:b/>
          <w:bCs/>
        </w:rPr>
        <w:t>Key Observations:</w:t>
      </w:r>
    </w:p>
    <w:p w14:paraId="5A870019" w14:textId="77777777" w:rsidR="00C72220" w:rsidRDefault="00C72220" w:rsidP="00C72220">
      <w:pPr>
        <w:numPr>
          <w:ilvl w:val="0"/>
          <w:numId w:val="6"/>
        </w:numPr>
      </w:pPr>
      <w:r w:rsidRPr="00C72220">
        <w:t xml:space="preserve">Total mutual fund folios nearly doubled during the study period. </w:t>
      </w:r>
    </w:p>
    <w:p w14:paraId="1F29EAFE" w14:textId="77777777" w:rsidR="00C72220" w:rsidRPr="00C72220" w:rsidRDefault="00C72220" w:rsidP="00C72220">
      <w:pPr>
        <w:pStyle w:val="ListParagraph"/>
        <w:numPr>
          <w:ilvl w:val="0"/>
          <w:numId w:val="6"/>
        </w:numPr>
      </w:pPr>
      <w:r w:rsidRPr="00C72220">
        <w:t xml:space="preserve">Flexi Cap and Mid Cap funds consistently received strong net inflows. </w:t>
      </w:r>
    </w:p>
    <w:p w14:paraId="48667F2E" w14:textId="6600B92D" w:rsidR="00C72220" w:rsidRPr="00C72220" w:rsidRDefault="00C72220" w:rsidP="00C72220">
      <w:pPr>
        <w:numPr>
          <w:ilvl w:val="0"/>
          <w:numId w:val="6"/>
        </w:numPr>
      </w:pPr>
      <w:r w:rsidRPr="00C72220">
        <w:t>Banking and IT remain dominant sectors in equity portfolios</w:t>
      </w:r>
    </w:p>
    <w:p w14:paraId="081BA1FE" w14:textId="77777777" w:rsidR="00C72220" w:rsidRPr="00C72220" w:rsidRDefault="00C72220" w:rsidP="00C72220">
      <w:pPr>
        <w:numPr>
          <w:ilvl w:val="0"/>
          <w:numId w:val="6"/>
        </w:numPr>
      </w:pPr>
      <w:r w:rsidRPr="00C72220">
        <w:t xml:space="preserve">The sharpest increase occurred throughout 2024 and 2025. </w:t>
      </w:r>
    </w:p>
    <w:p w14:paraId="272237C2" w14:textId="77777777" w:rsidR="00C72220" w:rsidRDefault="00C72220" w:rsidP="00C72220">
      <w:pPr>
        <w:numPr>
          <w:ilvl w:val="0"/>
          <w:numId w:val="6"/>
        </w:numPr>
      </w:pPr>
      <w:r w:rsidRPr="00C72220">
        <w:t xml:space="preserve">Continuous folio growth indicates increasing investor confidence in mutual funds. </w:t>
      </w:r>
    </w:p>
    <w:p w14:paraId="1D4DA4C0" w14:textId="1F507E5D" w:rsidR="00C72220" w:rsidRPr="00C72220" w:rsidRDefault="00C72220" w:rsidP="00C72220">
      <w:pPr>
        <w:numPr>
          <w:ilvl w:val="0"/>
          <w:numId w:val="6"/>
        </w:numPr>
      </w:pPr>
      <w:r w:rsidRPr="00C72220">
        <w:t>Diversification across sectors reduces concentration risk</w:t>
      </w:r>
    </w:p>
    <w:p w14:paraId="66C1E6F0" w14:textId="77777777" w:rsidR="00C72220" w:rsidRPr="00C72220" w:rsidRDefault="00C72220" w:rsidP="00C72220">
      <w:pPr>
        <w:numPr>
          <w:ilvl w:val="0"/>
          <w:numId w:val="6"/>
        </w:numPr>
      </w:pPr>
      <w:r w:rsidRPr="00C72220">
        <w:t>Rising SIP participation is a major contributor to folio growth.</w:t>
      </w:r>
    </w:p>
    <w:p w14:paraId="770A58E8" w14:textId="77777777" w:rsidR="00223A56" w:rsidRPr="00223A56" w:rsidRDefault="00223A56" w:rsidP="00223A56">
      <w:pPr>
        <w:ind w:left="360"/>
      </w:pPr>
    </w:p>
    <w:p w14:paraId="698AFC9B" w14:textId="6DCA3A07" w:rsidR="00223A56" w:rsidRPr="00223A56" w:rsidRDefault="00C72220" w:rsidP="00C72220">
      <w:r>
        <w:br w:type="page"/>
      </w:r>
    </w:p>
    <w:p w14:paraId="19A5141F" w14:textId="09C90F6C" w:rsidR="00223A56" w:rsidRPr="000C712B" w:rsidRDefault="00C72220" w:rsidP="00B0054C">
      <w:pPr>
        <w:ind w:left="360"/>
        <w:rPr>
          <w:b/>
          <w:bCs/>
          <w:sz w:val="40"/>
          <w:szCs w:val="40"/>
        </w:rPr>
      </w:pPr>
      <w:r w:rsidRPr="000C712B">
        <w:rPr>
          <w:b/>
          <w:bCs/>
          <w:sz w:val="40"/>
          <w:szCs w:val="40"/>
        </w:rPr>
        <w:lastRenderedPageBreak/>
        <w:t>Investment Behaviour &amp; Correlation Analysis</w:t>
      </w:r>
    </w:p>
    <w:p w14:paraId="49939338" w14:textId="77777777" w:rsidR="00C72220" w:rsidRDefault="00C72220" w:rsidP="00C72220">
      <w:pPr>
        <w:ind w:left="360"/>
        <w:rPr>
          <w:b/>
          <w:bCs/>
        </w:rPr>
      </w:pPr>
      <w:r w:rsidRPr="00C72220">
        <w:rPr>
          <w:b/>
          <w:bCs/>
        </w:rPr>
        <w:t>Figure 4.9 – NAV Return Correlation</w:t>
      </w:r>
    </w:p>
    <w:p w14:paraId="2E58D4F5" w14:textId="49E989FD" w:rsidR="00C72220" w:rsidRPr="00C72220" w:rsidRDefault="00C72220" w:rsidP="00C72220">
      <w:pPr>
        <w:ind w:left="360"/>
      </w:pPr>
      <w:r w:rsidRPr="00C72220">
        <w:drawing>
          <wp:inline distT="0" distB="0" distL="0" distR="0" wp14:anchorId="24D584EA" wp14:editId="4DD68A13">
            <wp:extent cx="5731510" cy="5212800"/>
            <wp:effectExtent l="19050" t="19050" r="21590" b="26035"/>
            <wp:docPr id="3912672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3373" cy="5214494"/>
                    </a:xfrm>
                    <a:prstGeom prst="rect">
                      <a:avLst/>
                    </a:prstGeom>
                    <a:noFill/>
                    <a:ln>
                      <a:solidFill>
                        <a:schemeClr val="tx1"/>
                      </a:solidFill>
                    </a:ln>
                  </pic:spPr>
                </pic:pic>
              </a:graphicData>
            </a:graphic>
          </wp:inline>
        </w:drawing>
      </w:r>
    </w:p>
    <w:p w14:paraId="5258922E" w14:textId="77777777" w:rsidR="00C72220" w:rsidRPr="00C72220" w:rsidRDefault="00C72220" w:rsidP="00C72220">
      <w:pPr>
        <w:ind w:left="360"/>
      </w:pPr>
    </w:p>
    <w:p w14:paraId="7D5C59A4" w14:textId="77777777" w:rsidR="00C72220" w:rsidRDefault="00C72220" w:rsidP="00C72220">
      <w:pPr>
        <w:ind w:left="360"/>
      </w:pPr>
      <w:r w:rsidRPr="00C72220">
        <w:t>Correlation analysis measures the relationship between NAV movements and fund returns. Stronger positive correlations indicate consistent performance patterns across the selected schemes.</w:t>
      </w:r>
    </w:p>
    <w:p w14:paraId="0A71FCD8" w14:textId="77777777" w:rsidR="00C72220" w:rsidRDefault="00C72220" w:rsidP="00C72220">
      <w:pPr>
        <w:ind w:left="360"/>
      </w:pPr>
    </w:p>
    <w:p w14:paraId="090025D5" w14:textId="77777777" w:rsidR="00C72220" w:rsidRDefault="00C72220" w:rsidP="00C72220">
      <w:pPr>
        <w:ind w:left="360"/>
      </w:pPr>
    </w:p>
    <w:p w14:paraId="614AD5F8" w14:textId="77777777" w:rsidR="00C72220" w:rsidRDefault="00C72220" w:rsidP="00C72220">
      <w:pPr>
        <w:ind w:left="360"/>
      </w:pPr>
    </w:p>
    <w:p w14:paraId="7B424348" w14:textId="77777777" w:rsidR="00C72220" w:rsidRDefault="00C72220" w:rsidP="00C72220">
      <w:pPr>
        <w:ind w:left="360"/>
      </w:pPr>
    </w:p>
    <w:p w14:paraId="270DFCA4" w14:textId="77777777" w:rsidR="00C72220" w:rsidRDefault="00C72220" w:rsidP="00C72220">
      <w:pPr>
        <w:ind w:left="360"/>
      </w:pPr>
    </w:p>
    <w:p w14:paraId="03D3D31D" w14:textId="77777777" w:rsidR="00C72220" w:rsidRDefault="00C72220" w:rsidP="00C72220">
      <w:pPr>
        <w:ind w:left="360"/>
      </w:pPr>
    </w:p>
    <w:p w14:paraId="65761298" w14:textId="77777777" w:rsidR="00C72220" w:rsidRDefault="00C72220" w:rsidP="00C72220">
      <w:pPr>
        <w:ind w:left="360"/>
        <w:rPr>
          <w:b/>
          <w:bCs/>
        </w:rPr>
      </w:pPr>
      <w:r w:rsidRPr="00C72220">
        <w:rPr>
          <w:b/>
          <w:bCs/>
        </w:rPr>
        <w:t>Figure 4.10 – State-wise SIP Distribution</w:t>
      </w:r>
    </w:p>
    <w:p w14:paraId="7F042BDD" w14:textId="72D7049D" w:rsidR="00C72220" w:rsidRPr="00C72220" w:rsidRDefault="00C72220" w:rsidP="00C72220">
      <w:pPr>
        <w:ind w:left="360"/>
      </w:pPr>
      <w:r w:rsidRPr="00C72220">
        <w:drawing>
          <wp:inline distT="0" distB="0" distL="0" distR="0" wp14:anchorId="03258D3E" wp14:editId="369C8989">
            <wp:extent cx="5731003" cy="5949750"/>
            <wp:effectExtent l="19050" t="19050" r="22225" b="13335"/>
            <wp:docPr id="13734994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0698" cy="5970196"/>
                    </a:xfrm>
                    <a:prstGeom prst="rect">
                      <a:avLst/>
                    </a:prstGeom>
                    <a:noFill/>
                    <a:ln>
                      <a:solidFill>
                        <a:schemeClr val="tx1"/>
                      </a:solidFill>
                    </a:ln>
                  </pic:spPr>
                </pic:pic>
              </a:graphicData>
            </a:graphic>
          </wp:inline>
        </w:drawing>
      </w:r>
    </w:p>
    <w:p w14:paraId="58F9EC8F" w14:textId="77777777" w:rsidR="008576E9" w:rsidRDefault="008576E9" w:rsidP="00C72220">
      <w:pPr>
        <w:ind w:left="360"/>
      </w:pPr>
    </w:p>
    <w:p w14:paraId="030092A4" w14:textId="77777777" w:rsidR="008576E9" w:rsidRDefault="008576E9" w:rsidP="00C72220">
      <w:pPr>
        <w:ind w:left="360"/>
      </w:pPr>
    </w:p>
    <w:p w14:paraId="089919F0" w14:textId="06F513AD" w:rsidR="00C72220" w:rsidRDefault="00C72220" w:rsidP="00C72220">
      <w:pPr>
        <w:ind w:left="360"/>
      </w:pPr>
      <w:r w:rsidRPr="00C72220">
        <w:t>The state-wise distribution highlights geographical participation in SIP investments. States with larger urban populations contributed a higher number of SIP transactions.</w:t>
      </w:r>
    </w:p>
    <w:p w14:paraId="43A4B8F3" w14:textId="77777777" w:rsidR="00C72220" w:rsidRDefault="00C72220" w:rsidP="00C72220">
      <w:pPr>
        <w:ind w:left="360"/>
      </w:pPr>
    </w:p>
    <w:p w14:paraId="5F122AE7" w14:textId="77777777" w:rsidR="008576E9" w:rsidRDefault="008576E9" w:rsidP="00C72220">
      <w:pPr>
        <w:ind w:left="360"/>
      </w:pPr>
    </w:p>
    <w:p w14:paraId="1329D73B" w14:textId="77777777" w:rsidR="008576E9" w:rsidRDefault="008576E9" w:rsidP="00C72220">
      <w:pPr>
        <w:ind w:left="360"/>
      </w:pPr>
    </w:p>
    <w:p w14:paraId="7D86A824" w14:textId="77777777" w:rsidR="008576E9" w:rsidRDefault="008576E9" w:rsidP="00C72220">
      <w:pPr>
        <w:ind w:left="360"/>
      </w:pPr>
    </w:p>
    <w:p w14:paraId="293081EB" w14:textId="77777777" w:rsidR="008576E9" w:rsidRDefault="008576E9" w:rsidP="008576E9">
      <w:pPr>
        <w:ind w:left="360"/>
        <w:rPr>
          <w:b/>
          <w:bCs/>
        </w:rPr>
      </w:pPr>
      <w:r w:rsidRPr="008576E9">
        <w:rPr>
          <w:b/>
          <w:bCs/>
        </w:rPr>
        <w:t>Figure 4.9 – SIP Amount Distribution by Age Group</w:t>
      </w:r>
    </w:p>
    <w:p w14:paraId="4457DDBD" w14:textId="7AC5A9BE" w:rsidR="008576E9" w:rsidRPr="008576E9" w:rsidRDefault="008576E9" w:rsidP="008576E9">
      <w:pPr>
        <w:ind w:left="360"/>
        <w:rPr>
          <w:b/>
          <w:bCs/>
        </w:rPr>
      </w:pPr>
      <w:r w:rsidRPr="008576E9">
        <w:rPr>
          <w:b/>
          <w:bCs/>
        </w:rPr>
        <w:drawing>
          <wp:inline distT="0" distB="0" distL="0" distR="0" wp14:anchorId="6F2A49A3" wp14:editId="4806594C">
            <wp:extent cx="5729754" cy="2601750"/>
            <wp:effectExtent l="19050" t="19050" r="23495" b="27305"/>
            <wp:docPr id="12355131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74564" cy="2622097"/>
                    </a:xfrm>
                    <a:prstGeom prst="rect">
                      <a:avLst/>
                    </a:prstGeom>
                    <a:noFill/>
                    <a:ln>
                      <a:solidFill>
                        <a:schemeClr val="tx1"/>
                      </a:solidFill>
                    </a:ln>
                  </pic:spPr>
                </pic:pic>
              </a:graphicData>
            </a:graphic>
          </wp:inline>
        </w:drawing>
      </w:r>
    </w:p>
    <w:p w14:paraId="18CB157A" w14:textId="77777777" w:rsidR="008576E9" w:rsidRPr="008576E9" w:rsidRDefault="008576E9" w:rsidP="008576E9">
      <w:pPr>
        <w:ind w:left="360"/>
        <w:rPr>
          <w:b/>
          <w:bCs/>
        </w:rPr>
      </w:pPr>
    </w:p>
    <w:p w14:paraId="03270202" w14:textId="77777777" w:rsidR="008576E9" w:rsidRPr="008576E9" w:rsidRDefault="008576E9" w:rsidP="008576E9">
      <w:pPr>
        <w:ind w:left="360"/>
      </w:pPr>
      <w:r w:rsidRPr="008576E9">
        <w:t>The box plot compares SIP investment amounts across different age groups. Median SIP amounts are broadly similar across all age categories, while each group contains several high-value outlier investments. This indicates that investor age alone does not strongly determine SIP contribution size, although a small subset of investors in every age group invests significantly higher amounts.</w:t>
      </w:r>
    </w:p>
    <w:p w14:paraId="10D58347" w14:textId="529A1792" w:rsidR="008576E9" w:rsidRPr="008576E9" w:rsidRDefault="008576E9" w:rsidP="008576E9">
      <w:pPr>
        <w:ind w:left="360"/>
      </w:pPr>
    </w:p>
    <w:p w14:paraId="6A19E414" w14:textId="77777777" w:rsidR="008576E9" w:rsidRPr="008576E9" w:rsidRDefault="008576E9" w:rsidP="008576E9">
      <w:pPr>
        <w:ind w:left="360"/>
        <w:rPr>
          <w:b/>
          <w:bCs/>
        </w:rPr>
      </w:pPr>
      <w:r w:rsidRPr="008576E9">
        <w:rPr>
          <w:b/>
          <w:bCs/>
        </w:rPr>
        <w:t>Key Observations</w:t>
      </w:r>
    </w:p>
    <w:p w14:paraId="7E4FB053" w14:textId="77777777" w:rsidR="008576E9" w:rsidRPr="008576E9" w:rsidRDefault="008576E9" w:rsidP="008576E9">
      <w:pPr>
        <w:numPr>
          <w:ilvl w:val="0"/>
          <w:numId w:val="7"/>
        </w:numPr>
      </w:pPr>
      <w:r w:rsidRPr="008576E9">
        <w:t xml:space="preserve">NAV movements generally follow expected return behaviour. </w:t>
      </w:r>
    </w:p>
    <w:p w14:paraId="522C50EB" w14:textId="77777777" w:rsidR="008576E9" w:rsidRPr="008576E9" w:rsidRDefault="008576E9" w:rsidP="008576E9">
      <w:pPr>
        <w:numPr>
          <w:ilvl w:val="0"/>
          <w:numId w:val="7"/>
        </w:numPr>
      </w:pPr>
      <w:r w:rsidRPr="008576E9">
        <w:t xml:space="preserve">SIP participation is concentrated in financially active states. </w:t>
      </w:r>
    </w:p>
    <w:p w14:paraId="09292F73" w14:textId="77777777" w:rsidR="008576E9" w:rsidRPr="008576E9" w:rsidRDefault="008576E9" w:rsidP="008576E9">
      <w:pPr>
        <w:numPr>
          <w:ilvl w:val="0"/>
          <w:numId w:val="7"/>
        </w:numPr>
      </w:pPr>
      <w:r w:rsidRPr="008576E9">
        <w:t xml:space="preserve">Most SIP investments fall within a moderate investment range, with relatively few large outliers. </w:t>
      </w:r>
    </w:p>
    <w:p w14:paraId="0C0E0DB8" w14:textId="77777777" w:rsidR="008576E9" w:rsidRPr="008576E9" w:rsidRDefault="008576E9" w:rsidP="008576E9">
      <w:pPr>
        <w:numPr>
          <w:ilvl w:val="0"/>
          <w:numId w:val="7"/>
        </w:numPr>
      </w:pPr>
      <w:r w:rsidRPr="008576E9">
        <w:t xml:space="preserve">Investor behaviour indicates a preference for regular, long-term investing. </w:t>
      </w:r>
    </w:p>
    <w:p w14:paraId="12311580" w14:textId="77777777" w:rsidR="008576E9" w:rsidRPr="008576E9" w:rsidRDefault="008576E9" w:rsidP="008576E9">
      <w:pPr>
        <w:ind w:left="360"/>
      </w:pPr>
      <w:r w:rsidRPr="008576E9">
        <w:pict w14:anchorId="5FAF6468">
          <v:rect id="_x0000_i1184" style="width:0;height:1.5pt" o:hralign="center" o:hrstd="t" o:hr="t" fillcolor="#a0a0a0" stroked="f"/>
        </w:pict>
      </w:r>
    </w:p>
    <w:p w14:paraId="0012982F" w14:textId="72697428" w:rsidR="008576E9" w:rsidRPr="008576E9" w:rsidRDefault="008576E9" w:rsidP="008576E9">
      <w:pPr>
        <w:ind w:left="360"/>
        <w:rPr>
          <w:b/>
          <w:bCs/>
        </w:rPr>
      </w:pPr>
      <w:r w:rsidRPr="008576E9">
        <w:rPr>
          <w:b/>
          <w:bCs/>
        </w:rPr>
        <w:t xml:space="preserve">EDA Summary </w:t>
      </w:r>
    </w:p>
    <w:p w14:paraId="6464FDE4" w14:textId="77777777" w:rsidR="008576E9" w:rsidRPr="008576E9" w:rsidRDefault="008576E9" w:rsidP="008576E9">
      <w:pPr>
        <w:ind w:left="360"/>
      </w:pPr>
      <w:r w:rsidRPr="008576E9">
        <w:t>The exploratory analysis confirmed that the datasets were clean, consistent, and suitable for financial analytics. The visualizations highlighted growing investor participation, increasing SIP adoption, diversified sector allocation, and strong market activity. These findings established a reliable foundation for the performance metrics and advanced risk analysis presented in the following sections.</w:t>
      </w:r>
    </w:p>
    <w:p w14:paraId="243BBDB7" w14:textId="77777777" w:rsidR="008576E9" w:rsidRPr="00C72220" w:rsidRDefault="008576E9" w:rsidP="00C72220">
      <w:pPr>
        <w:ind w:left="360"/>
      </w:pPr>
    </w:p>
    <w:p w14:paraId="46698AEE" w14:textId="3F20F4F1" w:rsidR="00C72220" w:rsidRDefault="000C712B" w:rsidP="00C72220">
      <w:pPr>
        <w:ind w:left="360"/>
        <w:rPr>
          <w:b/>
          <w:bCs/>
          <w:sz w:val="40"/>
          <w:szCs w:val="40"/>
        </w:rPr>
      </w:pPr>
      <w:r w:rsidRPr="000C712B">
        <w:rPr>
          <w:b/>
          <w:bCs/>
          <w:sz w:val="40"/>
          <w:szCs w:val="40"/>
        </w:rPr>
        <w:t>Performance Analytics</w:t>
      </w:r>
    </w:p>
    <w:p w14:paraId="5AD8D773" w14:textId="77777777" w:rsidR="00DE55B7" w:rsidRPr="000C712B" w:rsidRDefault="00DE55B7" w:rsidP="00C72220">
      <w:pPr>
        <w:ind w:left="360"/>
        <w:rPr>
          <w:b/>
          <w:bCs/>
          <w:sz w:val="40"/>
          <w:szCs w:val="40"/>
        </w:rPr>
      </w:pPr>
    </w:p>
    <w:p w14:paraId="782C4469" w14:textId="77777777" w:rsidR="000C712B" w:rsidRDefault="000C712B" w:rsidP="000C712B">
      <w:pPr>
        <w:ind w:left="360"/>
        <w:rPr>
          <w:b/>
          <w:bCs/>
        </w:rPr>
      </w:pPr>
      <w:r w:rsidRPr="000C712B">
        <w:rPr>
          <w:b/>
          <w:bCs/>
        </w:rPr>
        <w:t>Figure 5.1 – Sharpe Ratio Comparison</w:t>
      </w:r>
    </w:p>
    <w:p w14:paraId="34A28B3C" w14:textId="625D7EAC" w:rsidR="000C712B" w:rsidRDefault="000C712B" w:rsidP="000C712B">
      <w:pPr>
        <w:ind w:left="360"/>
        <w:rPr>
          <w:b/>
          <w:bCs/>
        </w:rPr>
      </w:pPr>
      <w:r w:rsidRPr="000C712B">
        <w:rPr>
          <w:b/>
          <w:bCs/>
        </w:rPr>
        <w:drawing>
          <wp:inline distT="0" distB="0" distL="0" distR="0" wp14:anchorId="1D2F24C6" wp14:editId="4BCE484C">
            <wp:extent cx="5731510" cy="4264950"/>
            <wp:effectExtent l="19050" t="19050" r="21590" b="21590"/>
            <wp:docPr id="9513795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4774" cy="4282261"/>
                    </a:xfrm>
                    <a:prstGeom prst="rect">
                      <a:avLst/>
                    </a:prstGeom>
                    <a:noFill/>
                    <a:ln>
                      <a:solidFill>
                        <a:schemeClr val="tx1"/>
                      </a:solidFill>
                    </a:ln>
                  </pic:spPr>
                </pic:pic>
              </a:graphicData>
            </a:graphic>
          </wp:inline>
        </w:drawing>
      </w:r>
    </w:p>
    <w:p w14:paraId="028CC927" w14:textId="77777777" w:rsidR="00DE55B7" w:rsidRPr="000C712B" w:rsidRDefault="00DE55B7" w:rsidP="000C712B">
      <w:pPr>
        <w:ind w:left="360"/>
        <w:rPr>
          <w:b/>
          <w:bCs/>
        </w:rPr>
      </w:pPr>
    </w:p>
    <w:p w14:paraId="50A172D8" w14:textId="77777777" w:rsidR="000C712B" w:rsidRDefault="000C712B" w:rsidP="000C712B">
      <w:pPr>
        <w:ind w:left="360"/>
      </w:pPr>
      <w:r w:rsidRPr="000C712B">
        <w:t>The Sharpe Ratio measures the risk-adjusted return generated by each mutual fund. A higher Sharpe Ratio indicates that the fund delivers better returns for every unit of risk undertaken.</w:t>
      </w:r>
    </w:p>
    <w:p w14:paraId="629595D6" w14:textId="77777777" w:rsidR="00DE55B7" w:rsidRDefault="00DE55B7" w:rsidP="000C712B">
      <w:pPr>
        <w:ind w:left="360"/>
      </w:pPr>
    </w:p>
    <w:p w14:paraId="2A86B6BD" w14:textId="77777777" w:rsidR="00DE55B7" w:rsidRDefault="00DE55B7" w:rsidP="000C712B">
      <w:pPr>
        <w:ind w:left="360"/>
      </w:pPr>
    </w:p>
    <w:p w14:paraId="333F3608" w14:textId="77777777" w:rsidR="00DE55B7" w:rsidRDefault="00DE55B7" w:rsidP="000C712B">
      <w:pPr>
        <w:ind w:left="360"/>
      </w:pPr>
    </w:p>
    <w:p w14:paraId="36EA0ECB" w14:textId="77777777" w:rsidR="00DE55B7" w:rsidRDefault="00DE55B7" w:rsidP="000C712B">
      <w:pPr>
        <w:ind w:left="360"/>
      </w:pPr>
    </w:p>
    <w:p w14:paraId="3F012006" w14:textId="77777777" w:rsidR="00DE55B7" w:rsidRDefault="00DE55B7" w:rsidP="000C712B">
      <w:pPr>
        <w:ind w:left="360"/>
      </w:pPr>
    </w:p>
    <w:p w14:paraId="5EB984FA" w14:textId="77777777" w:rsidR="00DE55B7" w:rsidRDefault="00DE55B7" w:rsidP="000C712B">
      <w:pPr>
        <w:ind w:left="360"/>
      </w:pPr>
    </w:p>
    <w:p w14:paraId="44A131F2" w14:textId="77777777" w:rsidR="000C712B" w:rsidRDefault="000C712B" w:rsidP="000C712B">
      <w:pPr>
        <w:ind w:left="360"/>
        <w:rPr>
          <w:b/>
          <w:bCs/>
        </w:rPr>
      </w:pPr>
      <w:r w:rsidRPr="000C712B">
        <w:rPr>
          <w:b/>
          <w:bCs/>
        </w:rPr>
        <w:lastRenderedPageBreak/>
        <w:t>Figure 5.2 – Benchmark Performance Comparison</w:t>
      </w:r>
    </w:p>
    <w:p w14:paraId="66B0000A" w14:textId="61C3A651" w:rsidR="000C712B" w:rsidRPr="000C712B" w:rsidRDefault="000C712B" w:rsidP="000C712B">
      <w:pPr>
        <w:ind w:left="360"/>
        <w:rPr>
          <w:b/>
          <w:bCs/>
        </w:rPr>
      </w:pPr>
      <w:r w:rsidRPr="000C712B">
        <w:rPr>
          <w:b/>
          <w:bCs/>
        </w:rPr>
        <w:drawing>
          <wp:inline distT="0" distB="0" distL="0" distR="0" wp14:anchorId="4E59D0E7" wp14:editId="2910FE9A">
            <wp:extent cx="5731510" cy="2865755"/>
            <wp:effectExtent l="19050" t="19050" r="21590" b="10795"/>
            <wp:docPr id="4909200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solidFill>
                        <a:schemeClr val="tx1"/>
                      </a:solidFill>
                    </a:ln>
                  </pic:spPr>
                </pic:pic>
              </a:graphicData>
            </a:graphic>
          </wp:inline>
        </w:drawing>
      </w:r>
    </w:p>
    <w:p w14:paraId="10716D19" w14:textId="77777777" w:rsidR="000C712B" w:rsidRDefault="000C712B" w:rsidP="000C712B">
      <w:pPr>
        <w:ind w:left="360"/>
      </w:pPr>
      <w:r w:rsidRPr="000C712B">
        <w:t>This comparison evaluates fund performance against the benchmark index. Funds consistently outperforming their benchmark demonstrate stronger portfolio management and investment efficiency.</w:t>
      </w:r>
    </w:p>
    <w:p w14:paraId="49DC515D" w14:textId="77777777" w:rsidR="00DE55B7" w:rsidRDefault="00DE55B7" w:rsidP="000C712B">
      <w:pPr>
        <w:ind w:left="360"/>
      </w:pPr>
    </w:p>
    <w:tbl>
      <w:tblPr>
        <w:tblStyle w:val="PlainTable1"/>
        <w:tblW w:w="0" w:type="auto"/>
        <w:tblLook w:val="04A0" w:firstRow="1" w:lastRow="0" w:firstColumn="1" w:lastColumn="0" w:noHBand="0" w:noVBand="1"/>
      </w:tblPr>
      <w:tblGrid>
        <w:gridCol w:w="4328"/>
        <w:gridCol w:w="4328"/>
      </w:tblGrid>
      <w:tr w:rsidR="00DE55B7" w14:paraId="69172680" w14:textId="77777777" w:rsidTr="00DE55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8" w:type="dxa"/>
          </w:tcPr>
          <w:p w14:paraId="7CAE9268" w14:textId="1CA4FD22" w:rsidR="00DE55B7" w:rsidRDefault="00DE55B7" w:rsidP="00DE55B7">
            <w:r w:rsidRPr="00DE55B7">
              <w:t>Metric</w:t>
            </w:r>
          </w:p>
        </w:tc>
        <w:tc>
          <w:tcPr>
            <w:tcW w:w="4328" w:type="dxa"/>
          </w:tcPr>
          <w:p w14:paraId="5033AA40" w14:textId="008FBD4C" w:rsidR="00DE55B7" w:rsidRDefault="00DE55B7" w:rsidP="00DE55B7">
            <w:pPr>
              <w:cnfStyle w:val="100000000000" w:firstRow="1" w:lastRow="0" w:firstColumn="0" w:lastColumn="0" w:oddVBand="0" w:evenVBand="0" w:oddHBand="0" w:evenHBand="0" w:firstRowFirstColumn="0" w:firstRowLastColumn="0" w:lastRowFirstColumn="0" w:lastRowLastColumn="0"/>
            </w:pPr>
            <w:r w:rsidRPr="00DE55B7">
              <w:t>Source</w:t>
            </w:r>
          </w:p>
        </w:tc>
      </w:tr>
      <w:tr w:rsidR="00DE55B7" w14:paraId="096B90FD" w14:textId="77777777" w:rsidTr="00DE5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8" w:type="dxa"/>
          </w:tcPr>
          <w:p w14:paraId="382CE0C1" w14:textId="255DCC13" w:rsidR="00DE55B7" w:rsidRDefault="00DE55B7" w:rsidP="00DE55B7">
            <w:r w:rsidRPr="00DE55B7">
              <w:t>CAGR</w:t>
            </w:r>
          </w:p>
        </w:tc>
        <w:tc>
          <w:tcPr>
            <w:tcW w:w="4328" w:type="dxa"/>
          </w:tcPr>
          <w:p w14:paraId="2CB7274D" w14:textId="1A6AC8FA" w:rsidR="00DE55B7" w:rsidRDefault="00DE55B7" w:rsidP="00DE55B7">
            <w:pPr>
              <w:cnfStyle w:val="000000100000" w:firstRow="0" w:lastRow="0" w:firstColumn="0" w:lastColumn="0" w:oddVBand="0" w:evenVBand="0" w:oddHBand="1" w:evenHBand="0" w:firstRowFirstColumn="0" w:firstRowLastColumn="0" w:lastRowFirstColumn="0" w:lastRowLastColumn="0"/>
            </w:pPr>
            <w:r w:rsidRPr="00DE55B7">
              <w:t>cagr_comparison.csv</w:t>
            </w:r>
          </w:p>
        </w:tc>
      </w:tr>
      <w:tr w:rsidR="00DE55B7" w14:paraId="33DCE304" w14:textId="77777777" w:rsidTr="00DE55B7">
        <w:tc>
          <w:tcPr>
            <w:cnfStyle w:val="001000000000" w:firstRow="0" w:lastRow="0" w:firstColumn="1" w:lastColumn="0" w:oddVBand="0" w:evenVBand="0" w:oddHBand="0" w:evenHBand="0" w:firstRowFirstColumn="0" w:firstRowLastColumn="0" w:lastRowFirstColumn="0" w:lastRowLastColumn="0"/>
            <w:tcW w:w="4328" w:type="dxa"/>
          </w:tcPr>
          <w:p w14:paraId="3F8FBD0F" w14:textId="0DACD629" w:rsidR="00DE55B7" w:rsidRDefault="00DE55B7" w:rsidP="00DE55B7">
            <w:r w:rsidRPr="00DE55B7">
              <w:t>Sharpe Ratio</w:t>
            </w:r>
          </w:p>
        </w:tc>
        <w:tc>
          <w:tcPr>
            <w:tcW w:w="4328" w:type="dxa"/>
          </w:tcPr>
          <w:p w14:paraId="0854AF7C" w14:textId="3AA0889F" w:rsidR="00DE55B7" w:rsidRDefault="00DE55B7" w:rsidP="00DE55B7">
            <w:pPr>
              <w:cnfStyle w:val="000000000000" w:firstRow="0" w:lastRow="0" w:firstColumn="0" w:lastColumn="0" w:oddVBand="0" w:evenVBand="0" w:oddHBand="0" w:evenHBand="0" w:firstRowFirstColumn="0" w:firstRowLastColumn="0" w:lastRowFirstColumn="0" w:lastRowLastColumn="0"/>
            </w:pPr>
            <w:r w:rsidRPr="00DE55B7">
              <w:t>sharpe_ratio.csv</w:t>
            </w:r>
          </w:p>
        </w:tc>
      </w:tr>
      <w:tr w:rsidR="00DE55B7" w14:paraId="61EE9BB1" w14:textId="77777777" w:rsidTr="00DE5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8" w:type="dxa"/>
          </w:tcPr>
          <w:p w14:paraId="7EA5EF7B" w14:textId="3BA613EA" w:rsidR="00DE55B7" w:rsidRDefault="00DE55B7" w:rsidP="00DE55B7">
            <w:r w:rsidRPr="00DE55B7">
              <w:t>Alpha &amp; Beta</w:t>
            </w:r>
          </w:p>
        </w:tc>
        <w:tc>
          <w:tcPr>
            <w:tcW w:w="4328" w:type="dxa"/>
          </w:tcPr>
          <w:p w14:paraId="3EE13D04" w14:textId="6D56D990" w:rsidR="00DE55B7" w:rsidRDefault="00DE55B7" w:rsidP="00DE55B7">
            <w:pPr>
              <w:cnfStyle w:val="000000100000" w:firstRow="0" w:lastRow="0" w:firstColumn="0" w:lastColumn="0" w:oddVBand="0" w:evenVBand="0" w:oddHBand="1" w:evenHBand="0" w:firstRowFirstColumn="0" w:firstRowLastColumn="0" w:lastRowFirstColumn="0" w:lastRowLastColumn="0"/>
            </w:pPr>
            <w:r w:rsidRPr="00DE55B7">
              <w:t>alpha_beta.csv</w:t>
            </w:r>
          </w:p>
        </w:tc>
      </w:tr>
      <w:tr w:rsidR="00DE55B7" w14:paraId="655F5F71" w14:textId="77777777" w:rsidTr="00DE55B7">
        <w:tc>
          <w:tcPr>
            <w:cnfStyle w:val="001000000000" w:firstRow="0" w:lastRow="0" w:firstColumn="1" w:lastColumn="0" w:oddVBand="0" w:evenVBand="0" w:oddHBand="0" w:evenHBand="0" w:firstRowFirstColumn="0" w:firstRowLastColumn="0" w:lastRowFirstColumn="0" w:lastRowLastColumn="0"/>
            <w:tcW w:w="4328" w:type="dxa"/>
          </w:tcPr>
          <w:p w14:paraId="19D7BBF5" w14:textId="37E5562F" w:rsidR="00DE55B7" w:rsidRDefault="00DE55B7" w:rsidP="00DE55B7">
            <w:r w:rsidRPr="00DE55B7">
              <w:t>Sortino Ratio</w:t>
            </w:r>
          </w:p>
        </w:tc>
        <w:tc>
          <w:tcPr>
            <w:tcW w:w="4328" w:type="dxa"/>
          </w:tcPr>
          <w:p w14:paraId="045253A4" w14:textId="74282010" w:rsidR="00DE55B7" w:rsidRDefault="00DE55B7" w:rsidP="00DE55B7">
            <w:pPr>
              <w:cnfStyle w:val="000000000000" w:firstRow="0" w:lastRow="0" w:firstColumn="0" w:lastColumn="0" w:oddVBand="0" w:evenVBand="0" w:oddHBand="0" w:evenHBand="0" w:firstRowFirstColumn="0" w:firstRowLastColumn="0" w:lastRowFirstColumn="0" w:lastRowLastColumn="0"/>
            </w:pPr>
            <w:r w:rsidRPr="00DE55B7">
              <w:t>sortino_ratio.csv</w:t>
            </w:r>
          </w:p>
        </w:tc>
      </w:tr>
      <w:tr w:rsidR="00DE55B7" w14:paraId="396E3A56" w14:textId="77777777" w:rsidTr="00DE5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8" w:type="dxa"/>
          </w:tcPr>
          <w:p w14:paraId="16DD59FB" w14:textId="42630198" w:rsidR="00DE55B7" w:rsidRDefault="00DE55B7" w:rsidP="00DE55B7">
            <w:r w:rsidRPr="00DE55B7">
              <w:t>Maximum Drawdown</w:t>
            </w:r>
          </w:p>
        </w:tc>
        <w:tc>
          <w:tcPr>
            <w:tcW w:w="4328" w:type="dxa"/>
          </w:tcPr>
          <w:p w14:paraId="44D1A330" w14:textId="6B4100C1" w:rsidR="00DE55B7" w:rsidRDefault="00DE55B7" w:rsidP="00DE55B7">
            <w:pPr>
              <w:cnfStyle w:val="000000100000" w:firstRow="0" w:lastRow="0" w:firstColumn="0" w:lastColumn="0" w:oddVBand="0" w:evenVBand="0" w:oddHBand="1" w:evenHBand="0" w:firstRowFirstColumn="0" w:firstRowLastColumn="0" w:lastRowFirstColumn="0" w:lastRowLastColumn="0"/>
            </w:pPr>
            <w:r w:rsidRPr="00DE55B7">
              <w:t>maximum_drawdown.csv</w:t>
            </w:r>
          </w:p>
        </w:tc>
      </w:tr>
      <w:tr w:rsidR="00DE55B7" w14:paraId="3007C97F" w14:textId="77777777" w:rsidTr="00DE55B7">
        <w:tc>
          <w:tcPr>
            <w:cnfStyle w:val="001000000000" w:firstRow="0" w:lastRow="0" w:firstColumn="1" w:lastColumn="0" w:oddVBand="0" w:evenVBand="0" w:oddHBand="0" w:evenHBand="0" w:firstRowFirstColumn="0" w:firstRowLastColumn="0" w:lastRowFirstColumn="0" w:lastRowLastColumn="0"/>
            <w:tcW w:w="4328" w:type="dxa"/>
          </w:tcPr>
          <w:p w14:paraId="54C0BD2C" w14:textId="37C6D277" w:rsidR="00DE55B7" w:rsidRDefault="00DE55B7" w:rsidP="00DE55B7">
            <w:r w:rsidRPr="00DE55B7">
              <w:t>Tracking Error</w:t>
            </w:r>
          </w:p>
        </w:tc>
        <w:tc>
          <w:tcPr>
            <w:tcW w:w="4328" w:type="dxa"/>
          </w:tcPr>
          <w:p w14:paraId="01262937" w14:textId="6184FDDD" w:rsidR="00DE55B7" w:rsidRDefault="00DE55B7" w:rsidP="00DE55B7">
            <w:pPr>
              <w:cnfStyle w:val="000000000000" w:firstRow="0" w:lastRow="0" w:firstColumn="0" w:lastColumn="0" w:oddVBand="0" w:evenVBand="0" w:oddHBand="0" w:evenHBand="0" w:firstRowFirstColumn="0" w:firstRowLastColumn="0" w:lastRowFirstColumn="0" w:lastRowLastColumn="0"/>
            </w:pPr>
            <w:r w:rsidRPr="00DE55B7">
              <w:t>tracking_error.csv</w:t>
            </w:r>
          </w:p>
        </w:tc>
      </w:tr>
    </w:tbl>
    <w:p w14:paraId="49F8B10A" w14:textId="77777777" w:rsidR="00DE55B7" w:rsidRDefault="00DE55B7" w:rsidP="000C712B">
      <w:pPr>
        <w:ind w:left="360"/>
      </w:pPr>
    </w:p>
    <w:p w14:paraId="35B5B85A" w14:textId="77777777" w:rsidR="00DE55B7" w:rsidRPr="00DE55B7" w:rsidRDefault="00DE55B7" w:rsidP="00DE55B7">
      <w:pPr>
        <w:ind w:left="360"/>
        <w:rPr>
          <w:b/>
          <w:bCs/>
        </w:rPr>
      </w:pPr>
      <w:r w:rsidRPr="00DE55B7">
        <w:rPr>
          <w:b/>
          <w:bCs/>
        </w:rPr>
        <w:t>Key Findings</w:t>
      </w:r>
    </w:p>
    <w:p w14:paraId="79CB0620" w14:textId="77777777" w:rsidR="00DE55B7" w:rsidRPr="00DE55B7" w:rsidRDefault="00DE55B7" w:rsidP="00DE55B7">
      <w:pPr>
        <w:numPr>
          <w:ilvl w:val="0"/>
          <w:numId w:val="8"/>
        </w:numPr>
      </w:pPr>
      <w:r w:rsidRPr="00DE55B7">
        <w:t xml:space="preserve">Risk-adjusted performance varies across different mutual fund schemes. </w:t>
      </w:r>
    </w:p>
    <w:p w14:paraId="7CB70391" w14:textId="77777777" w:rsidR="00DE55B7" w:rsidRPr="00DE55B7" w:rsidRDefault="00DE55B7" w:rsidP="00DE55B7">
      <w:pPr>
        <w:numPr>
          <w:ilvl w:val="0"/>
          <w:numId w:val="8"/>
        </w:numPr>
      </w:pPr>
      <w:r w:rsidRPr="00DE55B7">
        <w:t xml:space="preserve">Higher Sharpe Ratio funds provide better returns relative to the level of risk. </w:t>
      </w:r>
    </w:p>
    <w:p w14:paraId="1410BAF4" w14:textId="77777777" w:rsidR="00DE55B7" w:rsidRPr="00DE55B7" w:rsidRDefault="00DE55B7" w:rsidP="00DE55B7">
      <w:pPr>
        <w:numPr>
          <w:ilvl w:val="0"/>
          <w:numId w:val="8"/>
        </w:numPr>
      </w:pPr>
      <w:r w:rsidRPr="00DE55B7">
        <w:t xml:space="preserve">Positive Alpha values indicate fund managers outperforming their benchmark. </w:t>
      </w:r>
    </w:p>
    <w:p w14:paraId="60E0DE0F" w14:textId="77777777" w:rsidR="00DE55B7" w:rsidRPr="00DE55B7" w:rsidRDefault="00DE55B7" w:rsidP="00DE55B7">
      <w:pPr>
        <w:numPr>
          <w:ilvl w:val="0"/>
          <w:numId w:val="8"/>
        </w:numPr>
      </w:pPr>
      <w:r w:rsidRPr="00DE55B7">
        <w:t xml:space="preserve">Lower Maximum Drawdown reflects stronger downside protection during market declines. </w:t>
      </w:r>
    </w:p>
    <w:p w14:paraId="2DB3C0DD" w14:textId="77777777" w:rsidR="00DE55B7" w:rsidRPr="00DE55B7" w:rsidRDefault="00DE55B7" w:rsidP="00DE55B7">
      <w:pPr>
        <w:numPr>
          <w:ilvl w:val="0"/>
          <w:numId w:val="8"/>
        </w:numPr>
      </w:pPr>
      <w:r w:rsidRPr="00DE55B7">
        <w:t>Tracking Error helps evaluate how closely a fund follows its benchmark index.</w:t>
      </w:r>
    </w:p>
    <w:p w14:paraId="297A5CFF" w14:textId="77777777" w:rsidR="00DE55B7" w:rsidRDefault="00DE55B7" w:rsidP="000C712B">
      <w:pPr>
        <w:ind w:left="360"/>
      </w:pPr>
    </w:p>
    <w:p w14:paraId="16BA832B" w14:textId="77777777" w:rsidR="00DE55B7" w:rsidRPr="000C712B" w:rsidRDefault="00DE55B7" w:rsidP="000C712B">
      <w:pPr>
        <w:ind w:left="360"/>
      </w:pPr>
    </w:p>
    <w:p w14:paraId="3380DA77" w14:textId="5DB1909E" w:rsidR="000C712B" w:rsidRDefault="00766BB1" w:rsidP="000C712B">
      <w:pPr>
        <w:ind w:left="360"/>
        <w:rPr>
          <w:b/>
          <w:bCs/>
          <w:sz w:val="40"/>
          <w:szCs w:val="40"/>
        </w:rPr>
      </w:pPr>
      <w:r w:rsidRPr="00766BB1">
        <w:rPr>
          <w:b/>
          <w:bCs/>
          <w:sz w:val="40"/>
          <w:szCs w:val="40"/>
        </w:rPr>
        <w:lastRenderedPageBreak/>
        <w:t>Advanced Analytics</w:t>
      </w:r>
    </w:p>
    <w:p w14:paraId="79CAB779" w14:textId="16E7E2D1" w:rsidR="00766BB1" w:rsidRDefault="00335217" w:rsidP="00766BB1">
      <w:pPr>
        <w:ind w:left="360"/>
        <w:rPr>
          <w:b/>
          <w:bCs/>
        </w:rPr>
      </w:pPr>
      <w:r w:rsidRPr="0091589E">
        <w:rPr>
          <w:b/>
          <w:bCs/>
        </w:rPr>
        <w:t>Figure 6.</w:t>
      </w:r>
      <w:r>
        <w:rPr>
          <w:b/>
          <w:bCs/>
        </w:rPr>
        <w:t>1</w:t>
      </w:r>
      <w:r w:rsidRPr="0091589E">
        <w:rPr>
          <w:b/>
          <w:bCs/>
        </w:rPr>
        <w:t xml:space="preserve"> – </w:t>
      </w:r>
      <w:r w:rsidR="00766BB1" w:rsidRPr="00766BB1">
        <w:rPr>
          <w:b/>
          <w:bCs/>
        </w:rPr>
        <w:t>Value at Risk (</w:t>
      </w:r>
      <w:proofErr w:type="spellStart"/>
      <w:r w:rsidR="00766BB1" w:rsidRPr="00766BB1">
        <w:rPr>
          <w:b/>
          <w:bCs/>
        </w:rPr>
        <w:t>VaR</w:t>
      </w:r>
      <w:proofErr w:type="spellEnd"/>
      <w:r w:rsidR="00766BB1" w:rsidRPr="00766BB1">
        <w:rPr>
          <w:b/>
          <w:bCs/>
        </w:rPr>
        <w:t xml:space="preserve">) &amp; Conditional </w:t>
      </w:r>
      <w:proofErr w:type="spellStart"/>
      <w:r w:rsidR="00766BB1" w:rsidRPr="00766BB1">
        <w:rPr>
          <w:b/>
          <w:bCs/>
        </w:rPr>
        <w:t>VaR</w:t>
      </w:r>
      <w:proofErr w:type="spellEnd"/>
      <w:r w:rsidR="00766BB1" w:rsidRPr="00766BB1">
        <w:rPr>
          <w:b/>
          <w:bCs/>
        </w:rPr>
        <w:t xml:space="preserve"> (CVaR)</w:t>
      </w:r>
    </w:p>
    <w:p w14:paraId="5592E54C" w14:textId="700D0ED3" w:rsidR="00766BB1" w:rsidRPr="00766BB1" w:rsidRDefault="0091589E" w:rsidP="00766BB1">
      <w:pPr>
        <w:ind w:left="360"/>
        <w:rPr>
          <w:b/>
          <w:bCs/>
        </w:rPr>
      </w:pPr>
      <w:r w:rsidRPr="0091589E">
        <w:rPr>
          <w:b/>
          <w:bCs/>
        </w:rPr>
        <w:drawing>
          <wp:inline distT="0" distB="0" distL="0" distR="0" wp14:anchorId="3FFEA8B7" wp14:editId="1D583D15">
            <wp:extent cx="1828894" cy="2597283"/>
            <wp:effectExtent l="19050" t="19050" r="19050" b="12700"/>
            <wp:docPr id="211838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83347" name=""/>
                    <pic:cNvPicPr/>
                  </pic:nvPicPr>
                  <pic:blipFill>
                    <a:blip r:embed="rId27"/>
                    <a:stretch>
                      <a:fillRect/>
                    </a:stretch>
                  </pic:blipFill>
                  <pic:spPr>
                    <a:xfrm>
                      <a:off x="0" y="0"/>
                      <a:ext cx="1828894" cy="2597283"/>
                    </a:xfrm>
                    <a:prstGeom prst="rect">
                      <a:avLst/>
                    </a:prstGeom>
                    <a:ln>
                      <a:solidFill>
                        <a:schemeClr val="tx1"/>
                      </a:solidFill>
                    </a:ln>
                  </pic:spPr>
                </pic:pic>
              </a:graphicData>
            </a:graphic>
          </wp:inline>
        </w:drawing>
      </w:r>
    </w:p>
    <w:p w14:paraId="0B5103DB" w14:textId="77777777" w:rsidR="00766BB1" w:rsidRPr="00766BB1" w:rsidRDefault="00766BB1" w:rsidP="00766BB1">
      <w:pPr>
        <w:ind w:left="360"/>
      </w:pPr>
      <w:r w:rsidRPr="00766BB1">
        <w:t>Value at Risk (</w:t>
      </w:r>
      <w:proofErr w:type="spellStart"/>
      <w:r w:rsidRPr="00766BB1">
        <w:t>VaR</w:t>
      </w:r>
      <w:proofErr w:type="spellEnd"/>
      <w:r w:rsidRPr="00766BB1">
        <w:t xml:space="preserve">) estimates the maximum expected portfolio loss at a given confidence level over a specified period. Conditional Value at Risk (CVaR) measures the average loss when losses exceed the </w:t>
      </w:r>
      <w:proofErr w:type="spellStart"/>
      <w:r w:rsidRPr="00766BB1">
        <w:t>VaR</w:t>
      </w:r>
      <w:proofErr w:type="spellEnd"/>
      <w:r w:rsidRPr="00766BB1">
        <w:t xml:space="preserve"> threshold, providing insight into extreme downside risk.</w:t>
      </w:r>
    </w:p>
    <w:p w14:paraId="20CBD190" w14:textId="77777777" w:rsidR="00766BB1" w:rsidRDefault="00766BB1" w:rsidP="000C712B">
      <w:pPr>
        <w:ind w:left="360"/>
        <w:rPr>
          <w:b/>
          <w:bCs/>
          <w:sz w:val="40"/>
          <w:szCs w:val="40"/>
        </w:rPr>
      </w:pPr>
    </w:p>
    <w:p w14:paraId="24D7B037" w14:textId="6EE4A3C3" w:rsidR="0091589E" w:rsidRPr="0091589E" w:rsidRDefault="0091589E" w:rsidP="000C712B">
      <w:pPr>
        <w:ind w:left="360"/>
        <w:rPr>
          <w:b/>
          <w:bCs/>
        </w:rPr>
      </w:pPr>
      <w:r w:rsidRPr="0091589E">
        <w:rPr>
          <w:b/>
          <w:bCs/>
        </w:rPr>
        <w:t>Figure 6.2 – Portfolio Concentration (HHI)</w:t>
      </w:r>
    </w:p>
    <w:p w14:paraId="3B168F27" w14:textId="5B3C8BD4" w:rsidR="00766BB1" w:rsidRDefault="0091589E" w:rsidP="000C712B">
      <w:pPr>
        <w:ind w:left="360"/>
      </w:pPr>
      <w:r w:rsidRPr="0091589E">
        <w:drawing>
          <wp:inline distT="0" distB="0" distL="0" distR="0" wp14:anchorId="3CCD2C64" wp14:editId="2103116C">
            <wp:extent cx="4235668" cy="2648086"/>
            <wp:effectExtent l="19050" t="19050" r="12700" b="19050"/>
            <wp:docPr id="42764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49155" name=""/>
                    <pic:cNvPicPr/>
                  </pic:nvPicPr>
                  <pic:blipFill>
                    <a:blip r:embed="rId28"/>
                    <a:stretch>
                      <a:fillRect/>
                    </a:stretch>
                  </pic:blipFill>
                  <pic:spPr>
                    <a:xfrm>
                      <a:off x="0" y="0"/>
                      <a:ext cx="4235668" cy="2648086"/>
                    </a:xfrm>
                    <a:prstGeom prst="rect">
                      <a:avLst/>
                    </a:prstGeom>
                    <a:ln>
                      <a:solidFill>
                        <a:schemeClr val="tx1"/>
                      </a:solidFill>
                    </a:ln>
                  </pic:spPr>
                </pic:pic>
              </a:graphicData>
            </a:graphic>
          </wp:inline>
        </w:drawing>
      </w:r>
    </w:p>
    <w:p w14:paraId="4A2380CC" w14:textId="1822D341" w:rsidR="00335217" w:rsidRDefault="00335217" w:rsidP="000C712B">
      <w:pPr>
        <w:ind w:left="360"/>
      </w:pPr>
      <w:r w:rsidRPr="00335217">
        <w:t>The Herfindahl–Hirschman Index (HHI) was used to measure the concentration of portfolio holdings. Lower HHI values indicate better diversification, whereas higher values indicate that a portfolio is concentrated in fewer securities and therefore carries relatively higher concentration risk</w:t>
      </w:r>
    </w:p>
    <w:p w14:paraId="108C59F7" w14:textId="4B399521" w:rsidR="00335217" w:rsidRPr="00335217" w:rsidRDefault="00335217" w:rsidP="000C712B">
      <w:pPr>
        <w:ind w:left="360"/>
        <w:rPr>
          <w:b/>
          <w:bCs/>
        </w:rPr>
      </w:pPr>
      <w:r w:rsidRPr="00335217">
        <w:rPr>
          <w:b/>
          <w:bCs/>
        </w:rPr>
        <w:lastRenderedPageBreak/>
        <w:t>Figure 6.</w:t>
      </w:r>
      <w:r>
        <w:rPr>
          <w:b/>
          <w:bCs/>
        </w:rPr>
        <w:t>3</w:t>
      </w:r>
      <w:r w:rsidRPr="00335217">
        <w:rPr>
          <w:b/>
          <w:bCs/>
        </w:rPr>
        <w:t xml:space="preserve"> – Mutual Fund Recommendation System</w:t>
      </w:r>
    </w:p>
    <w:p w14:paraId="65FDF8C5" w14:textId="651BDEC1" w:rsidR="00C72220" w:rsidRDefault="0091589E" w:rsidP="00766BB1">
      <w:r w:rsidRPr="0091589E">
        <w:drawing>
          <wp:inline distT="0" distB="0" distL="0" distR="0" wp14:anchorId="793D8859" wp14:editId="4BCA033E">
            <wp:extent cx="5731510" cy="2470785"/>
            <wp:effectExtent l="19050" t="19050" r="21590" b="24765"/>
            <wp:docPr id="86903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36700" name=""/>
                    <pic:cNvPicPr/>
                  </pic:nvPicPr>
                  <pic:blipFill>
                    <a:blip r:embed="rId29"/>
                    <a:stretch>
                      <a:fillRect/>
                    </a:stretch>
                  </pic:blipFill>
                  <pic:spPr>
                    <a:xfrm>
                      <a:off x="0" y="0"/>
                      <a:ext cx="5731510" cy="2470785"/>
                    </a:xfrm>
                    <a:prstGeom prst="rect">
                      <a:avLst/>
                    </a:prstGeom>
                    <a:ln>
                      <a:solidFill>
                        <a:schemeClr val="tx1"/>
                      </a:solidFill>
                    </a:ln>
                  </pic:spPr>
                </pic:pic>
              </a:graphicData>
            </a:graphic>
          </wp:inline>
        </w:drawing>
      </w:r>
    </w:p>
    <w:p w14:paraId="6ABDC69A" w14:textId="305AB7AA" w:rsidR="0091589E" w:rsidRPr="0091589E" w:rsidRDefault="0091589E" w:rsidP="0091589E"/>
    <w:p w14:paraId="24FA61BF" w14:textId="4CD6B60F" w:rsidR="00B0054C" w:rsidRDefault="00335217" w:rsidP="00B0054C">
      <w:r w:rsidRPr="00335217">
        <w:t>A rule-based recommendation engine was developed to rank mutual funds using multiple performance indicators including 3-Year CAGR, Sharpe Ratio, Alpha, Expense Ratio, and the overall Fund Score. This approach provides investors with a balanced recommendation by considering both returns and risk-adjusted performance rather than relying on a single metric.</w:t>
      </w:r>
    </w:p>
    <w:p w14:paraId="434ADFDD" w14:textId="77777777" w:rsidR="00335217" w:rsidRPr="00B0054C" w:rsidRDefault="00335217" w:rsidP="00B0054C"/>
    <w:p w14:paraId="7C91FD6E" w14:textId="77777777" w:rsidR="00335217" w:rsidRPr="00335217" w:rsidRDefault="00335217" w:rsidP="00335217">
      <w:pPr>
        <w:rPr>
          <w:b/>
          <w:bCs/>
        </w:rPr>
      </w:pPr>
      <w:r w:rsidRPr="00335217">
        <w:rPr>
          <w:b/>
          <w:bCs/>
        </w:rPr>
        <w:t>Key Insights</w:t>
      </w:r>
    </w:p>
    <w:p w14:paraId="2F99A26C" w14:textId="77777777" w:rsidR="00335217" w:rsidRPr="00335217" w:rsidRDefault="00335217" w:rsidP="00335217">
      <w:pPr>
        <w:numPr>
          <w:ilvl w:val="0"/>
          <w:numId w:val="10"/>
        </w:numPr>
      </w:pPr>
      <w:proofErr w:type="spellStart"/>
      <w:r w:rsidRPr="00335217">
        <w:t>VaR</w:t>
      </w:r>
      <w:proofErr w:type="spellEnd"/>
      <w:r w:rsidRPr="00335217">
        <w:t xml:space="preserve"> and CVaR quantify the downside risk associated with mutual fund investments. </w:t>
      </w:r>
    </w:p>
    <w:p w14:paraId="33F8CD1F" w14:textId="77777777" w:rsidR="00335217" w:rsidRPr="00335217" w:rsidRDefault="00335217" w:rsidP="00335217">
      <w:pPr>
        <w:numPr>
          <w:ilvl w:val="0"/>
          <w:numId w:val="10"/>
        </w:numPr>
      </w:pPr>
      <w:r w:rsidRPr="00335217">
        <w:t xml:space="preserve">HHI analysis indicates the level of diversification within each mutual fund portfolio. </w:t>
      </w:r>
    </w:p>
    <w:p w14:paraId="6AE1E777" w14:textId="77777777" w:rsidR="00335217" w:rsidRPr="00335217" w:rsidRDefault="00335217" w:rsidP="00335217">
      <w:pPr>
        <w:numPr>
          <w:ilvl w:val="0"/>
          <w:numId w:val="10"/>
        </w:numPr>
      </w:pPr>
      <w:r w:rsidRPr="00335217">
        <w:t xml:space="preserve">Funds with lower concentration generally provide better diversification benefits. </w:t>
      </w:r>
    </w:p>
    <w:p w14:paraId="7779ABD3" w14:textId="77777777" w:rsidR="00335217" w:rsidRPr="00335217" w:rsidRDefault="00335217" w:rsidP="00335217">
      <w:pPr>
        <w:numPr>
          <w:ilvl w:val="0"/>
          <w:numId w:val="10"/>
        </w:numPr>
      </w:pPr>
      <w:r w:rsidRPr="00335217">
        <w:t xml:space="preserve">The recommendation engine ranks funds using multiple quantitative performance indicators. </w:t>
      </w:r>
    </w:p>
    <w:p w14:paraId="11C1B790" w14:textId="77777777" w:rsidR="00335217" w:rsidRPr="00335217" w:rsidRDefault="00335217" w:rsidP="00335217">
      <w:pPr>
        <w:numPr>
          <w:ilvl w:val="0"/>
          <w:numId w:val="10"/>
        </w:numPr>
      </w:pPr>
      <w:r w:rsidRPr="00335217">
        <w:t xml:space="preserve">The Fund Score combines return, risk-adjusted performance, expense ratio, and alpha into a single ranking metric. </w:t>
      </w:r>
    </w:p>
    <w:p w14:paraId="4FABD72B" w14:textId="77777777" w:rsidR="00335217" w:rsidRPr="00335217" w:rsidRDefault="00335217" w:rsidP="00335217">
      <w:pPr>
        <w:numPr>
          <w:ilvl w:val="0"/>
          <w:numId w:val="10"/>
        </w:numPr>
      </w:pPr>
      <w:r w:rsidRPr="00335217">
        <w:t xml:space="preserve">These advanced analytics assist investors in making informed and data-driven investment decisions. </w:t>
      </w:r>
    </w:p>
    <w:p w14:paraId="529F4ABA" w14:textId="77777777" w:rsidR="00B0054C" w:rsidRPr="00B0054C" w:rsidRDefault="00B0054C" w:rsidP="00B0054C"/>
    <w:p w14:paraId="4C4BB70A" w14:textId="512F6828" w:rsidR="00335217" w:rsidRDefault="00335217">
      <w:r>
        <w:br w:type="page"/>
      </w:r>
    </w:p>
    <w:p w14:paraId="6E4E9968" w14:textId="77777777" w:rsidR="00335217" w:rsidRDefault="00335217" w:rsidP="00335217">
      <w:pPr>
        <w:rPr>
          <w:b/>
          <w:bCs/>
          <w:sz w:val="40"/>
          <w:szCs w:val="40"/>
        </w:rPr>
      </w:pPr>
      <w:r w:rsidRPr="00335217">
        <w:rPr>
          <w:b/>
          <w:bCs/>
          <w:sz w:val="40"/>
          <w:szCs w:val="40"/>
        </w:rPr>
        <w:lastRenderedPageBreak/>
        <w:t>Conclusion &amp; Recommendations</w:t>
      </w:r>
    </w:p>
    <w:p w14:paraId="6F2D0028" w14:textId="77777777" w:rsidR="00335217" w:rsidRPr="00335217" w:rsidRDefault="00335217" w:rsidP="00335217">
      <w:pPr>
        <w:jc w:val="both"/>
      </w:pPr>
      <w:r w:rsidRPr="00335217">
        <w:t>This Mutual Fund Analytics Capstone Project successfully developed a complete data analytics pipeline for analysing mutual fund performance, investor behaviour, and market trends. The project integrated data ingestion, cleaning, storage, exploratory data analysis, performance evaluation, advanced risk analytics, and interactive dashboards into a single workflow.</w:t>
      </w:r>
    </w:p>
    <w:p w14:paraId="2C6C028F" w14:textId="77777777" w:rsidR="00335217" w:rsidRPr="00335217" w:rsidRDefault="00335217" w:rsidP="00335217">
      <w:pPr>
        <w:jc w:val="both"/>
      </w:pPr>
      <w:r w:rsidRPr="00335217">
        <w:t>Performance metrics such as CAGR, Sharpe Ratio, Sortino Ratio, Alpha, Maximum Drawdown, Tracking Error, Value at Risk (</w:t>
      </w:r>
      <w:proofErr w:type="spellStart"/>
      <w:r w:rsidRPr="00335217">
        <w:t>VaR</w:t>
      </w:r>
      <w:proofErr w:type="spellEnd"/>
      <w:r w:rsidRPr="00335217">
        <w:t>), and Conditional Value at Risk (CVaR) were computed to evaluate mutual fund performance comprehensively. Investor cohort analysis, SIP continuity analysis, portfolio concentration analysis using the Herfindahl–Hirschman Index (HHI), and a rule-based recommendation system further enhanced the analytical capabilities of the project.</w:t>
      </w:r>
    </w:p>
    <w:p w14:paraId="46AAF473" w14:textId="77777777" w:rsidR="00335217" w:rsidRDefault="00335217" w:rsidP="00335217">
      <w:pPr>
        <w:jc w:val="both"/>
      </w:pPr>
      <w:r w:rsidRPr="00335217">
        <w:t>The Power BI dashboard enables interactive exploration of fund performance, investor demographics, portfolio diversification, and SIP market trends. Overall, the project demonstrates practical applications of Python, SQL, data visualization, and business intelligence techniques in the financial services domain.</w:t>
      </w:r>
    </w:p>
    <w:p w14:paraId="3F233D30" w14:textId="77777777" w:rsidR="00335217" w:rsidRDefault="00335217" w:rsidP="00335217">
      <w:pPr>
        <w:jc w:val="both"/>
        <w:rPr>
          <w:b/>
          <w:bCs/>
        </w:rPr>
      </w:pPr>
    </w:p>
    <w:p w14:paraId="450319A6" w14:textId="513025B4" w:rsidR="00335217" w:rsidRPr="00335217" w:rsidRDefault="00335217" w:rsidP="00335217">
      <w:pPr>
        <w:jc w:val="both"/>
        <w:rPr>
          <w:b/>
          <w:bCs/>
        </w:rPr>
      </w:pPr>
      <w:r w:rsidRPr="00335217">
        <w:rPr>
          <w:b/>
          <w:bCs/>
        </w:rPr>
        <w:t>Key Project Outcomes</w:t>
      </w:r>
    </w:p>
    <w:p w14:paraId="320A0752" w14:textId="77777777" w:rsidR="00335217" w:rsidRPr="00335217" w:rsidRDefault="00335217" w:rsidP="00335217">
      <w:pPr>
        <w:numPr>
          <w:ilvl w:val="0"/>
          <w:numId w:val="11"/>
        </w:numPr>
        <w:jc w:val="both"/>
      </w:pPr>
      <w:r w:rsidRPr="00335217">
        <w:t xml:space="preserve">Successfully built an automated ETL pipeline. </w:t>
      </w:r>
    </w:p>
    <w:p w14:paraId="45C7A27D" w14:textId="77777777" w:rsidR="00335217" w:rsidRPr="00335217" w:rsidRDefault="00335217" w:rsidP="00335217">
      <w:pPr>
        <w:numPr>
          <w:ilvl w:val="0"/>
          <w:numId w:val="11"/>
        </w:numPr>
        <w:jc w:val="both"/>
      </w:pPr>
      <w:r w:rsidRPr="00335217">
        <w:t xml:space="preserve">Loaded cleaned datasets into a SQLite database. </w:t>
      </w:r>
    </w:p>
    <w:p w14:paraId="16B17D1D" w14:textId="77777777" w:rsidR="00335217" w:rsidRPr="00335217" w:rsidRDefault="00335217" w:rsidP="00335217">
      <w:pPr>
        <w:numPr>
          <w:ilvl w:val="0"/>
          <w:numId w:val="11"/>
        </w:numPr>
        <w:jc w:val="both"/>
      </w:pPr>
      <w:r w:rsidRPr="00335217">
        <w:t xml:space="preserve">Performed comprehensive Exploratory Data Analysis (EDA). </w:t>
      </w:r>
    </w:p>
    <w:p w14:paraId="321983FF" w14:textId="77777777" w:rsidR="00335217" w:rsidRPr="00335217" w:rsidRDefault="00335217" w:rsidP="00335217">
      <w:pPr>
        <w:numPr>
          <w:ilvl w:val="0"/>
          <w:numId w:val="11"/>
        </w:numPr>
        <w:jc w:val="both"/>
      </w:pPr>
      <w:r w:rsidRPr="00335217">
        <w:t xml:space="preserve">Calculated major mutual fund performance metrics. </w:t>
      </w:r>
    </w:p>
    <w:p w14:paraId="17E9ABE6" w14:textId="77777777" w:rsidR="00335217" w:rsidRPr="00335217" w:rsidRDefault="00335217" w:rsidP="00335217">
      <w:pPr>
        <w:numPr>
          <w:ilvl w:val="0"/>
          <w:numId w:val="11"/>
        </w:numPr>
        <w:jc w:val="both"/>
      </w:pPr>
      <w:r w:rsidRPr="00335217">
        <w:t xml:space="preserve">Built an interactive Power BI dashboard with multiple pages. </w:t>
      </w:r>
    </w:p>
    <w:p w14:paraId="7A745D5C" w14:textId="77777777" w:rsidR="00335217" w:rsidRPr="00335217" w:rsidRDefault="00335217" w:rsidP="00335217">
      <w:pPr>
        <w:numPr>
          <w:ilvl w:val="0"/>
          <w:numId w:val="11"/>
        </w:numPr>
        <w:jc w:val="both"/>
      </w:pPr>
      <w:r w:rsidRPr="00335217">
        <w:t xml:space="preserve">Implemented advanced analytics including </w:t>
      </w:r>
      <w:proofErr w:type="spellStart"/>
      <w:r w:rsidRPr="00335217">
        <w:t>VaR</w:t>
      </w:r>
      <w:proofErr w:type="spellEnd"/>
      <w:r w:rsidRPr="00335217">
        <w:t xml:space="preserve">, CVaR, HHI, cohort analysis, SIP continuity analysis, and a recommendation engine. </w:t>
      </w:r>
    </w:p>
    <w:p w14:paraId="5D2E8536" w14:textId="77777777" w:rsidR="00335217" w:rsidRPr="00335217" w:rsidRDefault="00335217" w:rsidP="00335217">
      <w:pPr>
        <w:numPr>
          <w:ilvl w:val="0"/>
          <w:numId w:val="11"/>
        </w:numPr>
        <w:jc w:val="both"/>
      </w:pPr>
      <w:r w:rsidRPr="00335217">
        <w:t xml:space="preserve">Generated reports and visualisations for investment decision support. </w:t>
      </w:r>
    </w:p>
    <w:p w14:paraId="5CB94CF2" w14:textId="45EF2943" w:rsidR="00335217" w:rsidRPr="00335217" w:rsidRDefault="00335217" w:rsidP="00335217">
      <w:pPr>
        <w:jc w:val="both"/>
      </w:pPr>
    </w:p>
    <w:p w14:paraId="1A63AB2F" w14:textId="77777777" w:rsidR="00335217" w:rsidRDefault="00335217" w:rsidP="00335217">
      <w:pPr>
        <w:jc w:val="both"/>
        <w:rPr>
          <w:b/>
          <w:bCs/>
        </w:rPr>
      </w:pPr>
    </w:p>
    <w:p w14:paraId="462F8BC9" w14:textId="77777777" w:rsidR="00335217" w:rsidRDefault="00335217" w:rsidP="00335217">
      <w:pPr>
        <w:jc w:val="both"/>
        <w:rPr>
          <w:b/>
          <w:bCs/>
        </w:rPr>
      </w:pPr>
    </w:p>
    <w:p w14:paraId="44BB0286" w14:textId="77777777" w:rsidR="00335217" w:rsidRDefault="00335217" w:rsidP="00335217">
      <w:pPr>
        <w:jc w:val="both"/>
        <w:rPr>
          <w:b/>
          <w:bCs/>
        </w:rPr>
      </w:pPr>
    </w:p>
    <w:p w14:paraId="60467624" w14:textId="77777777" w:rsidR="00335217" w:rsidRDefault="00335217" w:rsidP="00335217">
      <w:pPr>
        <w:jc w:val="both"/>
        <w:rPr>
          <w:b/>
          <w:bCs/>
        </w:rPr>
      </w:pPr>
    </w:p>
    <w:p w14:paraId="4D66AA2E" w14:textId="77777777" w:rsidR="00335217" w:rsidRDefault="00335217" w:rsidP="00335217">
      <w:pPr>
        <w:jc w:val="both"/>
        <w:rPr>
          <w:b/>
          <w:bCs/>
        </w:rPr>
      </w:pPr>
    </w:p>
    <w:p w14:paraId="4BC9C212" w14:textId="0A2F2337" w:rsidR="00335217" w:rsidRPr="00335217" w:rsidRDefault="00335217" w:rsidP="00335217">
      <w:pPr>
        <w:jc w:val="both"/>
        <w:rPr>
          <w:b/>
          <w:bCs/>
        </w:rPr>
      </w:pPr>
      <w:r w:rsidRPr="00335217">
        <w:rPr>
          <w:b/>
          <w:bCs/>
        </w:rPr>
        <w:lastRenderedPageBreak/>
        <w:t>Business Recommendations</w:t>
      </w:r>
    </w:p>
    <w:p w14:paraId="71E1CC45" w14:textId="77777777" w:rsidR="00335217" w:rsidRPr="00335217" w:rsidRDefault="00335217" w:rsidP="00335217">
      <w:pPr>
        <w:numPr>
          <w:ilvl w:val="0"/>
          <w:numId w:val="12"/>
        </w:numPr>
        <w:jc w:val="both"/>
      </w:pPr>
      <w:r w:rsidRPr="00335217">
        <w:t xml:space="preserve">Investors should evaluate risk-adjusted returns rather than relying only on historical returns. </w:t>
      </w:r>
    </w:p>
    <w:p w14:paraId="7E666AE0" w14:textId="77777777" w:rsidR="00335217" w:rsidRPr="00335217" w:rsidRDefault="00335217" w:rsidP="00335217">
      <w:pPr>
        <w:numPr>
          <w:ilvl w:val="0"/>
          <w:numId w:val="12"/>
        </w:numPr>
        <w:jc w:val="both"/>
      </w:pPr>
      <w:r w:rsidRPr="00335217">
        <w:t xml:space="preserve">Diversified portfolios with lower concentration (HHI) are generally less risky. </w:t>
      </w:r>
    </w:p>
    <w:p w14:paraId="3A1EFE4C" w14:textId="77777777" w:rsidR="00335217" w:rsidRPr="00335217" w:rsidRDefault="00335217" w:rsidP="00335217">
      <w:pPr>
        <w:numPr>
          <w:ilvl w:val="0"/>
          <w:numId w:val="12"/>
        </w:numPr>
        <w:jc w:val="both"/>
      </w:pPr>
      <w:r w:rsidRPr="00335217">
        <w:t xml:space="preserve">Regular SIP investments help reduce market timing risk. </w:t>
      </w:r>
    </w:p>
    <w:p w14:paraId="520E8B3D" w14:textId="77777777" w:rsidR="00335217" w:rsidRPr="00335217" w:rsidRDefault="00335217" w:rsidP="00335217">
      <w:pPr>
        <w:numPr>
          <w:ilvl w:val="0"/>
          <w:numId w:val="12"/>
        </w:numPr>
        <w:jc w:val="both"/>
      </w:pPr>
      <w:r w:rsidRPr="00335217">
        <w:t xml:space="preserve">Investors should consider expense ratios while selecting mutual funds. </w:t>
      </w:r>
    </w:p>
    <w:p w14:paraId="13009701" w14:textId="77777777" w:rsidR="00335217" w:rsidRPr="00335217" w:rsidRDefault="00335217" w:rsidP="00335217">
      <w:pPr>
        <w:numPr>
          <w:ilvl w:val="0"/>
          <w:numId w:val="12"/>
        </w:numPr>
        <w:jc w:val="both"/>
      </w:pPr>
      <w:r w:rsidRPr="00335217">
        <w:t xml:space="preserve">Periodic portfolio reviews are recommended to maintain diversification and risk alignment. </w:t>
      </w:r>
    </w:p>
    <w:p w14:paraId="18ADADCC" w14:textId="77777777" w:rsidR="00335217" w:rsidRPr="00335217" w:rsidRDefault="00335217" w:rsidP="00335217">
      <w:pPr>
        <w:numPr>
          <w:ilvl w:val="0"/>
          <w:numId w:val="12"/>
        </w:numPr>
        <w:jc w:val="both"/>
      </w:pPr>
      <w:r w:rsidRPr="00335217">
        <w:t xml:space="preserve">Financial institutions can leverage predictive analytics to personalise fund recommendations. </w:t>
      </w:r>
    </w:p>
    <w:p w14:paraId="59F139EF" w14:textId="769B7F33" w:rsidR="00335217" w:rsidRPr="00335217" w:rsidRDefault="00335217" w:rsidP="00335217">
      <w:pPr>
        <w:jc w:val="both"/>
      </w:pPr>
    </w:p>
    <w:p w14:paraId="164862F7" w14:textId="2D14228D" w:rsidR="00335217" w:rsidRPr="00335217" w:rsidRDefault="00335217" w:rsidP="00335217">
      <w:pPr>
        <w:jc w:val="both"/>
        <w:rPr>
          <w:b/>
          <w:bCs/>
        </w:rPr>
      </w:pPr>
      <w:r w:rsidRPr="00335217">
        <w:rPr>
          <w:b/>
          <w:bCs/>
        </w:rPr>
        <w:t xml:space="preserve"> Future Scope</w:t>
      </w:r>
    </w:p>
    <w:p w14:paraId="69385E8A" w14:textId="77777777" w:rsidR="00335217" w:rsidRPr="00335217" w:rsidRDefault="00335217" w:rsidP="00335217">
      <w:pPr>
        <w:jc w:val="both"/>
      </w:pPr>
      <w:r w:rsidRPr="00335217">
        <w:t xml:space="preserve">The project can be extended by integrating live AMFI APIs for real-time NAV updates, implementing machine learning models for return prediction, performing portfolio optimisation using the Markowitz Efficient Frontier, conducting Monte Carlo simulations for future NAV forecasting, and developing a </w:t>
      </w:r>
      <w:proofErr w:type="spellStart"/>
      <w:r w:rsidRPr="00335217">
        <w:t>Streamlit</w:t>
      </w:r>
      <w:proofErr w:type="spellEnd"/>
      <w:r w:rsidRPr="00335217">
        <w:t>-based web application for interactive portfolio analysis.</w:t>
      </w:r>
    </w:p>
    <w:p w14:paraId="4B738854" w14:textId="77777777" w:rsidR="00335217" w:rsidRPr="00335217" w:rsidRDefault="00335217" w:rsidP="00335217">
      <w:pPr>
        <w:jc w:val="both"/>
      </w:pPr>
    </w:p>
    <w:p w14:paraId="45C959FC" w14:textId="77777777" w:rsidR="00335217" w:rsidRPr="00335217" w:rsidRDefault="00335217" w:rsidP="00335217"/>
    <w:p w14:paraId="22BB9821" w14:textId="787E42B3" w:rsidR="00335217" w:rsidRDefault="00335217">
      <w:r>
        <w:br w:type="page"/>
      </w:r>
    </w:p>
    <w:p w14:paraId="1ED1D82C" w14:textId="37E57824" w:rsidR="00B0054C" w:rsidRDefault="00335217" w:rsidP="00743471">
      <w:pPr>
        <w:rPr>
          <w:b/>
          <w:bCs/>
          <w:sz w:val="40"/>
          <w:szCs w:val="40"/>
        </w:rPr>
      </w:pPr>
      <w:r w:rsidRPr="00335217">
        <w:rPr>
          <w:b/>
          <w:bCs/>
          <w:sz w:val="40"/>
          <w:szCs w:val="40"/>
        </w:rPr>
        <w:lastRenderedPageBreak/>
        <w:t>References</w:t>
      </w:r>
    </w:p>
    <w:p w14:paraId="053A888A" w14:textId="77777777" w:rsidR="00377F45" w:rsidRPr="00377F45" w:rsidRDefault="00377F45" w:rsidP="00377F45">
      <w:pPr>
        <w:numPr>
          <w:ilvl w:val="0"/>
          <w:numId w:val="13"/>
        </w:numPr>
      </w:pPr>
      <w:r w:rsidRPr="00377F45">
        <w:t xml:space="preserve">Association of Mutual Funds in India (AMFI). </w:t>
      </w:r>
      <w:r w:rsidRPr="00377F45">
        <w:rPr>
          <w:i/>
          <w:iCs/>
        </w:rPr>
        <w:t>Mutual Fund Industry Data and NAV Information</w:t>
      </w:r>
      <w:r w:rsidRPr="00377F45">
        <w:t xml:space="preserve">. </w:t>
      </w:r>
      <w:hyperlink r:id="rId30" w:tgtFrame="_new" w:history="1">
        <w:r w:rsidRPr="00377F45">
          <w:rPr>
            <w:rStyle w:val="Hyperlink"/>
          </w:rPr>
          <w:t>https://www.amfiindia.com</w:t>
        </w:r>
      </w:hyperlink>
      <w:r w:rsidRPr="00377F45">
        <w:t xml:space="preserve"> </w:t>
      </w:r>
    </w:p>
    <w:p w14:paraId="3194C736" w14:textId="77777777" w:rsidR="00377F45" w:rsidRPr="00377F45" w:rsidRDefault="00377F45" w:rsidP="00377F45">
      <w:pPr>
        <w:numPr>
          <w:ilvl w:val="0"/>
          <w:numId w:val="13"/>
        </w:numPr>
      </w:pPr>
      <w:r w:rsidRPr="00377F45">
        <w:t xml:space="preserve">MFAPI. </w:t>
      </w:r>
      <w:r w:rsidRPr="00377F45">
        <w:rPr>
          <w:i/>
          <w:iCs/>
        </w:rPr>
        <w:t>Mutual Fund NAV API</w:t>
      </w:r>
      <w:r w:rsidRPr="00377F45">
        <w:t xml:space="preserve">. </w:t>
      </w:r>
      <w:hyperlink r:id="rId31" w:tgtFrame="_new" w:history="1">
        <w:r w:rsidRPr="00377F45">
          <w:rPr>
            <w:rStyle w:val="Hyperlink"/>
          </w:rPr>
          <w:t>https://api.mfapi.in</w:t>
        </w:r>
      </w:hyperlink>
      <w:r w:rsidRPr="00377F45">
        <w:t xml:space="preserve"> </w:t>
      </w:r>
    </w:p>
    <w:p w14:paraId="33AB3B7C" w14:textId="77777777" w:rsidR="00377F45" w:rsidRPr="00377F45" w:rsidRDefault="00377F45" w:rsidP="00377F45">
      <w:pPr>
        <w:numPr>
          <w:ilvl w:val="0"/>
          <w:numId w:val="13"/>
        </w:numPr>
      </w:pPr>
      <w:r w:rsidRPr="00377F45">
        <w:t xml:space="preserve">Microsoft. </w:t>
      </w:r>
      <w:r w:rsidRPr="00377F45">
        <w:rPr>
          <w:i/>
          <w:iCs/>
        </w:rPr>
        <w:t>Power BI Documentation</w:t>
      </w:r>
      <w:r w:rsidRPr="00377F45">
        <w:t xml:space="preserve">. https://learn.microsoft.com/power-bi/ </w:t>
      </w:r>
    </w:p>
    <w:p w14:paraId="4B15C7DB" w14:textId="77777777" w:rsidR="00377F45" w:rsidRPr="00377F45" w:rsidRDefault="00377F45" w:rsidP="00377F45">
      <w:pPr>
        <w:numPr>
          <w:ilvl w:val="0"/>
          <w:numId w:val="13"/>
        </w:numPr>
      </w:pPr>
      <w:r w:rsidRPr="00377F45">
        <w:t xml:space="preserve">Python Software Foundation. </w:t>
      </w:r>
      <w:r w:rsidRPr="00377F45">
        <w:rPr>
          <w:i/>
          <w:iCs/>
        </w:rPr>
        <w:t>Python Documentation</w:t>
      </w:r>
      <w:r w:rsidRPr="00377F45">
        <w:t xml:space="preserve">. </w:t>
      </w:r>
      <w:hyperlink r:id="rId32" w:tgtFrame="_new" w:history="1">
        <w:r w:rsidRPr="00377F45">
          <w:rPr>
            <w:rStyle w:val="Hyperlink"/>
          </w:rPr>
          <w:t>https://docs.python.org/3/</w:t>
        </w:r>
      </w:hyperlink>
      <w:r w:rsidRPr="00377F45">
        <w:t xml:space="preserve"> </w:t>
      </w:r>
    </w:p>
    <w:p w14:paraId="1DA10529" w14:textId="77777777" w:rsidR="00377F45" w:rsidRPr="00377F45" w:rsidRDefault="00377F45" w:rsidP="00377F45">
      <w:pPr>
        <w:numPr>
          <w:ilvl w:val="0"/>
          <w:numId w:val="13"/>
        </w:numPr>
      </w:pPr>
      <w:r w:rsidRPr="00377F45">
        <w:t xml:space="preserve">Pandas Development Team. </w:t>
      </w:r>
      <w:r w:rsidRPr="00377F45">
        <w:rPr>
          <w:i/>
          <w:iCs/>
        </w:rPr>
        <w:t>Pandas Documentation</w:t>
      </w:r>
      <w:r w:rsidRPr="00377F45">
        <w:t xml:space="preserve">. </w:t>
      </w:r>
      <w:hyperlink r:id="rId33" w:tgtFrame="_new" w:history="1">
        <w:r w:rsidRPr="00377F45">
          <w:rPr>
            <w:rStyle w:val="Hyperlink"/>
          </w:rPr>
          <w:t>https://pandas.pydata.org/docs/</w:t>
        </w:r>
      </w:hyperlink>
      <w:r w:rsidRPr="00377F45">
        <w:t xml:space="preserve"> </w:t>
      </w:r>
    </w:p>
    <w:p w14:paraId="454FBF40" w14:textId="77777777" w:rsidR="00377F45" w:rsidRPr="00377F45" w:rsidRDefault="00377F45" w:rsidP="00377F45">
      <w:pPr>
        <w:numPr>
          <w:ilvl w:val="0"/>
          <w:numId w:val="13"/>
        </w:numPr>
      </w:pPr>
      <w:r w:rsidRPr="00377F45">
        <w:t xml:space="preserve">NumPy Developers. </w:t>
      </w:r>
      <w:r w:rsidRPr="00377F45">
        <w:rPr>
          <w:i/>
          <w:iCs/>
        </w:rPr>
        <w:t>NumPy Documentation</w:t>
      </w:r>
      <w:r w:rsidRPr="00377F45">
        <w:t xml:space="preserve">. </w:t>
      </w:r>
      <w:hyperlink r:id="rId34" w:tgtFrame="_new" w:history="1">
        <w:r w:rsidRPr="00377F45">
          <w:rPr>
            <w:rStyle w:val="Hyperlink"/>
          </w:rPr>
          <w:t>https://numpy.org/doc/</w:t>
        </w:r>
      </w:hyperlink>
      <w:r w:rsidRPr="00377F45">
        <w:t xml:space="preserve"> </w:t>
      </w:r>
    </w:p>
    <w:p w14:paraId="1F68CD6C" w14:textId="77777777" w:rsidR="00377F45" w:rsidRPr="00377F45" w:rsidRDefault="00377F45" w:rsidP="00377F45">
      <w:pPr>
        <w:numPr>
          <w:ilvl w:val="0"/>
          <w:numId w:val="13"/>
        </w:numPr>
      </w:pPr>
      <w:r w:rsidRPr="00377F45">
        <w:t xml:space="preserve">Matplotlib Development Team. </w:t>
      </w:r>
      <w:r w:rsidRPr="00377F45">
        <w:rPr>
          <w:i/>
          <w:iCs/>
        </w:rPr>
        <w:t>Matplotlib Documentation</w:t>
      </w:r>
      <w:r w:rsidRPr="00377F45">
        <w:t xml:space="preserve">. </w:t>
      </w:r>
      <w:hyperlink r:id="rId35" w:tgtFrame="_new" w:history="1">
        <w:r w:rsidRPr="00377F45">
          <w:rPr>
            <w:rStyle w:val="Hyperlink"/>
          </w:rPr>
          <w:t>https://matplotlib.org/stable/</w:t>
        </w:r>
      </w:hyperlink>
      <w:r w:rsidRPr="00377F45">
        <w:t xml:space="preserve"> </w:t>
      </w:r>
    </w:p>
    <w:p w14:paraId="129D738A" w14:textId="77777777" w:rsidR="00377F45" w:rsidRPr="00377F45" w:rsidRDefault="00377F45" w:rsidP="00377F45">
      <w:pPr>
        <w:numPr>
          <w:ilvl w:val="0"/>
          <w:numId w:val="13"/>
        </w:numPr>
      </w:pPr>
      <w:r w:rsidRPr="00377F45">
        <w:t xml:space="preserve">SQLite Documentation. </w:t>
      </w:r>
      <w:hyperlink r:id="rId36" w:tgtFrame="_new" w:history="1">
        <w:r w:rsidRPr="00377F45">
          <w:rPr>
            <w:rStyle w:val="Hyperlink"/>
          </w:rPr>
          <w:t>https://sqlite.org/docs.html</w:t>
        </w:r>
      </w:hyperlink>
      <w:r w:rsidRPr="00377F45">
        <w:t xml:space="preserve"> </w:t>
      </w:r>
    </w:p>
    <w:p w14:paraId="3D663DAA" w14:textId="77777777" w:rsidR="00377F45" w:rsidRPr="00377F45" w:rsidRDefault="00377F45" w:rsidP="00377F45">
      <w:pPr>
        <w:numPr>
          <w:ilvl w:val="0"/>
          <w:numId w:val="13"/>
        </w:numPr>
      </w:pPr>
      <w:r w:rsidRPr="00377F45">
        <w:t xml:space="preserve">Jupyter Project. </w:t>
      </w:r>
      <w:r w:rsidRPr="00377F45">
        <w:rPr>
          <w:i/>
          <w:iCs/>
        </w:rPr>
        <w:t>Jupyter Notebook Documentation</w:t>
      </w:r>
      <w:r w:rsidRPr="00377F45">
        <w:t xml:space="preserve">. </w:t>
      </w:r>
      <w:hyperlink r:id="rId37" w:tgtFrame="_new" w:history="1">
        <w:r w:rsidRPr="00377F45">
          <w:rPr>
            <w:rStyle w:val="Hyperlink"/>
          </w:rPr>
          <w:t>https://jupyter.org</w:t>
        </w:r>
      </w:hyperlink>
      <w:r w:rsidRPr="00377F45">
        <w:t xml:space="preserve"> </w:t>
      </w:r>
    </w:p>
    <w:p w14:paraId="16587602" w14:textId="77777777" w:rsidR="00377F45" w:rsidRPr="00377F45" w:rsidRDefault="00377F45" w:rsidP="00377F45">
      <w:pPr>
        <w:numPr>
          <w:ilvl w:val="0"/>
          <w:numId w:val="13"/>
        </w:numPr>
      </w:pPr>
      <w:r w:rsidRPr="00377F45">
        <w:t xml:space="preserve">SEBI. </w:t>
      </w:r>
      <w:r w:rsidRPr="00377F45">
        <w:rPr>
          <w:i/>
          <w:iCs/>
        </w:rPr>
        <w:t>Mutual Fund Regulations and Guidelines</w:t>
      </w:r>
      <w:r w:rsidRPr="00377F45">
        <w:t xml:space="preserve">. </w:t>
      </w:r>
      <w:hyperlink r:id="rId38" w:tgtFrame="_new" w:history="1">
        <w:r w:rsidRPr="00377F45">
          <w:rPr>
            <w:rStyle w:val="Hyperlink"/>
          </w:rPr>
          <w:t>https://www.sebi.gov.in</w:t>
        </w:r>
      </w:hyperlink>
      <w:r w:rsidRPr="00377F45">
        <w:t xml:space="preserve"> </w:t>
      </w:r>
    </w:p>
    <w:p w14:paraId="33F06B86" w14:textId="77777777" w:rsidR="00335217" w:rsidRPr="00335217" w:rsidRDefault="00335217" w:rsidP="00743471"/>
    <w:sectPr w:rsidR="00335217" w:rsidRPr="00335217" w:rsidSect="00B0054C">
      <w:footerReference w:type="default" r:id="rId3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DB513" w14:textId="77777777" w:rsidR="00C10A4A" w:rsidRDefault="00C10A4A" w:rsidP="001A7C75">
      <w:pPr>
        <w:spacing w:after="0" w:line="240" w:lineRule="auto"/>
      </w:pPr>
      <w:r>
        <w:separator/>
      </w:r>
    </w:p>
  </w:endnote>
  <w:endnote w:type="continuationSeparator" w:id="0">
    <w:p w14:paraId="2833CE86" w14:textId="77777777" w:rsidR="00C10A4A" w:rsidRDefault="00C10A4A" w:rsidP="001A7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522430"/>
      <w:docPartObj>
        <w:docPartGallery w:val="Page Numbers (Bottom of Page)"/>
        <w:docPartUnique/>
      </w:docPartObj>
    </w:sdtPr>
    <w:sdtEndPr>
      <w:rPr>
        <w:noProof/>
      </w:rPr>
    </w:sdtEndPr>
    <w:sdtContent>
      <w:p w14:paraId="4E935685" w14:textId="64E84B38" w:rsidR="001A7C75" w:rsidRDefault="001A7C75">
        <w:pPr>
          <w:pStyle w:val="Footer"/>
        </w:pPr>
        <w:r>
          <w:fldChar w:fldCharType="begin"/>
        </w:r>
        <w:r>
          <w:instrText xml:space="preserve"> PAGE   \* MERGEFORMAT </w:instrText>
        </w:r>
        <w:r>
          <w:fldChar w:fldCharType="separate"/>
        </w:r>
        <w:r>
          <w:rPr>
            <w:noProof/>
          </w:rPr>
          <w:t>2</w:t>
        </w:r>
        <w:r>
          <w:rPr>
            <w:noProof/>
          </w:rPr>
          <w:fldChar w:fldCharType="end"/>
        </w:r>
      </w:p>
    </w:sdtContent>
  </w:sdt>
  <w:p w14:paraId="4BC11C67" w14:textId="77777777" w:rsidR="001A7C75" w:rsidRDefault="001A7C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9463E" w14:textId="77777777" w:rsidR="00C10A4A" w:rsidRDefault="00C10A4A" w:rsidP="001A7C75">
      <w:pPr>
        <w:spacing w:after="0" w:line="240" w:lineRule="auto"/>
      </w:pPr>
      <w:r>
        <w:separator/>
      </w:r>
    </w:p>
  </w:footnote>
  <w:footnote w:type="continuationSeparator" w:id="0">
    <w:p w14:paraId="7AB79387" w14:textId="77777777" w:rsidR="00C10A4A" w:rsidRDefault="00C10A4A" w:rsidP="001A7C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7F8D"/>
    <w:multiLevelType w:val="multilevel"/>
    <w:tmpl w:val="500A2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8252B"/>
    <w:multiLevelType w:val="multilevel"/>
    <w:tmpl w:val="162E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54B66"/>
    <w:multiLevelType w:val="multilevel"/>
    <w:tmpl w:val="BAD6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A558D"/>
    <w:multiLevelType w:val="multilevel"/>
    <w:tmpl w:val="AB06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C586B"/>
    <w:multiLevelType w:val="multilevel"/>
    <w:tmpl w:val="9740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831FB"/>
    <w:multiLevelType w:val="multilevel"/>
    <w:tmpl w:val="44EE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C4256"/>
    <w:multiLevelType w:val="multilevel"/>
    <w:tmpl w:val="273E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60EA6"/>
    <w:multiLevelType w:val="multilevel"/>
    <w:tmpl w:val="591AB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8A729A"/>
    <w:multiLevelType w:val="multilevel"/>
    <w:tmpl w:val="93E8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916F2"/>
    <w:multiLevelType w:val="multilevel"/>
    <w:tmpl w:val="CFB2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1FB4"/>
    <w:multiLevelType w:val="multilevel"/>
    <w:tmpl w:val="F6CA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44209"/>
    <w:multiLevelType w:val="multilevel"/>
    <w:tmpl w:val="297E4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A423C8"/>
    <w:multiLevelType w:val="multilevel"/>
    <w:tmpl w:val="ACB6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235900">
    <w:abstractNumId w:val="9"/>
  </w:num>
  <w:num w:numId="2" w16cid:durableId="709646745">
    <w:abstractNumId w:val="3"/>
  </w:num>
  <w:num w:numId="3" w16cid:durableId="583102677">
    <w:abstractNumId w:val="11"/>
  </w:num>
  <w:num w:numId="4" w16cid:durableId="559950072">
    <w:abstractNumId w:val="5"/>
  </w:num>
  <w:num w:numId="5" w16cid:durableId="205071315">
    <w:abstractNumId w:val="8"/>
  </w:num>
  <w:num w:numId="6" w16cid:durableId="1460344560">
    <w:abstractNumId w:val="12"/>
  </w:num>
  <w:num w:numId="7" w16cid:durableId="1524586839">
    <w:abstractNumId w:val="6"/>
  </w:num>
  <w:num w:numId="8" w16cid:durableId="1705397539">
    <w:abstractNumId w:val="4"/>
  </w:num>
  <w:num w:numId="9" w16cid:durableId="1916697345">
    <w:abstractNumId w:val="1"/>
  </w:num>
  <w:num w:numId="10" w16cid:durableId="1440106800">
    <w:abstractNumId w:val="10"/>
  </w:num>
  <w:num w:numId="11" w16cid:durableId="312955297">
    <w:abstractNumId w:val="2"/>
  </w:num>
  <w:num w:numId="12" w16cid:durableId="723140495">
    <w:abstractNumId w:val="7"/>
  </w:num>
  <w:num w:numId="13" w16cid:durableId="968362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C09"/>
    <w:rsid w:val="00024973"/>
    <w:rsid w:val="000C712B"/>
    <w:rsid w:val="001A7C75"/>
    <w:rsid w:val="00223A56"/>
    <w:rsid w:val="00297C39"/>
    <w:rsid w:val="00335217"/>
    <w:rsid w:val="00377F45"/>
    <w:rsid w:val="003F429A"/>
    <w:rsid w:val="00466C09"/>
    <w:rsid w:val="00743471"/>
    <w:rsid w:val="00766BB1"/>
    <w:rsid w:val="00777792"/>
    <w:rsid w:val="008576E9"/>
    <w:rsid w:val="008C4138"/>
    <w:rsid w:val="008D0F5E"/>
    <w:rsid w:val="00907BCE"/>
    <w:rsid w:val="0091589E"/>
    <w:rsid w:val="00A00DCA"/>
    <w:rsid w:val="00B0054C"/>
    <w:rsid w:val="00C10A4A"/>
    <w:rsid w:val="00C657CA"/>
    <w:rsid w:val="00C72220"/>
    <w:rsid w:val="00DE55B7"/>
    <w:rsid w:val="00F16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26982"/>
  <w15:chartTrackingRefBased/>
  <w15:docId w15:val="{48F9D378-149A-4CF8-8122-23BA01E03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C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C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C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C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C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C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C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C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C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C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C09"/>
    <w:rPr>
      <w:rFonts w:eastAsiaTheme="majorEastAsia" w:cstheme="majorBidi"/>
      <w:color w:val="272727" w:themeColor="text1" w:themeTint="D8"/>
    </w:rPr>
  </w:style>
  <w:style w:type="paragraph" w:styleId="Title">
    <w:name w:val="Title"/>
    <w:basedOn w:val="Normal"/>
    <w:next w:val="Normal"/>
    <w:link w:val="TitleChar"/>
    <w:uiPriority w:val="10"/>
    <w:qFormat/>
    <w:rsid w:val="00466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C09"/>
    <w:pPr>
      <w:spacing w:before="160"/>
      <w:jc w:val="center"/>
    </w:pPr>
    <w:rPr>
      <w:i/>
      <w:iCs/>
      <w:color w:val="404040" w:themeColor="text1" w:themeTint="BF"/>
    </w:rPr>
  </w:style>
  <w:style w:type="character" w:customStyle="1" w:styleId="QuoteChar">
    <w:name w:val="Quote Char"/>
    <w:basedOn w:val="DefaultParagraphFont"/>
    <w:link w:val="Quote"/>
    <w:uiPriority w:val="29"/>
    <w:rsid w:val="00466C09"/>
    <w:rPr>
      <w:i/>
      <w:iCs/>
      <w:color w:val="404040" w:themeColor="text1" w:themeTint="BF"/>
    </w:rPr>
  </w:style>
  <w:style w:type="paragraph" w:styleId="ListParagraph">
    <w:name w:val="List Paragraph"/>
    <w:basedOn w:val="Normal"/>
    <w:uiPriority w:val="34"/>
    <w:qFormat/>
    <w:rsid w:val="00466C09"/>
    <w:pPr>
      <w:ind w:left="720"/>
      <w:contextualSpacing/>
    </w:pPr>
  </w:style>
  <w:style w:type="character" w:styleId="IntenseEmphasis">
    <w:name w:val="Intense Emphasis"/>
    <w:basedOn w:val="DefaultParagraphFont"/>
    <w:uiPriority w:val="21"/>
    <w:qFormat/>
    <w:rsid w:val="00466C09"/>
    <w:rPr>
      <w:i/>
      <w:iCs/>
      <w:color w:val="2F5496" w:themeColor="accent1" w:themeShade="BF"/>
    </w:rPr>
  </w:style>
  <w:style w:type="paragraph" w:styleId="IntenseQuote">
    <w:name w:val="Intense Quote"/>
    <w:basedOn w:val="Normal"/>
    <w:next w:val="Normal"/>
    <w:link w:val="IntenseQuoteChar"/>
    <w:uiPriority w:val="30"/>
    <w:qFormat/>
    <w:rsid w:val="00466C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C09"/>
    <w:rPr>
      <w:i/>
      <w:iCs/>
      <w:color w:val="2F5496" w:themeColor="accent1" w:themeShade="BF"/>
    </w:rPr>
  </w:style>
  <w:style w:type="character" w:styleId="IntenseReference">
    <w:name w:val="Intense Reference"/>
    <w:basedOn w:val="DefaultParagraphFont"/>
    <w:uiPriority w:val="32"/>
    <w:qFormat/>
    <w:rsid w:val="00466C09"/>
    <w:rPr>
      <w:b/>
      <w:bCs/>
      <w:smallCaps/>
      <w:color w:val="2F5496" w:themeColor="accent1" w:themeShade="BF"/>
      <w:spacing w:val="5"/>
    </w:rPr>
  </w:style>
  <w:style w:type="table" w:styleId="TableGrid">
    <w:name w:val="Table Grid"/>
    <w:basedOn w:val="TableNormal"/>
    <w:uiPriority w:val="39"/>
    <w:rsid w:val="00297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C413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377F45"/>
    <w:rPr>
      <w:color w:val="0563C1" w:themeColor="hyperlink"/>
      <w:u w:val="single"/>
    </w:rPr>
  </w:style>
  <w:style w:type="character" w:styleId="UnresolvedMention">
    <w:name w:val="Unresolved Mention"/>
    <w:basedOn w:val="DefaultParagraphFont"/>
    <w:uiPriority w:val="99"/>
    <w:semiHidden/>
    <w:unhideWhenUsed/>
    <w:rsid w:val="00377F45"/>
    <w:rPr>
      <w:color w:val="605E5C"/>
      <w:shd w:val="clear" w:color="auto" w:fill="E1DFDD"/>
    </w:rPr>
  </w:style>
  <w:style w:type="paragraph" w:styleId="Header">
    <w:name w:val="header"/>
    <w:basedOn w:val="Normal"/>
    <w:link w:val="HeaderChar"/>
    <w:uiPriority w:val="99"/>
    <w:unhideWhenUsed/>
    <w:rsid w:val="001A7C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7C75"/>
  </w:style>
  <w:style w:type="paragraph" w:styleId="Footer">
    <w:name w:val="footer"/>
    <w:basedOn w:val="Normal"/>
    <w:link w:val="FooterChar"/>
    <w:uiPriority w:val="99"/>
    <w:unhideWhenUsed/>
    <w:rsid w:val="001A7C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7C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hyperlink" Target="https://numpy.org/do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s.python.org/3/" TargetMode="External"/><Relationship Id="rId37" Type="http://schemas.openxmlformats.org/officeDocument/2006/relationships/hyperlink" Target="https://jupyter.or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qlite.org/docs.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pi.mfapi.in"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amfiindia.com" TargetMode="External"/><Relationship Id="rId35" Type="http://schemas.openxmlformats.org/officeDocument/2006/relationships/hyperlink" Target="https://matplotlib.org/stabl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pandas.pydata.org/docs/" TargetMode="External"/><Relationship Id="rId38" Type="http://schemas.openxmlformats.org/officeDocument/2006/relationships/hyperlink" Target="https://www.seb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EBD93-590E-4A91-9FB7-4DB2702E7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2592</TotalTime>
  <Pages>26</Pages>
  <Words>3017</Words>
  <Characters>17197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Shinde</dc:creator>
  <cp:keywords/>
  <dc:description/>
  <cp:lastModifiedBy>Pranav Shinde</cp:lastModifiedBy>
  <cp:revision>10</cp:revision>
  <cp:lastPrinted>2026-07-19T09:31:00Z</cp:lastPrinted>
  <dcterms:created xsi:type="dcterms:W3CDTF">2026-07-17T14:21:00Z</dcterms:created>
  <dcterms:modified xsi:type="dcterms:W3CDTF">2026-07-19T09:33:00Z</dcterms:modified>
</cp:coreProperties>
</file>