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95a543e7023a4538b5954db45ab7c78b.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 Id="Re2432a8fabea4ae1" Type="http://schemas.openxmlformats.org/officeDocument/2006/relationships/extended-properties" Target="docProps/app.xml"/><Relationship Id="Rb498c153257a4511" Type="http://schemas.openxmlformats.org/package/2006/relationships/metadata/core-properties" Target="package/services/metadata/core-properties/95a543e7023a4538b5954db45ab7c78b.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pPr>
        <w:pStyle w:val="Heading1"/>
        <w:keepNext/>
        <w:jc w:val="center"/>
      </w:pPr>
      <w:r>
        <w:t>Software Test Cases - Traffic Management Simulation</w:t>
      </w:r>
    </w:p>
    <w:p>
      <w:pPr/>
      <w:r>
        <w:rPr>
          <w:b/>
        </w:rPr>
        <w:t xml:space="preserve">Project: </w:t>
      </w:r>
      <w:r>
        <w:t>Traffic Management Simulation</w:t>
      </w:r>
      <w:r>
        <w:br/>
      </w:r>
      <w:r>
        <w:rPr>
          <w:b/>
        </w:rPr>
        <w:t xml:space="preserve">Version: </w:t>
      </w:r>
      <w:r>
        <w:t>1.0</w:t>
      </w:r>
      <w:r>
        <w:br/>
      </w:r>
      <w:r>
        <w:rPr>
          <w:b/>
        </w:rPr>
        <w:t xml:space="preserve">Prepared by: </w:t>
      </w:r>
      <w:r>
        <w:t>PATANGI NAVEEN (PES1UG24CS318), PRANAV SP (PES1UG24CS337), RACHANA K (PES1UG24CS354), VEDANTA TRIPATHI (PES1UG24CS920)</w:t>
      </w:r>
      <w:r>
        <w:br/>
      </w:r>
      <w:r>
        <w:rPr>
          <w:b/>
        </w:rPr>
        <w:t xml:space="preserve">Date: </w:t>
      </w:r>
      <w:r>
        <w:t>07-10-2026</w:t>
      </w:r>
      <w:r>
        <w:br/>
      </w:r>
      <w:r>
        <w:rPr>
          <w:b/>
        </w:rPr>
        <w:t xml:space="preserve">Status: </w:t>
      </w:r>
      <w:r>
        <w:t>Draft / Not Executed</w:t>
      </w:r>
    </w:p>
    <w:p>
      <w:pPr>
        <w:pStyle w:val="Heading2"/>
        <w:keepNext/>
      </w:pPr>
      <w:r>
        <w:t>1. Introduction</w:t>
      </w:r>
    </w:p>
    <w:p>
      <w:pPr/>
      <w:r>
        <w:t>Purpose: These cases give the team a practical way to check the Traffic Management Simulation against the approved SRS. They cover the expected behavior of the console program and the results it produces.</w:t>
      </w:r>
    </w:p>
    <w:p>
      <w:pPr/>
      <w:r>
        <w:t>Scope: The cases cover configuration, vehicle generation, queues, signal control, emergency priority, simulation execution, statistics, and reporting. The project is a four-way intersection simulation, not a controller for real traffic equipment.</w:t>
      </w:r>
    </w:p>
    <w:p>
      <w:pPr/>
      <w:r>
        <w:t>References: Traffic_Management_SRS.docx v1.0 and Traffic_Management_SAD.docx v1.0. The SRS defines required behavior; the SAD provides design context.</w:t>
      </w:r>
    </w:p>
    <w:p>
      <w:pPr/>
      <w:r>
        <w:t>Definitions: TMS (Traffic Management Simulation), SRS (Software Requirements Specification), SAD (Software Architecture and Design Specification), RTM (Requirements Traceability Matrix), FR (Functional Requirement), NFR (Non-Functional Requirement), SEC (Security Requirement), BR (Business Rule).</w:t>
      </w:r>
    </w:p>
    <w:p>
      <w:pPr>
        <w:pStyle w:val="Heading2"/>
        <w:keepNext/>
      </w:pPr>
      <w:r>
        <w:t>2. Test Items</w:t>
      </w:r>
    </w:p>
    <w:p>
      <w:pPr/>
      <w:r>
        <w:t>- Configuration Manager and console input</w:t>
      </w:r>
    </w:p>
    <w:p>
      <w:pPr/>
      <w:r>
        <w:t>- Vehicle Generator and seeded random sequence</w:t>
      </w:r>
    </w:p>
    <w:p>
      <w:pPr/>
      <w:r>
        <w:t>- Four approach queues and queue operations</w:t>
      </w:r>
    </w:p>
    <w:p>
      <w:pPr/>
      <w:r>
        <w:t>- Signal Controller in Fixed and Adaptive modes</w:t>
      </w:r>
    </w:p>
    <w:p>
      <w:pPr/>
      <w:r>
        <w:t>- Emergency Handler and pre-emption</w:t>
      </w:r>
    </w:p>
    <w:p>
      <w:pPr/>
      <w:r>
        <w:t>- Simulation Engine, live display, and Step mode</w:t>
      </w:r>
    </w:p>
    <w:p>
      <w:pPr/>
      <w:r>
        <w:t>- Statistics Collector, report.txt, and events.csv</w:t>
      </w:r>
    </w:p>
    <w:p>
      <w:pPr>
        <w:pStyle w:val="Heading2"/>
        <w:keepNext/>
      </w:pPr>
      <w:r>
        <w:t>3. Features to be Tested</w:t>
      </w:r>
    </w:p>
    <w:p>
      <w:pPr/>
      <w:r>
        <w:t>The cases cover every requirement currently assigned a test ID in the SRS traceability matrix:</w:t>
      </w:r>
    </w:p>
    <w:p>
      <w:pPr/>
      <w:r>
        <w:t>- Configuration and vehicle generation: FR-01 to FR-11</w:t>
      </w:r>
    </w:p>
    <w:p>
      <w:pPr/>
      <w:r>
        <w:t>- Lane queue management: FR-12 to FR-18</w:t>
      </w:r>
    </w:p>
    <w:p>
      <w:pPr/>
      <w:r>
        <w:t>- Traffic signal control: FR-19 to FR-26</w:t>
      </w:r>
    </w:p>
    <w:p>
      <w:pPr/>
      <w:r>
        <w:t>- Emergency vehicle priority: FR-27 to FR-33</w:t>
      </w:r>
    </w:p>
    <w:p>
      <w:pPr/>
      <w:r>
        <w:t>- Execution and live display: FR-34 to FR-38</w:t>
      </w:r>
    </w:p>
    <w:p>
      <w:pPr/>
      <w:r>
        <w:t>- Statistics and reporting: FR-39 to FR-47</w:t>
      </w:r>
    </w:p>
    <w:p>
      <w:pPr/>
      <w:r>
        <w:t>- Quality and security: NFR-01 to NFR-14 and SEC-01 to SEC-08</w:t>
      </w:r>
    </w:p>
    <w:p>
      <w:pPr/>
      <w:r>
        <w:t>- Business rules: BR-01 to BR-07</w:t>
      </w:r>
    </w:p>
    <w:p>
      <w:pPr>
        <w:pStyle w:val="Heading2"/>
        <w:keepNext/>
      </w:pPr>
      <w:r>
        <w:t>4. Features Not to be Tested</w:t>
      </w:r>
    </w:p>
    <w:p>
      <w:pPr/>
      <w:r>
        <w:t>- Real traffic sensors, live traffic feeds, or road hardware</w:t>
      </w:r>
    </w:p>
    <w:p>
      <w:pPr/>
      <w:r>
        <w:t>- Multi-intersection networks and vehicle turning movements</w:t>
      </w:r>
    </w:p>
    <w:p>
      <w:pPr/>
      <w:r>
        <w:t>- Pedestrian crossings</w:t>
      </w:r>
    </w:p>
    <w:p>
      <w:pPr/>
      <w:r>
        <w:t>- Graphical animation or control of real signals</w:t>
      </w:r>
    </w:p>
    <w:p>
      <w:pPr/>
      <w:r>
        <w:t>- Networks, databases, authentication, and third-party services; the SRS defines a standalone console program</w:t>
      </w:r>
    </w:p>
    <w:p>
      <w:pPr>
        <w:pStyle w:val="Heading2"/>
        <w:keepNext/>
      </w:pPr>
      <w:r>
        <w:t>5. Test Cases</w:t>
      </w:r>
    </w:p>
    <w:p>
      <w:pPr/>
      <w:r>
        <w:t>Run each case against the built program, record the observed result, and change the status from Not run when the check is complete. Case IDs match the SRS RTM.</w:t>
      </w:r>
    </w:p>
    <w:p>
      <w:pPr>
        <w:pStyle w:val="Heading2"/>
        <w:keepNext/>
      </w:pPr>
      <w:r>
        <w:t>5.1 Configuration and Vehicle Generation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691"/>
            <w:vAlign w:val="center"/>
          </w:tcPr>
          <w:p>
            <w:pPr>
              <w:spacing w:after="0"/>
            </w:pPr>
            <w:r>
              <w:rPr>
                <w:b/>
                <w:color w:val="366091"/>
                <w:sz w:val="16"/>
              </w:rPr>
              <w:t>Case ID</w:t>
            </w:r>
          </w:p>
        </w:tc>
        <w:tc>
          <w:tcPr>
            <w:tcW w:type="dxa" w:w="691"/>
            <w:vAlign w:val="center"/>
          </w:tcPr>
          <w:p>
            <w:pPr>
              <w:spacing w:after="0"/>
            </w:pPr>
            <w:r>
              <w:rPr>
                <w:b/>
                <w:color w:val="366091"/>
                <w:sz w:val="16"/>
              </w:rPr>
              <w:t>Req ID</w:t>
            </w:r>
          </w:p>
        </w:tc>
        <w:tc>
          <w:tcPr>
            <w:tcW w:type="dxa" w:w="3139"/>
            <w:vAlign w:val="center"/>
          </w:tcPr>
          <w:p>
            <w:pPr>
              <w:spacing w:after="0"/>
            </w:pPr>
            <w:r>
              <w:rPr>
                <w:b/>
                <w:color w:val="366091"/>
                <w:sz w:val="16"/>
              </w:rPr>
              <w:t>What to do</w:t>
            </w:r>
          </w:p>
        </w:tc>
        <w:tc>
          <w:tcPr>
            <w:tcW w:type="dxa" w:w="3240"/>
            <w:vAlign w:val="center"/>
          </w:tcPr>
          <w:p>
            <w:pPr>
              <w:spacing w:after="0"/>
            </w:pPr>
            <w:r>
              <w:rPr>
                <w:b/>
                <w:color w:val="366091"/>
                <w:sz w:val="16"/>
              </w:rPr>
              <w:t>Expected result</w:t>
            </w:r>
          </w:p>
        </w:tc>
        <w:tc>
          <w:tcPr>
            <w:tcW w:type="dxa" w:w="878"/>
            <w:vAlign w:val="center"/>
          </w:tcPr>
          <w:p>
            <w:pPr>
              <w:spacing w:after="0"/>
            </w:pPr>
            <w:r>
              <w:rPr>
                <w:b/>
                <w:color w:val="366091"/>
                <w:sz w:val="16"/>
              </w:rPr>
              <w:t>Status</w:t>
            </w:r>
          </w:p>
        </w:tc>
      </w:tr>
      <w:tr>
        <w:trPr>
          <w:cantSplit/>
        </w:trPr>
        <w:tc>
          <w:tcPr>
            <w:tcW w:type="dxa" w:w="691"/>
            <w:vAlign w:val="top"/>
          </w:tcPr>
          <w:p>
            <w:pPr>
              <w:spacing w:after="0" w:line="240" w:lineRule="auto"/>
            </w:pPr>
            <w:r>
              <w:rPr>
                <w:sz w:val="14"/>
              </w:rPr>
              <w:t>TC-01</w:t>
            </w:r>
          </w:p>
        </w:tc>
        <w:tc>
          <w:tcPr>
            <w:tcW w:type="dxa" w:w="691"/>
            <w:vAlign w:val="top"/>
          </w:tcPr>
          <w:p>
            <w:pPr>
              <w:spacing w:after="0" w:line="240" w:lineRule="auto"/>
            </w:pPr>
            <w:r>
              <w:rPr>
                <w:sz w:val="14"/>
              </w:rPr>
              <w:t>FR-01</w:t>
            </w:r>
          </w:p>
        </w:tc>
        <w:tc>
          <w:tcPr>
            <w:tcW w:type="dxa" w:w="3139"/>
            <w:vAlign w:val="top"/>
          </w:tcPr>
          <w:p>
            <w:pPr>
              <w:spacing w:after="0" w:line="240" w:lineRule="auto"/>
            </w:pPr>
            <w:r>
              <w:rPr>
                <w:sz w:val="14"/>
              </w:rPr>
              <w:t>Enter duration 1, then 86,400; try 0 and 86,401.</w:t>
            </w:r>
          </w:p>
        </w:tc>
        <w:tc>
          <w:tcPr>
            <w:tcW w:type="dxa" w:w="3240"/>
            <w:vAlign w:val="top"/>
          </w:tcPr>
          <w:p>
            <w:pPr>
              <w:spacing w:after="0" w:line="240" w:lineRule="auto"/>
            </w:pPr>
            <w:r>
              <w:rPr>
                <w:sz w:val="14"/>
              </w:rPr>
              <w:t>Accept 1 and 86,400; reject out-of-range values, retain prior value, and show the allowed range.</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TC-02</w:t>
            </w:r>
          </w:p>
        </w:tc>
        <w:tc>
          <w:tcPr>
            <w:tcW w:type="dxa" w:w="691"/>
            <w:vAlign w:val="top"/>
          </w:tcPr>
          <w:p>
            <w:pPr>
              <w:spacing w:after="0" w:line="240" w:lineRule="auto"/>
            </w:pPr>
            <w:r>
              <w:rPr>
                <w:sz w:val="14"/>
              </w:rPr>
              <w:t>FR-02</w:t>
            </w:r>
          </w:p>
        </w:tc>
        <w:tc>
          <w:tcPr>
            <w:tcW w:type="dxa" w:w="3139"/>
            <w:vAlign w:val="top"/>
          </w:tcPr>
          <w:p>
            <w:pPr>
              <w:spacing w:after="0" w:line="240" w:lineRule="auto"/>
            </w:pPr>
            <w:r>
              <w:rPr>
                <w:sz w:val="14"/>
              </w:rPr>
              <w:t>Set each approach probability to 0.00, 1.00, then a midpoint; run controlled ticks.</w:t>
            </w:r>
          </w:p>
        </w:tc>
        <w:tc>
          <w:tcPr>
            <w:tcW w:type="dxa" w:w="3240"/>
            <w:vAlign w:val="top"/>
          </w:tcPr>
          <w:p>
            <w:pPr>
              <w:spacing w:after="0" w:line="240" w:lineRule="auto"/>
            </w:pPr>
            <w:r>
              <w:rPr>
                <w:sz w:val="14"/>
              </w:rPr>
              <w:t>Accept values in range for N/S/E/W independently; probability 0 yields no arrivals and 1 yields one arrival each tick.</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TC-03</w:t>
            </w:r>
          </w:p>
        </w:tc>
        <w:tc>
          <w:tcPr>
            <w:tcW w:type="dxa" w:w="691"/>
            <w:vAlign w:val="top"/>
          </w:tcPr>
          <w:p>
            <w:pPr>
              <w:spacing w:after="0" w:line="240" w:lineRule="auto"/>
            </w:pPr>
            <w:r>
              <w:rPr>
                <w:sz w:val="14"/>
              </w:rPr>
              <w:t>FR-03</w:t>
            </w:r>
          </w:p>
        </w:tc>
        <w:tc>
          <w:tcPr>
            <w:tcW w:type="dxa" w:w="3139"/>
            <w:vAlign w:val="top"/>
          </w:tcPr>
          <w:p>
            <w:pPr>
              <w:spacing w:after="0" w:line="240" w:lineRule="auto"/>
            </w:pPr>
            <w:r>
              <w:rPr>
                <w:sz w:val="14"/>
              </w:rPr>
              <w:t>Set Fixed and Adaptive modes and each Appendix B.1 parameter at its lower and upper bounds; try invalid values.</w:t>
            </w:r>
          </w:p>
        </w:tc>
        <w:tc>
          <w:tcPr>
            <w:tcW w:type="dxa" w:w="3240"/>
            <w:vAlign w:val="top"/>
          </w:tcPr>
          <w:p>
            <w:pPr>
              <w:spacing w:after="0" w:line="240" w:lineRule="auto"/>
            </w:pPr>
            <w:r>
              <w:rPr>
                <w:sz w:val="14"/>
              </w:rPr>
              <w:t>Accept valid modes and ranges; reject invalid types, ranges, and cross-field combinations without applying them.</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TC-04</w:t>
            </w:r>
          </w:p>
        </w:tc>
        <w:tc>
          <w:tcPr>
            <w:tcW w:type="dxa" w:w="691"/>
            <w:vAlign w:val="top"/>
          </w:tcPr>
          <w:p>
            <w:pPr>
              <w:spacing w:after="0" w:line="240" w:lineRule="auto"/>
            </w:pPr>
            <w:r>
              <w:rPr>
                <w:sz w:val="14"/>
              </w:rPr>
              <w:t>FR-04</w:t>
            </w:r>
          </w:p>
        </w:tc>
        <w:tc>
          <w:tcPr>
            <w:tcW w:type="dxa" w:w="3139"/>
            <w:vAlign w:val="top"/>
          </w:tcPr>
          <w:p>
            <w:pPr>
              <w:spacing w:after="0" w:line="240" w:lineRule="auto"/>
            </w:pPr>
            <w:r>
              <w:rPr>
                <w:sz w:val="14"/>
              </w:rPr>
              <w:t>Load config.txt with valid, missing, malformed, and out-of-range entries; repeat with file absent.</w:t>
            </w:r>
          </w:p>
        </w:tc>
        <w:tc>
          <w:tcPr>
            <w:tcW w:type="dxa" w:w="3240"/>
            <w:vAlign w:val="top"/>
          </w:tcPr>
          <w:p>
            <w:pPr>
              <w:spacing w:after="0" w:line="240" w:lineRule="auto"/>
            </w:pPr>
            <w:r>
              <w:rPr>
                <w:sz w:val="14"/>
              </w:rPr>
              <w:t>Use valid values; substitute defaults and name each invalid/missing parameter in warnings; absent file follows the documented default behavior.</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TC-05</w:t>
            </w:r>
          </w:p>
        </w:tc>
        <w:tc>
          <w:tcPr>
            <w:tcW w:type="dxa" w:w="691"/>
            <w:vAlign w:val="top"/>
          </w:tcPr>
          <w:p>
            <w:pPr>
              <w:spacing w:after="0" w:line="240" w:lineRule="auto"/>
            </w:pPr>
            <w:r>
              <w:rPr>
                <w:sz w:val="14"/>
              </w:rPr>
              <w:t>FR-05</w:t>
            </w:r>
          </w:p>
        </w:tc>
        <w:tc>
          <w:tcPr>
            <w:tcW w:type="dxa" w:w="3139"/>
            <w:vAlign w:val="top"/>
          </w:tcPr>
          <w:p>
            <w:pPr>
              <w:spacing w:after="0" w:line="240" w:lineRule="auto"/>
            </w:pPr>
            <w:r>
              <w:rPr>
                <w:sz w:val="14"/>
              </w:rPr>
              <w:t>At each interactive prompt enter empty text, letters, a value below/above range, then a valid value.</w:t>
            </w:r>
          </w:p>
        </w:tc>
        <w:tc>
          <w:tcPr>
            <w:tcW w:type="dxa" w:w="3240"/>
            <w:vAlign w:val="top"/>
          </w:tcPr>
          <w:p>
            <w:pPr>
              <w:spacing w:after="0" w:line="240" w:lineRule="auto"/>
            </w:pPr>
            <w:r>
              <w:rPr>
                <w:sz w:val="14"/>
              </w:rPr>
              <w:t>Reject bad values, explain the allowed range, preserve the previous value, and prompt again; accept the valid retry.</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TC-06</w:t>
            </w:r>
          </w:p>
        </w:tc>
        <w:tc>
          <w:tcPr>
            <w:tcW w:type="dxa" w:w="691"/>
            <w:vAlign w:val="top"/>
          </w:tcPr>
          <w:p>
            <w:pPr>
              <w:spacing w:after="0" w:line="240" w:lineRule="auto"/>
            </w:pPr>
            <w:r>
              <w:rPr>
                <w:sz w:val="14"/>
              </w:rPr>
              <w:t>FR-06</w:t>
            </w:r>
          </w:p>
        </w:tc>
        <w:tc>
          <w:tcPr>
            <w:tcW w:type="dxa" w:w="3139"/>
            <w:vAlign w:val="top"/>
          </w:tcPr>
          <w:p>
            <w:pPr>
              <w:spacing w:after="0" w:line="240" w:lineRule="auto"/>
            </w:pPr>
            <w:r>
              <w:rPr>
                <w:sz w:val="14"/>
              </w:rPr>
              <w:t>Before starting a run, request the active configuration after changing several settings.</w:t>
            </w:r>
          </w:p>
        </w:tc>
        <w:tc>
          <w:tcPr>
            <w:tcW w:type="dxa" w:w="3240"/>
            <w:vAlign w:val="top"/>
          </w:tcPr>
          <w:p>
            <w:pPr>
              <w:spacing w:after="0" w:line="240" w:lineRule="auto"/>
            </w:pPr>
            <w:r>
              <w:rPr>
                <w:sz w:val="14"/>
              </w:rPr>
              <w:t>Display every active parameter and its current value, including mode, seed, and per-approach probabilities.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TC-07</w:t>
            </w:r>
          </w:p>
        </w:tc>
        <w:tc>
          <w:tcPr>
            <w:tcW w:type="dxa" w:w="691"/>
            <w:vAlign w:val="top"/>
          </w:tcPr>
          <w:p>
            <w:pPr>
              <w:spacing w:after="0" w:line="240" w:lineRule="auto"/>
            </w:pPr>
            <w:r>
              <w:rPr>
                <w:sz w:val="14"/>
              </w:rPr>
              <w:t>FR-07</w:t>
            </w:r>
          </w:p>
        </w:tc>
        <w:tc>
          <w:tcPr>
            <w:tcW w:type="dxa" w:w="3139"/>
            <w:vAlign w:val="top"/>
          </w:tcPr>
          <w:p>
            <w:pPr>
              <w:spacing w:after="0" w:line="240" w:lineRule="auto"/>
            </w:pPr>
            <w:r>
              <w:rPr>
                <w:sz w:val="14"/>
              </w:rPr>
              <w:t>Run with all probabilities 0, then all 1, for a short fixed duration.</w:t>
            </w:r>
          </w:p>
        </w:tc>
        <w:tc>
          <w:tcPr>
            <w:tcW w:type="dxa" w:w="3240"/>
            <w:vAlign w:val="top"/>
          </w:tcPr>
          <w:p>
            <w:pPr>
              <w:spacing w:after="0" w:line="240" w:lineRule="auto"/>
            </w:pPr>
            <w:r>
              <w:rPr>
                <w:sz w:val="14"/>
              </w:rPr>
              <w:t>Create zero arrivals in the first run and exactly one arrival per approach per tick in the second, subject to queue handling.</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TC-08</w:t>
            </w:r>
          </w:p>
        </w:tc>
        <w:tc>
          <w:tcPr>
            <w:tcW w:type="dxa" w:w="691"/>
            <w:vAlign w:val="top"/>
          </w:tcPr>
          <w:p>
            <w:pPr>
              <w:spacing w:after="0" w:line="240" w:lineRule="auto"/>
            </w:pPr>
            <w:r>
              <w:rPr>
                <w:sz w:val="14"/>
              </w:rPr>
              <w:t>FR-08</w:t>
            </w:r>
          </w:p>
        </w:tc>
        <w:tc>
          <w:tcPr>
            <w:tcW w:type="dxa" w:w="3139"/>
            <w:vAlign w:val="top"/>
          </w:tcPr>
          <w:p>
            <w:pPr>
              <w:spacing w:after="0" w:line="240" w:lineRule="auto"/>
            </w:pPr>
            <w:r>
              <w:rPr>
                <w:sz w:val="14"/>
              </w:rPr>
              <w:t>Generate multiple arrivals on several approaches and inspect vehicle records/events.</w:t>
            </w:r>
          </w:p>
        </w:tc>
        <w:tc>
          <w:tcPr>
            <w:tcW w:type="dxa" w:w="3240"/>
            <w:vAlign w:val="top"/>
          </w:tcPr>
          <w:p>
            <w:pPr>
              <w:spacing w:after="0" w:line="240" w:lineRule="auto"/>
            </w:pPr>
            <w:r>
              <w:rPr>
                <w:sz w:val="14"/>
              </w:rPr>
              <w:t>Every vehicle has a unique sequential ID, allowed type and approach, and the correct arrival tick.</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TC-09</w:t>
            </w:r>
          </w:p>
        </w:tc>
        <w:tc>
          <w:tcPr>
            <w:tcW w:type="dxa" w:w="691"/>
            <w:vAlign w:val="top"/>
          </w:tcPr>
          <w:p>
            <w:pPr>
              <w:spacing w:after="0" w:line="240" w:lineRule="auto"/>
            </w:pPr>
            <w:r>
              <w:rPr>
                <w:sz w:val="14"/>
              </w:rPr>
              <w:t>FR-09</w:t>
            </w:r>
          </w:p>
        </w:tc>
        <w:tc>
          <w:tcPr>
            <w:tcW w:type="dxa" w:w="3139"/>
            <w:vAlign w:val="top"/>
          </w:tcPr>
          <w:p>
            <w:pPr>
              <w:spacing w:after="0" w:line="240" w:lineRule="auto"/>
            </w:pPr>
            <w:r>
              <w:rPr>
                <w:sz w:val="14"/>
              </w:rPr>
              <w:t>Generate a large seeded sample of non-emergency vehicles and count each type.</w:t>
            </w:r>
          </w:p>
        </w:tc>
        <w:tc>
          <w:tcPr>
            <w:tcW w:type="dxa" w:w="3240"/>
            <w:vAlign w:val="top"/>
          </w:tcPr>
          <w:p>
            <w:pPr>
              <w:spacing w:after="0" w:line="240" w:lineRule="auto"/>
            </w:pPr>
            <w:r>
              <w:rPr>
                <w:sz w:val="14"/>
              </w:rPr>
              <w:t>Types follow the stated 60/25/8/7 percent proportions within a statistically agreed tolerance; record sample size and seed.</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TC-10</w:t>
            </w:r>
          </w:p>
        </w:tc>
        <w:tc>
          <w:tcPr>
            <w:tcW w:type="dxa" w:w="691"/>
            <w:vAlign w:val="top"/>
          </w:tcPr>
          <w:p>
            <w:pPr>
              <w:spacing w:after="0" w:line="240" w:lineRule="auto"/>
            </w:pPr>
            <w:r>
              <w:rPr>
                <w:sz w:val="14"/>
              </w:rPr>
              <w:t>FR-10</w:t>
            </w:r>
          </w:p>
        </w:tc>
        <w:tc>
          <w:tcPr>
            <w:tcW w:type="dxa" w:w="3139"/>
            <w:vAlign w:val="top"/>
          </w:tcPr>
          <w:p>
            <w:pPr>
              <w:spacing w:after="0" w:line="240" w:lineRule="auto"/>
            </w:pPr>
            <w:r>
              <w:rPr>
                <w:sz w:val="14"/>
              </w:rPr>
              <w:t>With arrival probability 1, run large samples at emergency probabilities 0 and 1, then a seeded midpoint.</w:t>
            </w:r>
          </w:p>
        </w:tc>
        <w:tc>
          <w:tcPr>
            <w:tcW w:type="dxa" w:w="3240"/>
            <w:vAlign w:val="top"/>
          </w:tcPr>
          <w:p>
            <w:pPr>
              <w:spacing w:after="0" w:line="240" w:lineRule="auto"/>
            </w:pPr>
            <w:r>
              <w:rPr>
                <w:sz w:val="14"/>
              </w:rPr>
              <w:t>No arrivals are emergency at 0; all are emergency at 1; midpoint frequency follows configured probability within an agreed tolerance.</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TC-11</w:t>
            </w:r>
          </w:p>
        </w:tc>
        <w:tc>
          <w:tcPr>
            <w:tcW w:type="dxa" w:w="691"/>
            <w:vAlign w:val="top"/>
          </w:tcPr>
          <w:p>
            <w:pPr>
              <w:spacing w:after="0" w:line="240" w:lineRule="auto"/>
            </w:pPr>
            <w:r>
              <w:rPr>
                <w:sz w:val="14"/>
              </w:rPr>
              <w:t>FR-11</w:t>
            </w:r>
          </w:p>
        </w:tc>
        <w:tc>
          <w:tcPr>
            <w:tcW w:type="dxa" w:w="3139"/>
            <w:vAlign w:val="top"/>
          </w:tcPr>
          <w:p>
            <w:pPr>
              <w:spacing w:after="0" w:line="240" w:lineRule="auto"/>
            </w:pPr>
            <w:r>
              <w:rPr>
                <w:sz w:val="14"/>
              </w:rPr>
              <w:t>Run twice with identical parameters and seed; repeat with a different seed.</w:t>
            </w:r>
          </w:p>
        </w:tc>
        <w:tc>
          <w:tcPr>
            <w:tcW w:type="dxa" w:w="3240"/>
            <w:vAlign w:val="top"/>
          </w:tcPr>
          <w:p>
            <w:pPr>
              <w:spacing w:after="0" w:line="240" w:lineRule="auto"/>
            </w:pPr>
            <w:r>
              <w:rPr>
                <w:sz w:val="14"/>
              </w:rPr>
              <w:t>Identical seed/configuration produces an identical vehicle sequence; a changed seed can produce a different sequence.</w:t>
            </w:r>
          </w:p>
        </w:tc>
        <w:tc>
          <w:tcPr>
            <w:tcW w:type="dxa" w:w="878"/>
            <w:vAlign w:val="top"/>
          </w:tcPr>
          <w:p>
            <w:pPr>
              <w:spacing w:after="0" w:line="240" w:lineRule="auto"/>
            </w:pPr>
            <w:r>
              <w:rPr>
                <w:sz w:val="14"/>
              </w:rPr>
              <w:t>Not run</w:t>
            </w:r>
          </w:p>
        </w:tc>
      </w:tr>
    </w:tbl>
    <w:p>
      <w:pPr>
        <w:pStyle w:val="Heading2"/>
        <w:keepNext/>
      </w:pPr>
      <w:r>
        <w:t>5.2 Lane Queue Management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691"/>
            <w:vAlign w:val="center"/>
          </w:tcPr>
          <w:p>
            <w:pPr>
              <w:spacing w:after="0"/>
            </w:pPr>
            <w:r>
              <w:rPr>
                <w:b/>
                <w:color w:val="366091"/>
                <w:sz w:val="16"/>
              </w:rPr>
              <w:t>Case ID</w:t>
            </w:r>
          </w:p>
        </w:tc>
        <w:tc>
          <w:tcPr>
            <w:tcW w:type="dxa" w:w="691"/>
            <w:vAlign w:val="center"/>
          </w:tcPr>
          <w:p>
            <w:pPr>
              <w:spacing w:after="0"/>
            </w:pPr>
            <w:r>
              <w:rPr>
                <w:b/>
                <w:color w:val="366091"/>
                <w:sz w:val="16"/>
              </w:rPr>
              <w:t>Req ID</w:t>
            </w:r>
          </w:p>
        </w:tc>
        <w:tc>
          <w:tcPr>
            <w:tcW w:type="dxa" w:w="3139"/>
            <w:vAlign w:val="center"/>
          </w:tcPr>
          <w:p>
            <w:pPr>
              <w:spacing w:after="0"/>
            </w:pPr>
            <w:r>
              <w:rPr>
                <w:b/>
                <w:color w:val="366091"/>
                <w:sz w:val="16"/>
              </w:rPr>
              <w:t>What to do</w:t>
            </w:r>
          </w:p>
        </w:tc>
        <w:tc>
          <w:tcPr>
            <w:tcW w:type="dxa" w:w="3240"/>
            <w:vAlign w:val="center"/>
          </w:tcPr>
          <w:p>
            <w:pPr>
              <w:spacing w:after="0"/>
            </w:pPr>
            <w:r>
              <w:rPr>
                <w:b/>
                <w:color w:val="366091"/>
                <w:sz w:val="16"/>
              </w:rPr>
              <w:t>Expected result</w:t>
            </w:r>
          </w:p>
        </w:tc>
        <w:tc>
          <w:tcPr>
            <w:tcW w:type="dxa" w:w="878"/>
            <w:vAlign w:val="center"/>
          </w:tcPr>
          <w:p>
            <w:pPr>
              <w:spacing w:after="0"/>
            </w:pPr>
            <w:r>
              <w:rPr>
                <w:b/>
                <w:color w:val="366091"/>
                <w:sz w:val="16"/>
              </w:rPr>
              <w:t>Status</w:t>
            </w:r>
          </w:p>
        </w:tc>
      </w:tr>
      <w:tr>
        <w:trPr>
          <w:cantSplit/>
        </w:trPr>
        <w:tc>
          <w:tcPr>
            <w:tcW w:type="dxa" w:w="691"/>
            <w:vAlign w:val="top"/>
          </w:tcPr>
          <w:p>
            <w:pPr>
              <w:spacing w:after="0" w:line="240" w:lineRule="auto"/>
            </w:pPr>
            <w:r>
              <w:rPr>
                <w:sz w:val="14"/>
              </w:rPr>
              <w:t>TC-12</w:t>
            </w:r>
          </w:p>
        </w:tc>
        <w:tc>
          <w:tcPr>
            <w:tcW w:type="dxa" w:w="691"/>
            <w:vAlign w:val="top"/>
          </w:tcPr>
          <w:p>
            <w:pPr>
              <w:spacing w:after="0" w:line="240" w:lineRule="auto"/>
            </w:pPr>
            <w:r>
              <w:rPr>
                <w:sz w:val="14"/>
              </w:rPr>
              <w:t>FR-12</w:t>
            </w:r>
          </w:p>
        </w:tc>
        <w:tc>
          <w:tcPr>
            <w:tcW w:type="dxa" w:w="3139"/>
            <w:vAlign w:val="top"/>
          </w:tcPr>
          <w:p>
            <w:pPr>
              <w:spacing w:after="0" w:line="240" w:lineRule="auto"/>
            </w:pPr>
            <w:r>
              <w:rPr>
                <w:sz w:val="14"/>
              </w:rPr>
              <w:t>Enqueue distinguishable vehicles separately on N, S, E, and W; inspect sizes and fronts.</w:t>
            </w:r>
          </w:p>
        </w:tc>
        <w:tc>
          <w:tcPr>
            <w:tcW w:type="dxa" w:w="3240"/>
            <w:vAlign w:val="top"/>
          </w:tcPr>
          <w:p>
            <w:pPr>
              <w:spacing w:after="0" w:line="240" w:lineRule="auto"/>
            </w:pPr>
            <w:r>
              <w:rPr>
                <w:sz w:val="14"/>
              </w:rPr>
              <w:t>Each approach has an independent queue; operations on one queue do not alter another.</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TC-13</w:t>
            </w:r>
          </w:p>
        </w:tc>
        <w:tc>
          <w:tcPr>
            <w:tcW w:type="dxa" w:w="691"/>
            <w:vAlign w:val="top"/>
          </w:tcPr>
          <w:p>
            <w:pPr>
              <w:spacing w:after="0" w:line="240" w:lineRule="auto"/>
            </w:pPr>
            <w:r>
              <w:rPr>
                <w:sz w:val="14"/>
              </w:rPr>
              <w:t>FR-13</w:t>
            </w:r>
          </w:p>
        </w:tc>
        <w:tc>
          <w:tcPr>
            <w:tcW w:type="dxa" w:w="3139"/>
            <w:vAlign w:val="top"/>
          </w:tcPr>
          <w:p>
            <w:pPr>
              <w:spacing w:after="0" w:line="240" w:lineRule="auto"/>
            </w:pPr>
            <w:r>
              <w:rPr>
                <w:sz w:val="14"/>
              </w:rPr>
              <w:t>Exercise enqueue, dequeue, front, isEmpty, isFull, and size at empty, partial, and full states; review operation complexity.</w:t>
            </w:r>
          </w:p>
        </w:tc>
        <w:tc>
          <w:tcPr>
            <w:tcW w:type="dxa" w:w="3240"/>
            <w:vAlign w:val="top"/>
          </w:tcPr>
          <w:p>
            <w:pPr>
              <w:spacing w:after="0" w:line="240" w:lineRule="auto"/>
            </w:pPr>
            <w:r>
              <w:rPr>
                <w:sz w:val="14"/>
              </w:rPr>
              <w:t>Each operation returns correct results and uses constant-time queue endpoints/size tracking.</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TC-14</w:t>
            </w:r>
          </w:p>
        </w:tc>
        <w:tc>
          <w:tcPr>
            <w:tcW w:type="dxa" w:w="691"/>
            <w:vAlign w:val="top"/>
          </w:tcPr>
          <w:p>
            <w:pPr>
              <w:spacing w:after="0" w:line="240" w:lineRule="auto"/>
            </w:pPr>
            <w:r>
              <w:rPr>
                <w:sz w:val="14"/>
              </w:rPr>
              <w:t>FR-14</w:t>
            </w:r>
          </w:p>
        </w:tc>
        <w:tc>
          <w:tcPr>
            <w:tcW w:type="dxa" w:w="3139"/>
            <w:vAlign w:val="top"/>
          </w:tcPr>
          <w:p>
            <w:pPr>
              <w:spacing w:after="0" w:line="240" w:lineRule="auto"/>
            </w:pPr>
            <w:r>
              <w:rPr>
                <w:sz w:val="14"/>
              </w:rPr>
              <w:t>Enqueue several same-priority vehicles with known arrival order and serve them.</w:t>
            </w:r>
          </w:p>
        </w:tc>
        <w:tc>
          <w:tcPr>
            <w:tcW w:type="dxa" w:w="3240"/>
            <w:vAlign w:val="top"/>
          </w:tcPr>
          <w:p>
            <w:pPr>
              <w:spacing w:after="0" w:line="240" w:lineRule="auto"/>
            </w:pPr>
            <w:r>
              <w:rPr>
                <w:sz w:val="14"/>
              </w:rPr>
              <w:t>Vehicles of the same priority leave in arrival order.</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TC-15</w:t>
            </w:r>
          </w:p>
        </w:tc>
        <w:tc>
          <w:tcPr>
            <w:tcW w:type="dxa" w:w="691"/>
            <w:vAlign w:val="top"/>
          </w:tcPr>
          <w:p>
            <w:pPr>
              <w:spacing w:after="0" w:line="240" w:lineRule="auto"/>
            </w:pPr>
            <w:r>
              <w:rPr>
                <w:sz w:val="14"/>
              </w:rPr>
              <w:t>FR-15</w:t>
            </w:r>
          </w:p>
        </w:tc>
        <w:tc>
          <w:tcPr>
            <w:tcW w:type="dxa" w:w="3139"/>
            <w:vAlign w:val="top"/>
          </w:tcPr>
          <w:p>
            <w:pPr>
              <w:spacing w:after="0" w:line="240" w:lineRule="auto"/>
            </w:pPr>
            <w:r>
              <w:rPr>
                <w:sz w:val="14"/>
              </w:rPr>
              <w:t>Set capacity to 1; fill one queue and generate another arrival for it.</w:t>
            </w:r>
          </w:p>
        </w:tc>
        <w:tc>
          <w:tcPr>
            <w:tcW w:type="dxa" w:w="3240"/>
            <w:vAlign w:val="top"/>
          </w:tcPr>
          <w:p>
            <w:pPr>
              <w:spacing w:after="0" w:line="240" w:lineRule="auto"/>
            </w:pPr>
            <w:r>
              <w:rPr>
                <w:sz w:val="14"/>
              </w:rPr>
              <w:t>Reject the extra vehicle, increment blocked count, preserve queue contents, and record BLOCKED with tick/approach.</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TC-16</w:t>
            </w:r>
          </w:p>
        </w:tc>
        <w:tc>
          <w:tcPr>
            <w:tcW w:type="dxa" w:w="691"/>
            <w:vAlign w:val="top"/>
          </w:tcPr>
          <w:p>
            <w:pPr>
              <w:spacing w:after="0" w:line="240" w:lineRule="auto"/>
            </w:pPr>
            <w:r>
              <w:rPr>
                <w:sz w:val="14"/>
              </w:rPr>
              <w:t>FR-16</w:t>
            </w:r>
          </w:p>
        </w:tc>
        <w:tc>
          <w:tcPr>
            <w:tcW w:type="dxa" w:w="3139"/>
            <w:vAlign w:val="top"/>
          </w:tcPr>
          <w:p>
            <w:pPr>
              <w:spacing w:after="0" w:line="240" w:lineRule="auto"/>
            </w:pPr>
            <w:r>
              <w:rPr>
                <w:sz w:val="14"/>
              </w:rPr>
              <w:t>Serve vehicles with known arrival ticks and inspect departure records.</w:t>
            </w:r>
          </w:p>
        </w:tc>
        <w:tc>
          <w:tcPr>
            <w:tcW w:type="dxa" w:w="3240"/>
            <w:vAlign w:val="top"/>
          </w:tcPr>
          <w:p>
            <w:pPr>
              <w:spacing w:after="0" w:line="240" w:lineRule="auto"/>
            </w:pPr>
            <w:r>
              <w:rPr>
                <w:sz w:val="14"/>
              </w:rPr>
              <w:t>Record departure tick and calculate waiting time as departure tick minus arrival tick.</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TC-17</w:t>
            </w:r>
          </w:p>
        </w:tc>
        <w:tc>
          <w:tcPr>
            <w:tcW w:type="dxa" w:w="691"/>
            <w:vAlign w:val="top"/>
          </w:tcPr>
          <w:p>
            <w:pPr>
              <w:spacing w:after="0" w:line="240" w:lineRule="auto"/>
            </w:pPr>
            <w:r>
              <w:rPr>
                <w:sz w:val="14"/>
              </w:rPr>
              <w:t>FR-17</w:t>
            </w:r>
          </w:p>
        </w:tc>
        <w:tc>
          <w:tcPr>
            <w:tcW w:type="dxa" w:w="3139"/>
            <w:vAlign w:val="top"/>
          </w:tcPr>
          <w:p>
            <w:pPr>
              <w:spacing w:after="0" w:line="240" w:lineRule="auto"/>
            </w:pPr>
            <w:r>
              <w:rPr>
                <w:sz w:val="14"/>
              </w:rPr>
              <w:t>Run, dequeue vehicles, reset with queued vehicles, and exit; use AddressSanitizer or Valgrind.</w:t>
            </w:r>
          </w:p>
        </w:tc>
        <w:tc>
          <w:tcPr>
            <w:tcW w:type="dxa" w:w="3240"/>
            <w:vAlign w:val="top"/>
          </w:tcPr>
          <w:p>
            <w:pPr>
              <w:spacing w:after="0" w:line="240" w:lineRule="auto"/>
            </w:pPr>
            <w:r>
              <w:rPr>
                <w:sz w:val="14"/>
              </w:rPr>
              <w:t>All vehicle memory is released on departure, reset, and exit; no leak or invalid access is reported.</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TC-18</w:t>
            </w:r>
          </w:p>
        </w:tc>
        <w:tc>
          <w:tcPr>
            <w:tcW w:type="dxa" w:w="691"/>
            <w:vAlign w:val="top"/>
          </w:tcPr>
          <w:p>
            <w:pPr>
              <w:spacing w:after="0" w:line="240" w:lineRule="auto"/>
            </w:pPr>
            <w:r>
              <w:rPr>
                <w:sz w:val="14"/>
              </w:rPr>
              <w:t>FR-18</w:t>
            </w:r>
          </w:p>
        </w:tc>
        <w:tc>
          <w:tcPr>
            <w:tcW w:type="dxa" w:w="3139"/>
            <w:vAlign w:val="top"/>
          </w:tcPr>
          <w:p>
            <w:pPr>
              <w:spacing w:after="0" w:line="240" w:lineRule="auto"/>
            </w:pPr>
            <w:r>
              <w:rPr>
                <w:sz w:val="14"/>
              </w:rPr>
              <w:t>Request queue lengths after enqueue/dequeue on each approach.</w:t>
            </w:r>
          </w:p>
        </w:tc>
        <w:tc>
          <w:tcPr>
            <w:tcW w:type="dxa" w:w="3240"/>
            <w:vAlign w:val="top"/>
          </w:tcPr>
          <w:p>
            <w:pPr>
              <w:spacing w:after="0" w:line="240" w:lineRule="auto"/>
            </w:pPr>
            <w:r>
              <w:rPr>
                <w:sz w:val="14"/>
              </w:rPr>
              <w:t>Current length for all four approaches is available to display, signal, and statistics consumers.</w:t>
            </w:r>
          </w:p>
        </w:tc>
        <w:tc>
          <w:tcPr>
            <w:tcW w:type="dxa" w:w="878"/>
            <w:vAlign w:val="top"/>
          </w:tcPr>
          <w:p>
            <w:pPr>
              <w:spacing w:after="0" w:line="240" w:lineRule="auto"/>
            </w:pPr>
            <w:r>
              <w:rPr>
                <w:sz w:val="14"/>
              </w:rPr>
              <w:t>Not run</w:t>
            </w:r>
          </w:p>
        </w:tc>
      </w:tr>
    </w:tbl>
    <w:p>
      <w:pPr>
        <w:pStyle w:val="Heading2"/>
        <w:keepNext/>
      </w:pPr>
      <w:r>
        <w:t>5.3 Traffic Signal Control</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691"/>
            <w:vAlign w:val="center"/>
          </w:tcPr>
          <w:p>
            <w:pPr>
              <w:spacing w:after="0"/>
            </w:pPr>
            <w:r>
              <w:rPr>
                <w:b/>
                <w:color w:val="366091"/>
                <w:sz w:val="16"/>
              </w:rPr>
              <w:t>Case ID</w:t>
            </w:r>
          </w:p>
        </w:tc>
        <w:tc>
          <w:tcPr>
            <w:tcW w:type="dxa" w:w="691"/>
            <w:vAlign w:val="center"/>
          </w:tcPr>
          <w:p>
            <w:pPr>
              <w:spacing w:after="0"/>
            </w:pPr>
            <w:r>
              <w:rPr>
                <w:b/>
                <w:color w:val="366091"/>
                <w:sz w:val="16"/>
              </w:rPr>
              <w:t>Req ID</w:t>
            </w:r>
          </w:p>
        </w:tc>
        <w:tc>
          <w:tcPr>
            <w:tcW w:type="dxa" w:w="3139"/>
            <w:vAlign w:val="center"/>
          </w:tcPr>
          <w:p>
            <w:pPr>
              <w:spacing w:after="0"/>
            </w:pPr>
            <w:r>
              <w:rPr>
                <w:b/>
                <w:color w:val="366091"/>
                <w:sz w:val="16"/>
              </w:rPr>
              <w:t>What to do</w:t>
            </w:r>
          </w:p>
        </w:tc>
        <w:tc>
          <w:tcPr>
            <w:tcW w:type="dxa" w:w="3240"/>
            <w:vAlign w:val="center"/>
          </w:tcPr>
          <w:p>
            <w:pPr>
              <w:spacing w:after="0"/>
            </w:pPr>
            <w:r>
              <w:rPr>
                <w:b/>
                <w:color w:val="366091"/>
                <w:sz w:val="16"/>
              </w:rPr>
              <w:t>Expected result</w:t>
            </w:r>
          </w:p>
        </w:tc>
        <w:tc>
          <w:tcPr>
            <w:tcW w:type="dxa" w:w="878"/>
            <w:vAlign w:val="center"/>
          </w:tcPr>
          <w:p>
            <w:pPr>
              <w:spacing w:after="0"/>
            </w:pPr>
            <w:r>
              <w:rPr>
                <w:b/>
                <w:color w:val="366091"/>
                <w:sz w:val="16"/>
              </w:rPr>
              <w:t>Status</w:t>
            </w:r>
          </w:p>
        </w:tc>
      </w:tr>
      <w:tr>
        <w:trPr>
          <w:cantSplit/>
        </w:trPr>
        <w:tc>
          <w:tcPr>
            <w:tcW w:type="dxa" w:w="691"/>
            <w:vAlign w:val="top"/>
          </w:tcPr>
          <w:p>
            <w:pPr>
              <w:spacing w:after="0" w:line="240" w:lineRule="auto"/>
            </w:pPr>
            <w:r>
              <w:rPr>
                <w:sz w:val="14"/>
              </w:rPr>
              <w:t>TC-19</w:t>
            </w:r>
          </w:p>
        </w:tc>
        <w:tc>
          <w:tcPr>
            <w:tcW w:type="dxa" w:w="691"/>
            <w:vAlign w:val="top"/>
          </w:tcPr>
          <w:p>
            <w:pPr>
              <w:spacing w:after="0" w:line="240" w:lineRule="auto"/>
            </w:pPr>
            <w:r>
              <w:rPr>
                <w:sz w:val="14"/>
              </w:rPr>
              <w:t>FR-19</w:t>
            </w:r>
          </w:p>
        </w:tc>
        <w:tc>
          <w:tcPr>
            <w:tcW w:type="dxa" w:w="3139"/>
            <w:vAlign w:val="top"/>
          </w:tcPr>
          <w:p>
            <w:pPr>
              <w:spacing w:after="0" w:line="240" w:lineRule="auto"/>
            </w:pPr>
            <w:r>
              <w:rPr>
                <w:sz w:val="14"/>
              </w:rPr>
              <w:t>Advance a complete normal signal cycle and capture every state.</w:t>
            </w:r>
          </w:p>
        </w:tc>
        <w:tc>
          <w:tcPr>
            <w:tcW w:type="dxa" w:w="3240"/>
            <w:vAlign w:val="top"/>
          </w:tcPr>
          <w:p>
            <w:pPr>
              <w:spacing w:after="0" w:line="240" w:lineRule="auto"/>
            </w:pPr>
            <w:r>
              <w:rPr>
                <w:sz w:val="14"/>
              </w:rPr>
              <w:t>States occur in order NS_GREEN, NS_YELLOW, ALL_RED, EW_GREEN, EW_YELLOW, ALL_RED, then repeat.</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TC-20</w:t>
            </w:r>
          </w:p>
        </w:tc>
        <w:tc>
          <w:tcPr>
            <w:tcW w:type="dxa" w:w="691"/>
            <w:vAlign w:val="top"/>
          </w:tcPr>
          <w:p>
            <w:pPr>
              <w:spacing w:after="0" w:line="240" w:lineRule="auto"/>
            </w:pPr>
            <w:r>
              <w:rPr>
                <w:sz w:val="14"/>
              </w:rPr>
              <w:t>FR-20</w:t>
            </w:r>
          </w:p>
        </w:tc>
        <w:tc>
          <w:tcPr>
            <w:tcW w:type="dxa" w:w="3139"/>
            <w:vAlign w:val="top"/>
          </w:tcPr>
          <w:p>
            <w:pPr>
              <w:spacing w:after="0" w:line="240" w:lineRule="auto"/>
            </w:pPr>
            <w:r>
              <w:rPr>
                <w:sz w:val="14"/>
              </w:rPr>
              <w:t>Observe signal outputs and safety check on every tick through normal and emergency runs.</w:t>
            </w:r>
          </w:p>
        </w:tc>
        <w:tc>
          <w:tcPr>
            <w:tcW w:type="dxa" w:w="3240"/>
            <w:vAlign w:val="top"/>
          </w:tcPr>
          <w:p>
            <w:pPr>
              <w:spacing w:after="0" w:line="240" w:lineRule="auto"/>
            </w:pPr>
            <w:r>
              <w:rPr>
                <w:sz w:val="14"/>
              </w:rPr>
              <w:t>NS and EW are never GREEN/YELLOW concurrently; safety condition is checked each tick.</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TC-21</w:t>
            </w:r>
          </w:p>
        </w:tc>
        <w:tc>
          <w:tcPr>
            <w:tcW w:type="dxa" w:w="691"/>
            <w:vAlign w:val="top"/>
          </w:tcPr>
          <w:p>
            <w:pPr>
              <w:spacing w:after="0" w:line="240" w:lineRule="auto"/>
            </w:pPr>
            <w:r>
              <w:rPr>
                <w:sz w:val="14"/>
              </w:rPr>
              <w:t>FR-21</w:t>
            </w:r>
          </w:p>
        </w:tc>
        <w:tc>
          <w:tcPr>
            <w:tcW w:type="dxa" w:w="3139"/>
            <w:vAlign w:val="top"/>
          </w:tcPr>
          <w:p>
            <w:pPr>
              <w:spacing w:after="0" w:line="240" w:lineRule="auto"/>
            </w:pPr>
            <w:r>
              <w:rPr>
                <w:sz w:val="14"/>
              </w:rPr>
              <w:t>In Fixed mode, configure green=10 and yellow=2; measure each phase and All-Red.</w:t>
            </w:r>
          </w:p>
        </w:tc>
        <w:tc>
          <w:tcPr>
            <w:tcW w:type="dxa" w:w="3240"/>
            <w:vAlign w:val="top"/>
          </w:tcPr>
          <w:p>
            <w:pPr>
              <w:spacing w:after="0" w:line="240" w:lineRule="auto"/>
            </w:pPr>
            <w:r>
              <w:rPr>
                <w:sz w:val="14"/>
              </w:rPr>
              <w:t>Green lasts configured duration, yellow lasts configured duration, and each All-Red lasts one tick.</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TC-22</w:t>
            </w:r>
          </w:p>
        </w:tc>
        <w:tc>
          <w:tcPr>
            <w:tcW w:type="dxa" w:w="691"/>
            <w:vAlign w:val="top"/>
          </w:tcPr>
          <w:p>
            <w:pPr>
              <w:spacing w:after="0" w:line="240" w:lineRule="auto"/>
            </w:pPr>
            <w:r>
              <w:rPr>
                <w:sz w:val="14"/>
              </w:rPr>
              <w:t>FR-22</w:t>
            </w:r>
          </w:p>
        </w:tc>
        <w:tc>
          <w:tcPr>
            <w:tcW w:type="dxa" w:w="3139"/>
            <w:vAlign w:val="top"/>
          </w:tcPr>
          <w:p>
            <w:pPr>
              <w:spacing w:after="0" w:line="240" w:lineRule="auto"/>
            </w:pPr>
            <w:r>
              <w:rPr>
                <w:sz w:val="14"/>
              </w:rPr>
              <w:t>In Adaptive mode test next-phase queue totals 0, 1, 2, 3, and a value that exceeds Gmax.</w:t>
            </w:r>
          </w:p>
        </w:tc>
        <w:tc>
          <w:tcPr>
            <w:tcW w:type="dxa" w:w="3240"/>
            <w:vAlign w:val="top"/>
          </w:tcPr>
          <w:p>
            <w:pPr>
              <w:spacing w:after="0" w:line="240" w:lineRule="auto"/>
            </w:pPr>
            <w:r>
              <w:rPr>
                <w:sz w:val="14"/>
              </w:rPr>
              <w:t>Green duration equals Gmin + ceil(waiting vehicles/2), capped at Gmax; verify minimum and maximum bounds.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TC-23</w:t>
            </w:r>
          </w:p>
        </w:tc>
        <w:tc>
          <w:tcPr>
            <w:tcW w:type="dxa" w:w="691"/>
            <w:vAlign w:val="top"/>
          </w:tcPr>
          <w:p>
            <w:pPr>
              <w:spacing w:after="0" w:line="240" w:lineRule="auto"/>
            </w:pPr>
            <w:r>
              <w:rPr>
                <w:sz w:val="14"/>
              </w:rPr>
              <w:t>FR-23</w:t>
            </w:r>
          </w:p>
        </w:tc>
        <w:tc>
          <w:tcPr>
            <w:tcW w:type="dxa" w:w="3139"/>
            <w:vAlign w:val="top"/>
          </w:tcPr>
          <w:p>
            <w:pPr>
              <w:spacing w:after="0" w:line="240" w:lineRule="auto"/>
            </w:pPr>
            <w:r>
              <w:rPr>
                <w:sz w:val="14"/>
              </w:rPr>
              <w:t>Set discharge rate to 2; queue vehicles on GREEN, YELLOW, and RED approaches.</w:t>
            </w:r>
          </w:p>
        </w:tc>
        <w:tc>
          <w:tcPr>
            <w:tcW w:type="dxa" w:w="3240"/>
            <w:vAlign w:val="top"/>
          </w:tcPr>
          <w:p>
            <w:pPr>
              <w:spacing w:after="0" w:line="240" w:lineRule="auto"/>
            </w:pPr>
            <w:r>
              <w:rPr>
                <w:sz w:val="14"/>
              </w:rPr>
              <w:t>At most two leave each GREEN approach per tick; none leave on YELLOW or RED.</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TC-24</w:t>
            </w:r>
          </w:p>
        </w:tc>
        <w:tc>
          <w:tcPr>
            <w:tcW w:type="dxa" w:w="691"/>
            <w:vAlign w:val="top"/>
          </w:tcPr>
          <w:p>
            <w:pPr>
              <w:spacing w:after="0" w:line="240" w:lineRule="auto"/>
            </w:pPr>
            <w:r>
              <w:rPr>
                <w:sz w:val="14"/>
              </w:rPr>
              <w:t>FR-24</w:t>
            </w:r>
          </w:p>
        </w:tc>
        <w:tc>
          <w:tcPr>
            <w:tcW w:type="dxa" w:w="3139"/>
            <w:vAlign w:val="top"/>
          </w:tcPr>
          <w:p>
            <w:pPr>
              <w:spacing w:after="0" w:line="240" w:lineRule="auto"/>
            </w:pPr>
            <w:r>
              <w:rPr>
                <w:sz w:val="14"/>
              </w:rPr>
              <w:t>At each signal state, inspect the display data for all four approaches and remaining ticks.</w:t>
            </w:r>
          </w:p>
        </w:tc>
        <w:tc>
          <w:tcPr>
            <w:tcW w:type="dxa" w:w="3240"/>
            <w:vAlign w:val="top"/>
          </w:tcPr>
          <w:p>
            <w:pPr>
              <w:spacing w:after="0" w:line="240" w:lineRule="auto"/>
            </w:pPr>
            <w:r>
              <w:rPr>
                <w:sz w:val="14"/>
              </w:rPr>
              <w:t>Display receives the correct per-approach signal and ticks remaining.</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TC-25</w:t>
            </w:r>
          </w:p>
        </w:tc>
        <w:tc>
          <w:tcPr>
            <w:tcW w:type="dxa" w:w="691"/>
            <w:vAlign w:val="top"/>
          </w:tcPr>
          <w:p>
            <w:pPr>
              <w:spacing w:after="0" w:line="240" w:lineRule="auto"/>
            </w:pPr>
            <w:r>
              <w:rPr>
                <w:sz w:val="14"/>
              </w:rPr>
              <w:t>FR-25</w:t>
            </w:r>
          </w:p>
        </w:tc>
        <w:tc>
          <w:tcPr>
            <w:tcW w:type="dxa" w:w="3139"/>
            <w:vAlign w:val="top"/>
          </w:tcPr>
          <w:p>
            <w:pPr>
              <w:spacing w:after="0" w:line="240" w:lineRule="auto"/>
            </w:pPr>
            <w:r>
              <w:rPr>
                <w:sz w:val="14"/>
              </w:rPr>
              <w:t>Run through zero, one, and multiple complete signal cycles.</w:t>
            </w:r>
          </w:p>
        </w:tc>
        <w:tc>
          <w:tcPr>
            <w:tcW w:type="dxa" w:w="3240"/>
            <w:vAlign w:val="top"/>
          </w:tcPr>
          <w:p>
            <w:pPr>
              <w:spacing w:after="0" w:line="240" w:lineRule="auto"/>
            </w:pPr>
            <w:r>
              <w:rPr>
                <w:sz w:val="14"/>
              </w:rPr>
              <w:t>Cycle counter increments once per completed cycle and is reported correctly.</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TC-26</w:t>
            </w:r>
          </w:p>
        </w:tc>
        <w:tc>
          <w:tcPr>
            <w:tcW w:type="dxa" w:w="691"/>
            <w:vAlign w:val="top"/>
          </w:tcPr>
          <w:p>
            <w:pPr>
              <w:spacing w:after="0" w:line="240" w:lineRule="auto"/>
            </w:pPr>
            <w:r>
              <w:rPr>
                <w:sz w:val="14"/>
              </w:rPr>
              <w:t>FR-26</w:t>
            </w:r>
          </w:p>
        </w:tc>
        <w:tc>
          <w:tcPr>
            <w:tcW w:type="dxa" w:w="3139"/>
            <w:vAlign w:val="top"/>
          </w:tcPr>
          <w:p>
            <w:pPr>
              <w:spacing w:after="0" w:line="240" w:lineRule="auto"/>
            </w:pPr>
            <w:r>
              <w:rPr>
                <w:sz w:val="14"/>
              </w:rPr>
              <w:t>Change signal timings during a cycle and observe current and next cycle.</w:t>
            </w:r>
          </w:p>
        </w:tc>
        <w:tc>
          <w:tcPr>
            <w:tcW w:type="dxa" w:w="3240"/>
            <w:vAlign w:val="top"/>
          </w:tcPr>
          <w:p>
            <w:pPr>
              <w:spacing w:after="0" w:line="240" w:lineRule="auto"/>
            </w:pPr>
            <w:r>
              <w:rPr>
                <w:sz w:val="14"/>
              </w:rPr>
              <w:t>Current cycle uses existing timings; changed timings take effect only at the next cycle start.</w:t>
            </w:r>
          </w:p>
        </w:tc>
        <w:tc>
          <w:tcPr>
            <w:tcW w:type="dxa" w:w="878"/>
            <w:vAlign w:val="top"/>
          </w:tcPr>
          <w:p>
            <w:pPr>
              <w:spacing w:after="0" w:line="240" w:lineRule="auto"/>
            </w:pPr>
            <w:r>
              <w:rPr>
                <w:sz w:val="14"/>
              </w:rPr>
              <w:t>Not run</w:t>
            </w:r>
          </w:p>
        </w:tc>
      </w:tr>
    </w:tbl>
    <w:p>
      <w:pPr>
        <w:pStyle w:val="Heading2"/>
        <w:keepNext/>
      </w:pPr>
      <w:r>
        <w:t>5.4 Emergency Vehicle Priority</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691"/>
            <w:vAlign w:val="center"/>
          </w:tcPr>
          <w:p>
            <w:pPr>
              <w:spacing w:after="0"/>
            </w:pPr>
            <w:r>
              <w:rPr>
                <w:b/>
                <w:color w:val="366091"/>
                <w:sz w:val="16"/>
              </w:rPr>
              <w:t>Case ID</w:t>
            </w:r>
          </w:p>
        </w:tc>
        <w:tc>
          <w:tcPr>
            <w:tcW w:type="dxa" w:w="691"/>
            <w:vAlign w:val="center"/>
          </w:tcPr>
          <w:p>
            <w:pPr>
              <w:spacing w:after="0"/>
            </w:pPr>
            <w:r>
              <w:rPr>
                <w:b/>
                <w:color w:val="366091"/>
                <w:sz w:val="16"/>
              </w:rPr>
              <w:t>Req ID</w:t>
            </w:r>
          </w:p>
        </w:tc>
        <w:tc>
          <w:tcPr>
            <w:tcW w:type="dxa" w:w="3139"/>
            <w:vAlign w:val="center"/>
          </w:tcPr>
          <w:p>
            <w:pPr>
              <w:spacing w:after="0"/>
            </w:pPr>
            <w:r>
              <w:rPr>
                <w:b/>
                <w:color w:val="366091"/>
                <w:sz w:val="16"/>
              </w:rPr>
              <w:t>What to do</w:t>
            </w:r>
          </w:p>
        </w:tc>
        <w:tc>
          <w:tcPr>
            <w:tcW w:type="dxa" w:w="3240"/>
            <w:vAlign w:val="center"/>
          </w:tcPr>
          <w:p>
            <w:pPr>
              <w:spacing w:after="0"/>
            </w:pPr>
            <w:r>
              <w:rPr>
                <w:b/>
                <w:color w:val="366091"/>
                <w:sz w:val="16"/>
              </w:rPr>
              <w:t>Expected result</w:t>
            </w:r>
          </w:p>
        </w:tc>
        <w:tc>
          <w:tcPr>
            <w:tcW w:type="dxa" w:w="878"/>
            <w:vAlign w:val="center"/>
          </w:tcPr>
          <w:p>
            <w:pPr>
              <w:spacing w:after="0"/>
            </w:pPr>
            <w:r>
              <w:rPr>
                <w:b/>
                <w:color w:val="366091"/>
                <w:sz w:val="16"/>
              </w:rPr>
              <w:t>Status</w:t>
            </w:r>
          </w:p>
        </w:tc>
      </w:tr>
      <w:tr>
        <w:trPr>
          <w:cantSplit/>
        </w:trPr>
        <w:tc>
          <w:tcPr>
            <w:tcW w:type="dxa" w:w="691"/>
            <w:vAlign w:val="top"/>
          </w:tcPr>
          <w:p>
            <w:pPr>
              <w:spacing w:after="0" w:line="240" w:lineRule="auto"/>
            </w:pPr>
            <w:r>
              <w:rPr>
                <w:sz w:val="14"/>
              </w:rPr>
              <w:t>TC-27</w:t>
            </w:r>
          </w:p>
        </w:tc>
        <w:tc>
          <w:tcPr>
            <w:tcW w:type="dxa" w:w="691"/>
            <w:vAlign w:val="top"/>
          </w:tcPr>
          <w:p>
            <w:pPr>
              <w:spacing w:after="0" w:line="240" w:lineRule="auto"/>
            </w:pPr>
            <w:r>
              <w:rPr>
                <w:sz w:val="14"/>
              </w:rPr>
              <w:t>FR-27</w:t>
            </w:r>
          </w:p>
        </w:tc>
        <w:tc>
          <w:tcPr>
            <w:tcW w:type="dxa" w:w="3139"/>
            <w:vAlign w:val="top"/>
          </w:tcPr>
          <w:p>
            <w:pPr>
              <w:spacing w:after="0" w:line="240" w:lineRule="auto"/>
            </w:pPr>
            <w:r>
              <w:rPr>
                <w:sz w:val="14"/>
              </w:rPr>
              <w:t>Queue normal vehicles, then insert two emergencies with known arrival order on one approach.</w:t>
            </w:r>
          </w:p>
        </w:tc>
        <w:tc>
          <w:tcPr>
            <w:tcW w:type="dxa" w:w="3240"/>
            <w:vAlign w:val="top"/>
          </w:tcPr>
          <w:p>
            <w:pPr>
              <w:spacing w:after="0" w:line="240" w:lineRule="auto"/>
            </w:pPr>
            <w:r>
              <w:rPr>
                <w:sz w:val="14"/>
              </w:rPr>
              <w:t>Emergency vehicles precede all normal vehicles; emergencies retain arrival order.</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TC-28</w:t>
            </w:r>
          </w:p>
        </w:tc>
        <w:tc>
          <w:tcPr>
            <w:tcW w:type="dxa" w:w="691"/>
            <w:vAlign w:val="top"/>
          </w:tcPr>
          <w:p>
            <w:pPr>
              <w:spacing w:after="0" w:line="240" w:lineRule="auto"/>
            </w:pPr>
            <w:r>
              <w:rPr>
                <w:sz w:val="14"/>
              </w:rPr>
              <w:t>FR-28</w:t>
            </w:r>
          </w:p>
        </w:tc>
        <w:tc>
          <w:tcPr>
            <w:tcW w:type="dxa" w:w="3139"/>
            <w:vAlign w:val="top"/>
          </w:tcPr>
          <w:p>
            <w:pPr>
              <w:spacing w:after="0" w:line="240" w:lineRule="auto"/>
            </w:pPr>
            <w:r>
              <w:rPr>
                <w:sz w:val="14"/>
              </w:rPr>
              <w:t>Place an emergency at the front of a non-green approach queue; compare with green and non-front cases.</w:t>
            </w:r>
          </w:p>
        </w:tc>
        <w:tc>
          <w:tcPr>
            <w:tcW w:type="dxa" w:w="3240"/>
            <w:vAlign w:val="top"/>
          </w:tcPr>
          <w:p>
            <w:pPr>
              <w:spacing w:after="0" w:line="240" w:lineRule="auto"/>
            </w:pPr>
            <w:r>
              <w:rPr>
                <w:sz w:val="14"/>
              </w:rPr>
              <w:t>Notify the signal controller only when an emergency is at the front and that approach is not GREEN.</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TC-29</w:t>
            </w:r>
          </w:p>
        </w:tc>
        <w:tc>
          <w:tcPr>
            <w:tcW w:type="dxa" w:w="691"/>
            <w:vAlign w:val="top"/>
          </w:tcPr>
          <w:p>
            <w:pPr>
              <w:spacing w:after="0" w:line="240" w:lineRule="auto"/>
            </w:pPr>
            <w:r>
              <w:rPr>
                <w:sz w:val="14"/>
              </w:rPr>
              <w:t>FR-29</w:t>
            </w:r>
          </w:p>
        </w:tc>
        <w:tc>
          <w:tcPr>
            <w:tcW w:type="dxa" w:w="3139"/>
            <w:vAlign w:val="top"/>
          </w:tcPr>
          <w:p>
            <w:pPr>
              <w:spacing w:after="0" w:line="240" w:lineRule="auto"/>
            </w:pPr>
            <w:r>
              <w:rPr>
                <w:sz w:val="14"/>
              </w:rPr>
              <w:t>Request pre-emption during GREEN, YELLOW, and All-Red for an emergency in the opposite phase.</w:t>
            </w:r>
          </w:p>
        </w:tc>
        <w:tc>
          <w:tcPr>
            <w:tcW w:type="dxa" w:w="3240"/>
            <w:vAlign w:val="top"/>
          </w:tcPr>
          <w:p>
            <w:pPr>
              <w:spacing w:after="0" w:line="240" w:lineRule="auto"/>
            </w:pPr>
            <w:r>
              <w:rPr>
                <w:sz w:val="14"/>
              </w:rPr>
              <w:t>Complete the current yellow and All-Red transitions; then grant the emergency phase GREEN without skipping safety states.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TC-30</w:t>
            </w:r>
          </w:p>
        </w:tc>
        <w:tc>
          <w:tcPr>
            <w:tcW w:type="dxa" w:w="691"/>
            <w:vAlign w:val="top"/>
          </w:tcPr>
          <w:p>
            <w:pPr>
              <w:spacing w:after="0" w:line="240" w:lineRule="auto"/>
            </w:pPr>
            <w:r>
              <w:rPr>
                <w:sz w:val="14"/>
              </w:rPr>
              <w:t>FR-30</w:t>
            </w:r>
          </w:p>
        </w:tc>
        <w:tc>
          <w:tcPr>
            <w:tcW w:type="dxa" w:w="3139"/>
            <w:vAlign w:val="top"/>
          </w:tcPr>
          <w:p>
            <w:pPr>
              <w:spacing w:after="0" w:line="240" w:lineRule="auto"/>
            </w:pPr>
            <w:r>
              <w:rPr>
                <w:sz w:val="14"/>
              </w:rPr>
              <w:t>Place emergencies on conflicting approaches with different arrival ticks; request pre-emption.</w:t>
            </w:r>
          </w:p>
        </w:tc>
        <w:tc>
          <w:tcPr>
            <w:tcW w:type="dxa" w:w="3240"/>
            <w:vAlign w:val="top"/>
          </w:tcPr>
          <w:p>
            <w:pPr>
              <w:spacing w:after="0" w:line="240" w:lineRule="auto"/>
            </w:pPr>
            <w:r>
              <w:rPr>
                <w:sz w:val="14"/>
              </w:rPr>
              <w:t>Serve the emergency with the earliest arrival first.</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TC-31</w:t>
            </w:r>
          </w:p>
        </w:tc>
        <w:tc>
          <w:tcPr>
            <w:tcW w:type="dxa" w:w="691"/>
            <w:vAlign w:val="top"/>
          </w:tcPr>
          <w:p>
            <w:pPr>
              <w:spacing w:after="0" w:line="240" w:lineRule="auto"/>
            </w:pPr>
            <w:r>
              <w:rPr>
                <w:sz w:val="14"/>
              </w:rPr>
              <w:t>FR-31</w:t>
            </w:r>
          </w:p>
        </w:tc>
        <w:tc>
          <w:tcPr>
            <w:tcW w:type="dxa" w:w="3139"/>
            <w:vAlign w:val="top"/>
          </w:tcPr>
          <w:p>
            <w:pPr>
              <w:spacing w:after="0" w:line="240" w:lineRule="auto"/>
            </w:pPr>
            <w:r>
              <w:rPr>
                <w:sz w:val="14"/>
              </w:rPr>
              <w:t>Trigger pre-emption with an emergency still waiting; observe through configured maximum duration.</w:t>
            </w:r>
          </w:p>
        </w:tc>
        <w:tc>
          <w:tcPr>
            <w:tcW w:type="dxa" w:w="3240"/>
            <w:vAlign w:val="top"/>
          </w:tcPr>
          <w:p>
            <w:pPr>
              <w:spacing w:after="0" w:line="240" w:lineRule="auto"/>
            </w:pPr>
            <w:r>
              <w:rPr>
                <w:sz w:val="14"/>
              </w:rPr>
              <w:t>End pre-emption by the maximum duration and return to the normal cycle; another request does not extend it indefinitely.</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TC-32</w:t>
            </w:r>
          </w:p>
        </w:tc>
        <w:tc>
          <w:tcPr>
            <w:tcW w:type="dxa" w:w="691"/>
            <w:vAlign w:val="top"/>
          </w:tcPr>
          <w:p>
            <w:pPr>
              <w:spacing w:after="0" w:line="240" w:lineRule="auto"/>
            </w:pPr>
            <w:r>
              <w:rPr>
                <w:sz w:val="14"/>
              </w:rPr>
              <w:t>FR-32</w:t>
            </w:r>
          </w:p>
        </w:tc>
        <w:tc>
          <w:tcPr>
            <w:tcW w:type="dxa" w:w="3139"/>
            <w:vAlign w:val="top"/>
          </w:tcPr>
          <w:p>
            <w:pPr>
              <w:spacing w:after="0" w:line="240" w:lineRule="auto"/>
            </w:pPr>
            <w:r>
              <w:rPr>
                <w:sz w:val="14"/>
              </w:rPr>
              <w:t>Trigger and end a pre-emption; inspect events.csv.</w:t>
            </w:r>
          </w:p>
        </w:tc>
        <w:tc>
          <w:tcPr>
            <w:tcW w:type="dxa" w:w="3240"/>
            <w:vAlign w:val="top"/>
          </w:tcPr>
          <w:p>
            <w:pPr>
              <w:spacing w:after="0" w:line="240" w:lineRule="auto"/>
            </w:pPr>
            <w:r>
              <w:rPr>
                <w:sz w:val="14"/>
              </w:rPr>
              <w:t>EMERGENCY_START and EMERGENCY_END each include the correct tick and approach.</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TC-33</w:t>
            </w:r>
          </w:p>
        </w:tc>
        <w:tc>
          <w:tcPr>
            <w:tcW w:type="dxa" w:w="691"/>
            <w:vAlign w:val="top"/>
          </w:tcPr>
          <w:p>
            <w:pPr>
              <w:spacing w:after="0" w:line="240" w:lineRule="auto"/>
            </w:pPr>
            <w:r>
              <w:rPr>
                <w:sz w:val="14"/>
              </w:rPr>
              <w:t>FR-33</w:t>
            </w:r>
          </w:p>
        </w:tc>
        <w:tc>
          <w:tcPr>
            <w:tcW w:type="dxa" w:w="3139"/>
            <w:vAlign w:val="top"/>
          </w:tcPr>
          <w:p>
            <w:pPr>
              <w:spacing w:after="0" w:line="240" w:lineRule="auto"/>
            </w:pPr>
            <w:r>
              <w:rPr>
                <w:sz w:val="14"/>
              </w:rPr>
              <w:t>Serve normal and emergency vehicles with known arrival/departure ticks; inspect summary.</w:t>
            </w:r>
          </w:p>
        </w:tc>
        <w:tc>
          <w:tcPr>
            <w:tcW w:type="dxa" w:w="3240"/>
            <w:vAlign w:val="top"/>
          </w:tcPr>
          <w:p>
            <w:pPr>
              <w:spacing w:after="0" w:line="240" w:lineRule="auto"/>
            </w:pPr>
            <w:r>
              <w:rPr>
                <w:sz w:val="14"/>
              </w:rPr>
              <w:t>Emergency waiting time is reported separately from non-emergency waiting time.</w:t>
            </w:r>
          </w:p>
        </w:tc>
        <w:tc>
          <w:tcPr>
            <w:tcW w:type="dxa" w:w="878"/>
            <w:vAlign w:val="top"/>
          </w:tcPr>
          <w:p>
            <w:pPr>
              <w:spacing w:after="0" w:line="240" w:lineRule="auto"/>
            </w:pPr>
            <w:r>
              <w:rPr>
                <w:sz w:val="14"/>
              </w:rPr>
              <w:t>Not run</w:t>
            </w:r>
          </w:p>
        </w:tc>
      </w:tr>
    </w:tbl>
    <w:p>
      <w:pPr>
        <w:pStyle w:val="Heading2"/>
        <w:keepNext/>
      </w:pPr>
      <w:r>
        <w:t>5.5 Execution and Live Display</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691"/>
            <w:vAlign w:val="center"/>
          </w:tcPr>
          <w:p>
            <w:pPr>
              <w:spacing w:after="0"/>
            </w:pPr>
            <w:r>
              <w:rPr>
                <w:b/>
                <w:color w:val="366091"/>
                <w:sz w:val="16"/>
              </w:rPr>
              <w:t>Case ID</w:t>
            </w:r>
          </w:p>
        </w:tc>
        <w:tc>
          <w:tcPr>
            <w:tcW w:type="dxa" w:w="691"/>
            <w:vAlign w:val="center"/>
          </w:tcPr>
          <w:p>
            <w:pPr>
              <w:spacing w:after="0"/>
            </w:pPr>
            <w:r>
              <w:rPr>
                <w:b/>
                <w:color w:val="366091"/>
                <w:sz w:val="16"/>
              </w:rPr>
              <w:t>Req ID</w:t>
            </w:r>
          </w:p>
        </w:tc>
        <w:tc>
          <w:tcPr>
            <w:tcW w:type="dxa" w:w="3139"/>
            <w:vAlign w:val="center"/>
          </w:tcPr>
          <w:p>
            <w:pPr>
              <w:spacing w:after="0"/>
            </w:pPr>
            <w:r>
              <w:rPr>
                <w:b/>
                <w:color w:val="366091"/>
                <w:sz w:val="16"/>
              </w:rPr>
              <w:t>What to do</w:t>
            </w:r>
          </w:p>
        </w:tc>
        <w:tc>
          <w:tcPr>
            <w:tcW w:type="dxa" w:w="3240"/>
            <w:vAlign w:val="center"/>
          </w:tcPr>
          <w:p>
            <w:pPr>
              <w:spacing w:after="0"/>
            </w:pPr>
            <w:r>
              <w:rPr>
                <w:b/>
                <w:color w:val="366091"/>
                <w:sz w:val="16"/>
              </w:rPr>
              <w:t>Expected result</w:t>
            </w:r>
          </w:p>
        </w:tc>
        <w:tc>
          <w:tcPr>
            <w:tcW w:type="dxa" w:w="878"/>
            <w:vAlign w:val="center"/>
          </w:tcPr>
          <w:p>
            <w:pPr>
              <w:spacing w:after="0"/>
            </w:pPr>
            <w:r>
              <w:rPr>
                <w:b/>
                <w:color w:val="366091"/>
                <w:sz w:val="16"/>
              </w:rPr>
              <w:t>Status</w:t>
            </w:r>
          </w:p>
        </w:tc>
      </w:tr>
      <w:tr>
        <w:trPr>
          <w:cantSplit/>
        </w:trPr>
        <w:tc>
          <w:tcPr>
            <w:tcW w:type="dxa" w:w="691"/>
            <w:vAlign w:val="top"/>
          </w:tcPr>
          <w:p>
            <w:pPr>
              <w:spacing w:after="0" w:line="240" w:lineRule="auto"/>
            </w:pPr>
            <w:r>
              <w:rPr>
                <w:sz w:val="14"/>
              </w:rPr>
              <w:t>TC-34</w:t>
            </w:r>
          </w:p>
        </w:tc>
        <w:tc>
          <w:tcPr>
            <w:tcW w:type="dxa" w:w="691"/>
            <w:vAlign w:val="top"/>
          </w:tcPr>
          <w:p>
            <w:pPr>
              <w:spacing w:after="0" w:line="240" w:lineRule="auto"/>
            </w:pPr>
            <w:r>
              <w:rPr>
                <w:sz w:val="14"/>
              </w:rPr>
              <w:t>FR-34</w:t>
            </w:r>
          </w:p>
        </w:tc>
        <w:tc>
          <w:tcPr>
            <w:tcW w:type="dxa" w:w="3139"/>
            <w:vAlign w:val="top"/>
          </w:tcPr>
          <w:p>
            <w:pPr>
              <w:spacing w:after="0" w:line="240" w:lineRule="auto"/>
            </w:pPr>
            <w:r>
              <w:rPr>
                <w:sz w:val="14"/>
              </w:rPr>
              <w:t>Select Run with a short configured duration and observe tick progression.</w:t>
            </w:r>
          </w:p>
        </w:tc>
        <w:tc>
          <w:tcPr>
            <w:tcW w:type="dxa" w:w="3240"/>
            <w:vAlign w:val="top"/>
          </w:tcPr>
          <w:p>
            <w:pPr>
              <w:spacing w:after="0" w:line="240" w:lineRule="auto"/>
            </w:pPr>
            <w:r>
              <w:rPr>
                <w:sz w:val="14"/>
              </w:rPr>
              <w:t>Simulation runs continuously and stops at the configured duration with a final summary.</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TC-35</w:t>
            </w:r>
          </w:p>
        </w:tc>
        <w:tc>
          <w:tcPr>
            <w:tcW w:type="dxa" w:w="691"/>
            <w:vAlign w:val="top"/>
          </w:tcPr>
          <w:p>
            <w:pPr>
              <w:spacing w:after="0" w:line="240" w:lineRule="auto"/>
            </w:pPr>
            <w:r>
              <w:rPr>
                <w:sz w:val="14"/>
              </w:rPr>
              <w:t>FR-35</w:t>
            </w:r>
          </w:p>
        </w:tc>
        <w:tc>
          <w:tcPr>
            <w:tcW w:type="dxa" w:w="3139"/>
            <w:vAlign w:val="top"/>
          </w:tcPr>
          <w:p>
            <w:pPr>
              <w:spacing w:after="0" w:line="240" w:lineRule="auto"/>
            </w:pPr>
            <w:r>
              <w:rPr>
                <w:sz w:val="14"/>
              </w:rPr>
              <w:t>In Step mode enter N=1 and N=100; also try 0 and 101.</w:t>
            </w:r>
          </w:p>
        </w:tc>
        <w:tc>
          <w:tcPr>
            <w:tcW w:type="dxa" w:w="3240"/>
            <w:vAlign w:val="top"/>
          </w:tcPr>
          <w:p>
            <w:pPr>
              <w:spacing w:after="0" w:line="240" w:lineRule="auto"/>
            </w:pPr>
            <w:r>
              <w:rPr>
                <w:sz w:val="14"/>
              </w:rPr>
              <w:t>Valid N advances exactly N ticks then displays state; invalid N is rejected with an explanatory range.</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TC-36</w:t>
            </w:r>
          </w:p>
        </w:tc>
        <w:tc>
          <w:tcPr>
            <w:tcW w:type="dxa" w:w="691"/>
            <w:vAlign w:val="top"/>
          </w:tcPr>
          <w:p>
            <w:pPr>
              <w:spacing w:after="0" w:line="240" w:lineRule="auto"/>
            </w:pPr>
            <w:r>
              <w:rPr>
                <w:sz w:val="14"/>
              </w:rPr>
              <w:t>FR-36</w:t>
            </w:r>
          </w:p>
        </w:tc>
        <w:tc>
          <w:tcPr>
            <w:tcW w:type="dxa" w:w="3139"/>
            <w:vAlign w:val="top"/>
          </w:tcPr>
          <w:p>
            <w:pPr>
              <w:spacing w:after="0" w:line="240" w:lineRule="auto"/>
            </w:pPr>
            <w:r>
              <w:rPr>
                <w:sz w:val="14"/>
              </w:rPr>
              <w:t>Run beyond multiple refresh intervals and inspect each live display.</w:t>
            </w:r>
          </w:p>
        </w:tc>
        <w:tc>
          <w:tcPr>
            <w:tcW w:type="dxa" w:w="3240"/>
            <w:vAlign w:val="top"/>
          </w:tcPr>
          <w:p>
            <w:pPr>
              <w:spacing w:after="0" w:line="240" w:lineRule="auto"/>
            </w:pPr>
            <w:r>
              <w:rPr>
                <w:sz w:val="14"/>
              </w:rPr>
              <w:t>At each interval show tick, state/remaining time, four queue lengths, waiting emergency count, and served count.</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TC-37</w:t>
            </w:r>
          </w:p>
        </w:tc>
        <w:tc>
          <w:tcPr>
            <w:tcW w:type="dxa" w:w="691"/>
            <w:vAlign w:val="top"/>
          </w:tcPr>
          <w:p>
            <w:pPr>
              <w:spacing w:after="0" w:line="240" w:lineRule="auto"/>
            </w:pPr>
            <w:r>
              <w:rPr>
                <w:sz w:val="14"/>
              </w:rPr>
              <w:t>FR-37</w:t>
            </w:r>
          </w:p>
        </w:tc>
        <w:tc>
          <w:tcPr>
            <w:tcW w:type="dxa" w:w="3139"/>
            <w:vAlign w:val="top"/>
          </w:tcPr>
          <w:p>
            <w:pPr>
              <w:spacing w:after="0" w:line="240" w:lineRule="auto"/>
            </w:pPr>
            <w:r>
              <w:rPr>
                <w:sz w:val="14"/>
              </w:rPr>
              <w:t>Use a deterministic one-tick scenario with an arrival and eligible departure; inspect event/stat order.</w:t>
            </w:r>
          </w:p>
        </w:tc>
        <w:tc>
          <w:tcPr>
            <w:tcW w:type="dxa" w:w="3240"/>
            <w:vAlign w:val="top"/>
          </w:tcPr>
          <w:p>
            <w:pPr>
              <w:spacing w:after="0" w:line="240" w:lineRule="auto"/>
            </w:pPr>
            <w:r>
              <w:rPr>
                <w:sz w:val="14"/>
              </w:rPr>
              <w:t>Each tick processes arrivals, signal update, service, then statistics, in that order.</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TC-38</w:t>
            </w:r>
          </w:p>
        </w:tc>
        <w:tc>
          <w:tcPr>
            <w:tcW w:type="dxa" w:w="691"/>
            <w:vAlign w:val="top"/>
          </w:tcPr>
          <w:p>
            <w:pPr>
              <w:spacing w:after="0" w:line="240" w:lineRule="auto"/>
            </w:pPr>
            <w:r>
              <w:rPr>
                <w:sz w:val="14"/>
              </w:rPr>
              <w:t>FR-38</w:t>
            </w:r>
          </w:p>
        </w:tc>
        <w:tc>
          <w:tcPr>
            <w:tcW w:type="dxa" w:w="3139"/>
            <w:vAlign w:val="top"/>
          </w:tcPr>
          <w:p>
            <w:pPr>
              <w:spacing w:after="0" w:line="240" w:lineRule="auto"/>
            </w:pPr>
            <w:r>
              <w:rPr>
                <w:sz w:val="14"/>
              </w:rPr>
              <w:t>Run once in quiet mode and capture console output.</w:t>
            </w:r>
          </w:p>
        </w:tc>
        <w:tc>
          <w:tcPr>
            <w:tcW w:type="dxa" w:w="3240"/>
            <w:vAlign w:val="top"/>
          </w:tcPr>
          <w:p>
            <w:pPr>
              <w:spacing w:after="0" w:line="240" w:lineRule="auto"/>
            </w:pPr>
            <w:r>
              <w:rPr>
                <w:sz w:val="14"/>
              </w:rPr>
              <w:t>No periodic display appears; only the final summary is shown.</w:t>
            </w:r>
          </w:p>
        </w:tc>
        <w:tc>
          <w:tcPr>
            <w:tcW w:type="dxa" w:w="878"/>
            <w:vAlign w:val="top"/>
          </w:tcPr>
          <w:p>
            <w:pPr>
              <w:spacing w:after="0" w:line="240" w:lineRule="auto"/>
            </w:pPr>
            <w:r>
              <w:rPr>
                <w:sz w:val="14"/>
              </w:rPr>
              <w:t>Not run</w:t>
            </w:r>
          </w:p>
        </w:tc>
      </w:tr>
    </w:tbl>
    <w:p>
      <w:pPr>
        <w:pStyle w:val="Heading2"/>
        <w:keepNext/>
      </w:pPr>
      <w:r>
        <w:t>5.6 Statistics and Reporting</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691"/>
            <w:vAlign w:val="center"/>
          </w:tcPr>
          <w:p>
            <w:pPr>
              <w:spacing w:after="0"/>
            </w:pPr>
            <w:r>
              <w:rPr>
                <w:b/>
                <w:color w:val="366091"/>
                <w:sz w:val="16"/>
              </w:rPr>
              <w:t>Case ID</w:t>
            </w:r>
          </w:p>
        </w:tc>
        <w:tc>
          <w:tcPr>
            <w:tcW w:type="dxa" w:w="691"/>
            <w:vAlign w:val="center"/>
          </w:tcPr>
          <w:p>
            <w:pPr>
              <w:spacing w:after="0"/>
            </w:pPr>
            <w:r>
              <w:rPr>
                <w:b/>
                <w:color w:val="366091"/>
                <w:sz w:val="16"/>
              </w:rPr>
              <w:t>Req ID</w:t>
            </w:r>
          </w:p>
        </w:tc>
        <w:tc>
          <w:tcPr>
            <w:tcW w:type="dxa" w:w="3139"/>
            <w:vAlign w:val="center"/>
          </w:tcPr>
          <w:p>
            <w:pPr>
              <w:spacing w:after="0"/>
            </w:pPr>
            <w:r>
              <w:rPr>
                <w:b/>
                <w:color w:val="366091"/>
                <w:sz w:val="16"/>
              </w:rPr>
              <w:t>What to do</w:t>
            </w:r>
          </w:p>
        </w:tc>
        <w:tc>
          <w:tcPr>
            <w:tcW w:type="dxa" w:w="3240"/>
            <w:vAlign w:val="center"/>
          </w:tcPr>
          <w:p>
            <w:pPr>
              <w:spacing w:after="0"/>
            </w:pPr>
            <w:r>
              <w:rPr>
                <w:b/>
                <w:color w:val="366091"/>
                <w:sz w:val="16"/>
              </w:rPr>
              <w:t>Expected result</w:t>
            </w:r>
          </w:p>
        </w:tc>
        <w:tc>
          <w:tcPr>
            <w:tcW w:type="dxa" w:w="878"/>
            <w:vAlign w:val="center"/>
          </w:tcPr>
          <w:p>
            <w:pPr>
              <w:spacing w:after="0"/>
            </w:pPr>
            <w:r>
              <w:rPr>
                <w:b/>
                <w:color w:val="366091"/>
                <w:sz w:val="16"/>
              </w:rPr>
              <w:t>Status</w:t>
            </w:r>
          </w:p>
        </w:tc>
      </w:tr>
      <w:tr>
        <w:trPr>
          <w:cantSplit/>
        </w:trPr>
        <w:tc>
          <w:tcPr>
            <w:tcW w:type="dxa" w:w="691"/>
            <w:vAlign w:val="top"/>
          </w:tcPr>
          <w:p>
            <w:pPr>
              <w:spacing w:after="0" w:line="240" w:lineRule="auto"/>
            </w:pPr>
            <w:r>
              <w:rPr>
                <w:sz w:val="14"/>
              </w:rPr>
              <w:t>TC-39</w:t>
            </w:r>
          </w:p>
        </w:tc>
        <w:tc>
          <w:tcPr>
            <w:tcW w:type="dxa" w:w="691"/>
            <w:vAlign w:val="top"/>
          </w:tcPr>
          <w:p>
            <w:pPr>
              <w:spacing w:after="0" w:line="240" w:lineRule="auto"/>
            </w:pPr>
            <w:r>
              <w:rPr>
                <w:sz w:val="14"/>
              </w:rPr>
              <w:t>FR-39</w:t>
            </w:r>
          </w:p>
        </w:tc>
        <w:tc>
          <w:tcPr>
            <w:tcW w:type="dxa" w:w="3139"/>
            <w:vAlign w:val="top"/>
          </w:tcPr>
          <w:p>
            <w:pPr>
              <w:spacing w:after="0" w:line="240" w:lineRule="auto"/>
            </w:pPr>
            <w:r>
              <w:rPr>
                <w:sz w:val="14"/>
              </w:rPr>
              <w:t>Run a controlled scenario containing arrivals, blocked vehicles, served vehicles, and queued vehicles.</w:t>
            </w:r>
          </w:p>
        </w:tc>
        <w:tc>
          <w:tcPr>
            <w:tcW w:type="dxa" w:w="3240"/>
            <w:vAlign w:val="top"/>
          </w:tcPr>
          <w:p>
            <w:pPr>
              <w:spacing w:after="0" w:line="240" w:lineRule="auto"/>
            </w:pPr>
            <w:r>
              <w:rPr>
                <w:sz w:val="14"/>
              </w:rPr>
              <w:t>Summary reports generated, served, blocked, and still-waiting totals accurately.</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TC-40</w:t>
            </w:r>
          </w:p>
        </w:tc>
        <w:tc>
          <w:tcPr>
            <w:tcW w:type="dxa" w:w="691"/>
            <w:vAlign w:val="top"/>
          </w:tcPr>
          <w:p>
            <w:pPr>
              <w:spacing w:after="0" w:line="240" w:lineRule="auto"/>
            </w:pPr>
            <w:r>
              <w:rPr>
                <w:sz w:val="14"/>
              </w:rPr>
              <w:t>FR-40</w:t>
            </w:r>
          </w:p>
        </w:tc>
        <w:tc>
          <w:tcPr>
            <w:tcW w:type="dxa" w:w="3139"/>
            <w:vAlign w:val="top"/>
          </w:tcPr>
          <w:p>
            <w:pPr>
              <w:spacing w:after="0" w:line="240" w:lineRule="auto"/>
            </w:pPr>
            <w:r>
              <w:rPr>
                <w:sz w:val="14"/>
              </w:rPr>
              <w:t>Serve vehicles with known waits on multiple approaches.</w:t>
            </w:r>
          </w:p>
        </w:tc>
        <w:tc>
          <w:tcPr>
            <w:tcW w:type="dxa" w:w="3240"/>
            <w:vAlign w:val="top"/>
          </w:tcPr>
          <w:p>
            <w:pPr>
              <w:spacing w:after="0" w:line="240" w:lineRule="auto"/>
            </w:pPr>
            <w:r>
              <w:rPr>
                <w:sz w:val="14"/>
              </w:rPr>
              <w:t>Summary reports average and maximum waiting times overall and per approach, calculated from served vehicles.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TC-41</w:t>
            </w:r>
          </w:p>
        </w:tc>
        <w:tc>
          <w:tcPr>
            <w:tcW w:type="dxa" w:w="691"/>
            <w:vAlign w:val="top"/>
          </w:tcPr>
          <w:p>
            <w:pPr>
              <w:spacing w:after="0" w:line="240" w:lineRule="auto"/>
            </w:pPr>
            <w:r>
              <w:rPr>
                <w:sz w:val="14"/>
              </w:rPr>
              <w:t>FR-41</w:t>
            </w:r>
          </w:p>
        </w:tc>
        <w:tc>
          <w:tcPr>
            <w:tcW w:type="dxa" w:w="3139"/>
            <w:vAlign w:val="top"/>
          </w:tcPr>
          <w:p>
            <w:pPr>
              <w:spacing w:after="0" w:line="240" w:lineRule="auto"/>
            </w:pPr>
            <w:r>
              <w:rPr>
                <w:sz w:val="14"/>
              </w:rPr>
              <w:t>Create known queue peaks independently on all four approaches.</w:t>
            </w:r>
          </w:p>
        </w:tc>
        <w:tc>
          <w:tcPr>
            <w:tcW w:type="dxa" w:w="3240"/>
            <w:vAlign w:val="top"/>
          </w:tcPr>
          <w:p>
            <w:pPr>
              <w:spacing w:after="0" w:line="240" w:lineRule="auto"/>
            </w:pPr>
            <w:r>
              <w:rPr>
                <w:sz w:val="14"/>
              </w:rPr>
              <w:t>Summary reports the correct maximum queue length for each approach.</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TC-42</w:t>
            </w:r>
          </w:p>
        </w:tc>
        <w:tc>
          <w:tcPr>
            <w:tcW w:type="dxa" w:w="691"/>
            <w:vAlign w:val="top"/>
          </w:tcPr>
          <w:p>
            <w:pPr>
              <w:spacing w:after="0" w:line="240" w:lineRule="auto"/>
            </w:pPr>
            <w:r>
              <w:rPr>
                <w:sz w:val="14"/>
              </w:rPr>
              <w:t>FR-42</w:t>
            </w:r>
          </w:p>
        </w:tc>
        <w:tc>
          <w:tcPr>
            <w:tcW w:type="dxa" w:w="3139"/>
            <w:vAlign w:val="top"/>
          </w:tcPr>
          <w:p>
            <w:pPr>
              <w:spacing w:after="0" w:line="240" w:lineRule="auto"/>
            </w:pPr>
            <w:r>
              <w:rPr>
                <w:sz w:val="14"/>
              </w:rPr>
              <w:t>Run a known number of ticks and serve a known number of vehicles.</w:t>
            </w:r>
          </w:p>
        </w:tc>
        <w:tc>
          <w:tcPr>
            <w:tcW w:type="dxa" w:w="3240"/>
            <w:vAlign w:val="top"/>
          </w:tcPr>
          <w:p>
            <w:pPr>
              <w:spacing w:after="0" w:line="240" w:lineRule="auto"/>
            </w:pPr>
            <w:r>
              <w:rPr>
                <w:sz w:val="14"/>
              </w:rPr>
              <w:t>Throughput equals vehicles served per simulated minute using simulated duration.</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TC-43</w:t>
            </w:r>
          </w:p>
        </w:tc>
        <w:tc>
          <w:tcPr>
            <w:tcW w:type="dxa" w:w="691"/>
            <w:vAlign w:val="top"/>
          </w:tcPr>
          <w:p>
            <w:pPr>
              <w:spacing w:after="0" w:line="240" w:lineRule="auto"/>
            </w:pPr>
            <w:r>
              <w:rPr>
                <w:sz w:val="14"/>
              </w:rPr>
              <w:t>FR-43</w:t>
            </w:r>
          </w:p>
        </w:tc>
        <w:tc>
          <w:tcPr>
            <w:tcW w:type="dxa" w:w="3139"/>
            <w:vAlign w:val="top"/>
          </w:tcPr>
          <w:p>
            <w:pPr>
              <w:spacing w:after="0" w:line="240" w:lineRule="auto"/>
            </w:pPr>
            <w:r>
              <w:rPr>
                <w:sz w:val="14"/>
              </w:rPr>
              <w:t>Serve known emergency vehicles and trigger a known number of pre-emptions.</w:t>
            </w:r>
          </w:p>
        </w:tc>
        <w:tc>
          <w:tcPr>
            <w:tcW w:type="dxa" w:w="3240"/>
            <w:vAlign w:val="top"/>
          </w:tcPr>
          <w:p>
            <w:pPr>
              <w:spacing w:after="0" w:line="240" w:lineRule="auto"/>
            </w:pPr>
            <w:r>
              <w:rPr>
                <w:sz w:val="14"/>
              </w:rPr>
              <w:t>Summary reports emergency served count, emergency average wait, and pre-emption count accurately.</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TC-44</w:t>
            </w:r>
          </w:p>
        </w:tc>
        <w:tc>
          <w:tcPr>
            <w:tcW w:type="dxa" w:w="691"/>
            <w:vAlign w:val="top"/>
          </w:tcPr>
          <w:p>
            <w:pPr>
              <w:spacing w:after="0" w:line="240" w:lineRule="auto"/>
            </w:pPr>
            <w:r>
              <w:rPr>
                <w:sz w:val="14"/>
              </w:rPr>
              <w:t>FR-44</w:t>
            </w:r>
          </w:p>
        </w:tc>
        <w:tc>
          <w:tcPr>
            <w:tcW w:type="dxa" w:w="3139"/>
            <w:vAlign w:val="top"/>
          </w:tcPr>
          <w:p>
            <w:pPr>
              <w:spacing w:after="0" w:line="240" w:lineRule="auto"/>
            </w:pPr>
            <w:r>
              <w:rPr>
                <w:sz w:val="14"/>
              </w:rPr>
              <w:t>Select Compare with fixed seed/configuration; inspect both runs and summaries.</w:t>
            </w:r>
          </w:p>
        </w:tc>
        <w:tc>
          <w:tcPr>
            <w:tcW w:type="dxa" w:w="3240"/>
            <w:vAlign w:val="top"/>
          </w:tcPr>
          <w:p>
            <w:pPr>
              <w:spacing w:after="0" w:line="240" w:lineRule="auto"/>
            </w:pPr>
            <w:r>
              <w:rPr>
                <w:sz w:val="14"/>
              </w:rPr>
              <w:t>Both modes use the same traffic-generating parameters and seed; summaries appear side by side.</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TC-45</w:t>
            </w:r>
          </w:p>
        </w:tc>
        <w:tc>
          <w:tcPr>
            <w:tcW w:type="dxa" w:w="691"/>
            <w:vAlign w:val="top"/>
          </w:tcPr>
          <w:p>
            <w:pPr>
              <w:spacing w:after="0" w:line="240" w:lineRule="auto"/>
            </w:pPr>
            <w:r>
              <w:rPr>
                <w:sz w:val="14"/>
              </w:rPr>
              <w:t>FR-45</w:t>
            </w:r>
          </w:p>
        </w:tc>
        <w:tc>
          <w:tcPr>
            <w:tcW w:type="dxa" w:w="3139"/>
            <w:vAlign w:val="top"/>
          </w:tcPr>
          <w:p>
            <w:pPr>
              <w:spacing w:after="0" w:line="240" w:lineRule="auto"/>
            </w:pPr>
            <w:r>
              <w:rPr>
                <w:sz w:val="14"/>
              </w:rPr>
              <w:t>Export report.txt for a controlled run and inspect its fields/values.</w:t>
            </w:r>
          </w:p>
        </w:tc>
        <w:tc>
          <w:tcPr>
            <w:tcW w:type="dxa" w:w="3240"/>
            <w:vAlign w:val="top"/>
          </w:tcPr>
          <w:p>
            <w:pPr>
              <w:spacing w:after="0" w:line="240" w:lineRule="auto"/>
            </w:pPr>
            <w:r>
              <w:rPr>
                <w:sz w:val="14"/>
              </w:rPr>
              <w:t>Report includes configuration/seed/mode, totals, waiting times, queue maxima, throughput, cycles, and emergency statistics.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TC-46</w:t>
            </w:r>
          </w:p>
        </w:tc>
        <w:tc>
          <w:tcPr>
            <w:tcW w:type="dxa" w:w="691"/>
            <w:vAlign w:val="top"/>
          </w:tcPr>
          <w:p>
            <w:pPr>
              <w:spacing w:after="0" w:line="240" w:lineRule="auto"/>
            </w:pPr>
            <w:r>
              <w:rPr>
                <w:sz w:val="14"/>
              </w:rPr>
              <w:t>FR-46</w:t>
            </w:r>
          </w:p>
        </w:tc>
        <w:tc>
          <w:tcPr>
            <w:tcW w:type="dxa" w:w="3139"/>
            <w:vAlign w:val="top"/>
          </w:tcPr>
          <w:p>
            <w:pPr>
              <w:spacing w:after="0" w:line="240" w:lineRule="auto"/>
            </w:pPr>
            <w:r>
              <w:rPr>
                <w:sz w:val="14"/>
              </w:rPr>
              <w:t>Export events.csv containing arrivals, departures, phase changes, blocked, emergency, and rejected-config events.</w:t>
            </w:r>
          </w:p>
        </w:tc>
        <w:tc>
          <w:tcPr>
            <w:tcW w:type="dxa" w:w="3240"/>
            <w:vAlign w:val="top"/>
          </w:tcPr>
          <w:p>
            <w:pPr>
              <w:spacing w:after="0" w:line="240" w:lineRule="auto"/>
            </w:pPr>
            <w:r>
              <w:rPr>
                <w:sz w:val="14"/>
              </w:rPr>
              <w:t>CSV has Appendix B.5 fields and correct tick, event type, approach, vehicle ID, and details where applicable.</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TC-47</w:t>
            </w:r>
          </w:p>
        </w:tc>
        <w:tc>
          <w:tcPr>
            <w:tcW w:type="dxa" w:w="691"/>
            <w:vAlign w:val="top"/>
          </w:tcPr>
          <w:p>
            <w:pPr>
              <w:spacing w:after="0" w:line="240" w:lineRule="auto"/>
            </w:pPr>
            <w:r>
              <w:rPr>
                <w:sz w:val="14"/>
              </w:rPr>
              <w:t>FR-47</w:t>
            </w:r>
          </w:p>
        </w:tc>
        <w:tc>
          <w:tcPr>
            <w:tcW w:type="dxa" w:w="3139"/>
            <w:vAlign w:val="top"/>
          </w:tcPr>
          <w:p>
            <w:pPr>
              <w:spacing w:after="0" w:line="240" w:lineRule="auto"/>
            </w:pPr>
            <w:r>
              <w:rPr>
                <w:sz w:val="14"/>
              </w:rPr>
              <w:t>Cause report.txt and events.csv writes to fail separately; attempt export and retry.</w:t>
            </w:r>
          </w:p>
        </w:tc>
        <w:tc>
          <w:tcPr>
            <w:tcW w:type="dxa" w:w="3240"/>
            <w:vAlign w:val="top"/>
          </w:tcPr>
          <w:p>
            <w:pPr>
              <w:spacing w:after="0" w:line="240" w:lineRule="auto"/>
            </w:pPr>
            <w:r>
              <w:rPr>
                <w:sz w:val="14"/>
              </w:rPr>
              <w:t>Show file-specific error, return to menu without terminating, and retain simulation data for retry.</w:t>
            </w:r>
          </w:p>
        </w:tc>
        <w:tc>
          <w:tcPr>
            <w:tcW w:type="dxa" w:w="878"/>
            <w:vAlign w:val="top"/>
          </w:tcPr>
          <w:p>
            <w:pPr>
              <w:spacing w:after="0" w:line="240" w:lineRule="auto"/>
            </w:pPr>
            <w:r>
              <w:rPr>
                <w:sz w:val="14"/>
              </w:rPr>
              <w:t>Not run</w:t>
            </w:r>
          </w:p>
        </w:tc>
      </w:tr>
    </w:tbl>
    <w:p>
      <w:pPr>
        <w:pStyle w:val="Heading2"/>
        <w:keepNext/>
      </w:pPr>
      <w:r>
        <w:t>5.7 Quality and Security Requirements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691"/>
            <w:vAlign w:val="center"/>
          </w:tcPr>
          <w:p>
            <w:pPr>
              <w:spacing w:after="0"/>
            </w:pPr>
            <w:r>
              <w:rPr>
                <w:b/>
                <w:color w:val="366091"/>
                <w:sz w:val="16"/>
              </w:rPr>
              <w:t>Case ID</w:t>
            </w:r>
          </w:p>
        </w:tc>
        <w:tc>
          <w:tcPr>
            <w:tcW w:type="dxa" w:w="691"/>
            <w:vAlign w:val="center"/>
          </w:tcPr>
          <w:p>
            <w:pPr>
              <w:spacing w:after="0"/>
            </w:pPr>
            <w:r>
              <w:rPr>
                <w:b/>
                <w:color w:val="366091"/>
                <w:sz w:val="16"/>
              </w:rPr>
              <w:t>Req ID</w:t>
            </w:r>
          </w:p>
        </w:tc>
        <w:tc>
          <w:tcPr>
            <w:tcW w:type="dxa" w:w="3139"/>
            <w:vAlign w:val="center"/>
          </w:tcPr>
          <w:p>
            <w:pPr>
              <w:spacing w:after="0"/>
            </w:pPr>
            <w:r>
              <w:rPr>
                <w:b/>
                <w:color w:val="366091"/>
                <w:sz w:val="16"/>
              </w:rPr>
              <w:t>What to do</w:t>
            </w:r>
          </w:p>
        </w:tc>
        <w:tc>
          <w:tcPr>
            <w:tcW w:type="dxa" w:w="3240"/>
            <w:vAlign w:val="center"/>
          </w:tcPr>
          <w:p>
            <w:pPr>
              <w:spacing w:after="0"/>
            </w:pPr>
            <w:r>
              <w:rPr>
                <w:b/>
                <w:color w:val="366091"/>
                <w:sz w:val="16"/>
              </w:rPr>
              <w:t>Expected result</w:t>
            </w:r>
          </w:p>
        </w:tc>
        <w:tc>
          <w:tcPr>
            <w:tcW w:type="dxa" w:w="878"/>
            <w:vAlign w:val="center"/>
          </w:tcPr>
          <w:p>
            <w:pPr>
              <w:spacing w:after="0"/>
            </w:pPr>
            <w:r>
              <w:rPr>
                <w:b/>
                <w:color w:val="366091"/>
                <w:sz w:val="16"/>
              </w:rPr>
              <w:t>Status</w:t>
            </w:r>
          </w:p>
        </w:tc>
      </w:tr>
      <w:tr>
        <w:trPr>
          <w:cantSplit/>
        </w:trPr>
        <w:tc>
          <w:tcPr>
            <w:tcW w:type="dxa" w:w="691"/>
            <w:vAlign w:val="top"/>
          </w:tcPr>
          <w:p>
            <w:pPr>
              <w:spacing w:after="0" w:line="240" w:lineRule="auto"/>
            </w:pPr>
            <w:r>
              <w:rPr>
                <w:sz w:val="14"/>
              </w:rPr>
              <w:t>TC-48</w:t>
            </w:r>
          </w:p>
        </w:tc>
        <w:tc>
          <w:tcPr>
            <w:tcW w:type="dxa" w:w="691"/>
            <w:vAlign w:val="top"/>
          </w:tcPr>
          <w:p>
            <w:pPr>
              <w:spacing w:after="0" w:line="240" w:lineRule="auto"/>
            </w:pPr>
            <w:r>
              <w:rPr>
                <w:sz w:val="14"/>
              </w:rPr>
              <w:t>NFR-01</w:t>
            </w:r>
          </w:p>
        </w:tc>
        <w:tc>
          <w:tcPr>
            <w:tcW w:type="dxa" w:w="3139"/>
            <w:vAlign w:val="top"/>
          </w:tcPr>
          <w:p>
            <w:pPr>
              <w:spacing w:after="0" w:line="240" w:lineRule="auto"/>
            </w:pPr>
            <w:r>
              <w:rPr>
                <w:sz w:val="14"/>
              </w:rPr>
              <w:t>Benchmark at least 20 quiet-mode runs of 3,600 ticks on the stated reference-class laptop.</w:t>
            </w:r>
          </w:p>
        </w:tc>
        <w:tc>
          <w:tcPr>
            <w:tcW w:type="dxa" w:w="3240"/>
            <w:vAlign w:val="top"/>
          </w:tcPr>
          <w:p>
            <w:pPr>
              <w:spacing w:after="0" w:line="240" w:lineRule="auto"/>
            </w:pPr>
            <w:r>
              <w:rPr>
                <w:sz w:val="14"/>
              </w:rPr>
              <w:t>At least 95% of runs finish within 5 seconds; record hardware, compiler, seeds, and durations.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TC-49</w:t>
            </w:r>
          </w:p>
        </w:tc>
        <w:tc>
          <w:tcPr>
            <w:tcW w:type="dxa" w:w="691"/>
            <w:vAlign w:val="top"/>
          </w:tcPr>
          <w:p>
            <w:pPr>
              <w:spacing w:after="0" w:line="240" w:lineRule="auto"/>
            </w:pPr>
            <w:r>
              <w:rPr>
                <w:sz w:val="14"/>
              </w:rPr>
              <w:t>NFR-02</w:t>
            </w:r>
          </w:p>
        </w:tc>
        <w:tc>
          <w:tcPr>
            <w:tcW w:type="dxa" w:w="3139"/>
            <w:vAlign w:val="top"/>
          </w:tcPr>
          <w:p>
            <w:pPr>
              <w:spacing w:after="0" w:line="240" w:lineRule="auto"/>
            </w:pPr>
            <w:r>
              <w:rPr>
                <w:sz w:val="14"/>
              </w:rPr>
              <w:t>Review queue operation implementation and benchmark at increasing queue sizes.</w:t>
            </w:r>
          </w:p>
        </w:tc>
        <w:tc>
          <w:tcPr>
            <w:tcW w:type="dxa" w:w="3240"/>
            <w:vAlign w:val="top"/>
          </w:tcPr>
          <w:p>
            <w:pPr>
              <w:spacing w:after="0" w:line="240" w:lineRule="auto"/>
            </w:pPr>
            <w:r>
              <w:rPr>
                <w:sz w:val="14"/>
              </w:rPr>
              <w:t>Queue operations remain O(1); one-tick processing depends on approaches and vehicles served, not total queue length.</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TC-50</w:t>
            </w:r>
          </w:p>
        </w:tc>
        <w:tc>
          <w:tcPr>
            <w:tcW w:type="dxa" w:w="691"/>
            <w:vAlign w:val="top"/>
          </w:tcPr>
          <w:p>
            <w:pPr>
              <w:spacing w:after="0" w:line="240" w:lineRule="auto"/>
            </w:pPr>
            <w:r>
              <w:rPr>
                <w:sz w:val="14"/>
              </w:rPr>
              <w:t>NFR-03</w:t>
            </w:r>
          </w:p>
        </w:tc>
        <w:tc>
          <w:tcPr>
            <w:tcW w:type="dxa" w:w="3139"/>
            <w:vAlign w:val="top"/>
          </w:tcPr>
          <w:p>
            <w:pPr>
              <w:spacing w:after="0" w:line="240" w:lineRule="auto"/>
            </w:pPr>
            <w:r>
              <w:rPr>
                <w:sz w:val="14"/>
              </w:rPr>
              <w:t>Measure peak memory with up to 10,000 vehicles in the system.</w:t>
            </w:r>
          </w:p>
        </w:tc>
        <w:tc>
          <w:tcPr>
            <w:tcW w:type="dxa" w:w="3240"/>
            <w:vAlign w:val="top"/>
          </w:tcPr>
          <w:p>
            <w:pPr>
              <w:spacing w:after="0" w:line="240" w:lineRule="auto"/>
            </w:pPr>
            <w:r>
              <w:rPr>
                <w:sz w:val="14"/>
              </w:rPr>
              <w:t>Peak memory remains below 100 MB.</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TC-51</w:t>
            </w:r>
          </w:p>
        </w:tc>
        <w:tc>
          <w:tcPr>
            <w:tcW w:type="dxa" w:w="691"/>
            <w:vAlign w:val="top"/>
          </w:tcPr>
          <w:p>
            <w:pPr>
              <w:spacing w:after="0" w:line="240" w:lineRule="auto"/>
            </w:pPr>
            <w:r>
              <w:rPr>
                <w:sz w:val="14"/>
              </w:rPr>
              <w:t>NFR-04</w:t>
            </w:r>
          </w:p>
        </w:tc>
        <w:tc>
          <w:tcPr>
            <w:tcW w:type="dxa" w:w="3139"/>
            <w:vAlign w:val="top"/>
          </w:tcPr>
          <w:p>
            <w:pPr>
              <w:spacing w:after="0" w:line="240" w:lineRule="auto"/>
            </w:pPr>
            <w:r>
              <w:rPr>
                <w:sz w:val="14"/>
              </w:rPr>
              <w:t>Measure response time for every menu choice, excluding simulation runtime.</w:t>
            </w:r>
          </w:p>
        </w:tc>
        <w:tc>
          <w:tcPr>
            <w:tcW w:type="dxa" w:w="3240"/>
            <w:vAlign w:val="top"/>
          </w:tcPr>
          <w:p>
            <w:pPr>
              <w:spacing w:after="0" w:line="240" w:lineRule="auto"/>
            </w:pPr>
            <w:r>
              <w:rPr>
                <w:sz w:val="14"/>
              </w:rPr>
              <w:t>Each menu selection receives a response within 1 second.</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TC-52</w:t>
            </w:r>
          </w:p>
        </w:tc>
        <w:tc>
          <w:tcPr>
            <w:tcW w:type="dxa" w:w="691"/>
            <w:vAlign w:val="top"/>
          </w:tcPr>
          <w:p>
            <w:pPr>
              <w:spacing w:after="0" w:line="240" w:lineRule="auto"/>
            </w:pPr>
            <w:r>
              <w:rPr>
                <w:sz w:val="14"/>
              </w:rPr>
              <w:t>NFR-05</w:t>
            </w:r>
          </w:p>
        </w:tc>
        <w:tc>
          <w:tcPr>
            <w:tcW w:type="dxa" w:w="3139"/>
            <w:vAlign w:val="top"/>
          </w:tcPr>
          <w:p>
            <w:pPr>
              <w:spacing w:after="0" w:line="240" w:lineRule="auto"/>
            </w:pPr>
            <w:r>
              <w:rPr>
                <w:sz w:val="14"/>
              </w:rPr>
              <w:t>Run 3,600 ticks for each of 100 distinct seeds and inspect every signal tick.</w:t>
            </w:r>
          </w:p>
        </w:tc>
        <w:tc>
          <w:tcPr>
            <w:tcW w:type="dxa" w:w="3240"/>
            <w:vAlign w:val="top"/>
          </w:tcPr>
          <w:p>
            <w:pPr>
              <w:spacing w:after="0" w:line="240" w:lineRule="auto"/>
            </w:pPr>
            <w:r>
              <w:rPr>
                <w:sz w:val="14"/>
              </w:rPr>
              <w:t>No simultaneous NS/EW GREEN or YELLOW occurs in any run.</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TC-53</w:t>
            </w:r>
          </w:p>
        </w:tc>
        <w:tc>
          <w:tcPr>
            <w:tcW w:type="dxa" w:w="691"/>
            <w:vAlign w:val="top"/>
          </w:tcPr>
          <w:p>
            <w:pPr>
              <w:spacing w:after="0" w:line="240" w:lineRule="auto"/>
            </w:pPr>
            <w:r>
              <w:rPr>
                <w:sz w:val="14"/>
              </w:rPr>
              <w:t>NFR-06</w:t>
            </w:r>
          </w:p>
        </w:tc>
        <w:tc>
          <w:tcPr>
            <w:tcW w:type="dxa" w:w="3139"/>
            <w:vAlign w:val="top"/>
          </w:tcPr>
          <w:p>
            <w:pPr>
              <w:spacing w:after="0" w:line="240" w:lineRule="auto"/>
            </w:pPr>
            <w:r>
              <w:rPr>
                <w:sz w:val="14"/>
              </w:rPr>
              <w:t>Trace every GREEN-to-RED transition in normal cycles and emergency pre-emption.</w:t>
            </w:r>
          </w:p>
        </w:tc>
        <w:tc>
          <w:tcPr>
            <w:tcW w:type="dxa" w:w="3240"/>
            <w:vAlign w:val="top"/>
          </w:tcPr>
          <w:p>
            <w:pPr>
              <w:spacing w:after="0" w:line="240" w:lineRule="auto"/>
            </w:pPr>
            <w:r>
              <w:rPr>
                <w:sz w:val="14"/>
              </w:rPr>
              <w:t>Every transition passes through YELLOW and one All-Red tick.</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TC-54</w:t>
            </w:r>
          </w:p>
        </w:tc>
        <w:tc>
          <w:tcPr>
            <w:tcW w:type="dxa" w:w="691"/>
            <w:vAlign w:val="top"/>
          </w:tcPr>
          <w:p>
            <w:pPr>
              <w:spacing w:after="0" w:line="240" w:lineRule="auto"/>
            </w:pPr>
            <w:r>
              <w:rPr>
                <w:sz w:val="14"/>
              </w:rPr>
              <w:t>NFR-07</w:t>
            </w:r>
          </w:p>
        </w:tc>
        <w:tc>
          <w:tcPr>
            <w:tcW w:type="dxa" w:w="3139"/>
            <w:vAlign w:val="top"/>
          </w:tcPr>
          <w:p>
            <w:pPr>
              <w:spacing w:after="0" w:line="240" w:lineRule="auto"/>
            </w:pPr>
            <w:r>
              <w:rPr>
                <w:sz w:val="14"/>
              </w:rPr>
              <w:t>At the end of runs with different queue/blocking conditions, reconcile all vehicle totals.</w:t>
            </w:r>
          </w:p>
        </w:tc>
        <w:tc>
          <w:tcPr>
            <w:tcW w:type="dxa" w:w="3240"/>
            <w:vAlign w:val="top"/>
          </w:tcPr>
          <w:p>
            <w:pPr>
              <w:spacing w:after="0" w:line="240" w:lineRule="auto"/>
            </w:pPr>
            <w:r>
              <w:rPr>
                <w:sz w:val="14"/>
              </w:rPr>
              <w:t>Generated = served + blocked + still waiting for every run.</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TC-55</w:t>
            </w:r>
          </w:p>
        </w:tc>
        <w:tc>
          <w:tcPr>
            <w:tcW w:type="dxa" w:w="691"/>
            <w:vAlign w:val="top"/>
          </w:tcPr>
          <w:p>
            <w:pPr>
              <w:spacing w:after="0" w:line="240" w:lineRule="auto"/>
            </w:pPr>
            <w:r>
              <w:rPr>
                <w:sz w:val="14"/>
              </w:rPr>
              <w:t>NFR-08</w:t>
            </w:r>
          </w:p>
        </w:tc>
        <w:tc>
          <w:tcPr>
            <w:tcW w:type="dxa" w:w="3139"/>
            <w:vAlign w:val="top"/>
          </w:tcPr>
          <w:p>
            <w:pPr>
              <w:spacing w:after="0" w:line="240" w:lineRule="auto"/>
            </w:pPr>
            <w:r>
              <w:rPr>
                <w:sz w:val="14"/>
              </w:rPr>
              <w:t>Execute at least 20 prepared invalid inputs across menu, configuration, Step, and config.txt.</w:t>
            </w:r>
          </w:p>
        </w:tc>
        <w:tc>
          <w:tcPr>
            <w:tcW w:type="dxa" w:w="3240"/>
            <w:vAlign w:val="top"/>
          </w:tcPr>
          <w:p>
            <w:pPr>
              <w:spacing w:after="0" w:line="240" w:lineRule="auto"/>
            </w:pPr>
            <w:r>
              <w:rPr>
                <w:sz w:val="14"/>
              </w:rPr>
              <w:t>No invalid-input case terminates abnormally; record each input and outcome.</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TC-56</w:t>
            </w:r>
          </w:p>
        </w:tc>
        <w:tc>
          <w:tcPr>
            <w:tcW w:type="dxa" w:w="691"/>
            <w:vAlign w:val="top"/>
          </w:tcPr>
          <w:p>
            <w:pPr>
              <w:spacing w:after="0" w:line="240" w:lineRule="auto"/>
            </w:pPr>
            <w:r>
              <w:rPr>
                <w:sz w:val="14"/>
              </w:rPr>
              <w:t>NFR-09</w:t>
            </w:r>
          </w:p>
        </w:tc>
        <w:tc>
          <w:tcPr>
            <w:tcW w:type="dxa" w:w="3139"/>
            <w:vAlign w:val="top"/>
          </w:tcPr>
          <w:p>
            <w:pPr>
              <w:spacing w:after="0" w:line="240" w:lineRule="auto"/>
            </w:pPr>
            <w:r>
              <w:rPr>
                <w:sz w:val="14"/>
              </w:rPr>
              <w:t>Complete a run, reset, and exit under Valgrind or AddressSanitizer.</w:t>
            </w:r>
          </w:p>
        </w:tc>
        <w:tc>
          <w:tcPr>
            <w:tcW w:type="dxa" w:w="3240"/>
            <w:vAlign w:val="top"/>
          </w:tcPr>
          <w:p>
            <w:pPr>
              <w:spacing w:after="0" w:line="240" w:lineRule="auto"/>
            </w:pPr>
            <w:r>
              <w:rPr>
                <w:sz w:val="14"/>
              </w:rPr>
              <w:t>No memory leaks and no invalid memory access are reported.</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TC-57</w:t>
            </w:r>
          </w:p>
        </w:tc>
        <w:tc>
          <w:tcPr>
            <w:tcW w:type="dxa" w:w="691"/>
            <w:vAlign w:val="top"/>
          </w:tcPr>
          <w:p>
            <w:pPr>
              <w:spacing w:after="0" w:line="240" w:lineRule="auto"/>
            </w:pPr>
            <w:r>
              <w:rPr>
                <w:sz w:val="14"/>
              </w:rPr>
              <w:t>SEC-01</w:t>
            </w:r>
          </w:p>
        </w:tc>
        <w:tc>
          <w:tcPr>
            <w:tcW w:type="dxa" w:w="3139"/>
            <w:vAlign w:val="top"/>
          </w:tcPr>
          <w:p>
            <w:pPr>
              <w:spacing w:after="0" w:line="240" w:lineRule="auto"/>
            </w:pPr>
            <w:r>
              <w:rPr>
                <w:sz w:val="14"/>
              </w:rPr>
              <w:t>Supply wrong types, overlong values, empty values, and boundary/out-of-range values interactively and in config.txt.</w:t>
            </w:r>
          </w:p>
        </w:tc>
        <w:tc>
          <w:tcPr>
            <w:tcW w:type="dxa" w:w="3240"/>
            <w:vAlign w:val="top"/>
          </w:tcPr>
          <w:p>
            <w:pPr>
              <w:spacing w:after="0" w:line="240" w:lineRule="auto"/>
            </w:pPr>
            <w:r>
              <w:rPr>
                <w:sz w:val="14"/>
              </w:rPr>
              <w:t>Every value is type/length/range checked before use; bounded input handling prevents unsafe reads.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TC-58</w:t>
            </w:r>
          </w:p>
        </w:tc>
        <w:tc>
          <w:tcPr>
            <w:tcW w:type="dxa" w:w="691"/>
            <w:vAlign w:val="top"/>
          </w:tcPr>
          <w:p>
            <w:pPr>
              <w:spacing w:after="0" w:line="240" w:lineRule="auto"/>
            </w:pPr>
            <w:r>
              <w:rPr>
                <w:sz w:val="14"/>
              </w:rPr>
              <w:t>SEC-02</w:t>
            </w:r>
          </w:p>
        </w:tc>
        <w:tc>
          <w:tcPr>
            <w:tcW w:type="dxa" w:w="3139"/>
            <w:vAlign w:val="top"/>
          </w:tcPr>
          <w:p>
            <w:pPr>
              <w:spacing w:after="0" w:line="240" w:lineRule="auto"/>
            </w:pPr>
            <w:r>
              <w:rPr>
                <w:sz w:val="14"/>
              </w:rPr>
              <w:t>Build with -Wall -Wextra and run complete scenarios under AddressSanitizer.</w:t>
            </w:r>
          </w:p>
        </w:tc>
        <w:tc>
          <w:tcPr>
            <w:tcW w:type="dxa" w:w="3240"/>
            <w:vAlign w:val="top"/>
          </w:tcPr>
          <w:p>
            <w:pPr>
              <w:spacing w:after="0" w:line="240" w:lineRule="auto"/>
            </w:pPr>
            <w:r>
              <w:rPr>
                <w:sz w:val="14"/>
              </w:rPr>
              <w:t>No compiler warnings, buffer overflow, or sanitizer errors.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TC-59</w:t>
            </w:r>
          </w:p>
        </w:tc>
        <w:tc>
          <w:tcPr>
            <w:tcW w:type="dxa" w:w="691"/>
            <w:vAlign w:val="top"/>
          </w:tcPr>
          <w:p>
            <w:pPr>
              <w:spacing w:after="0" w:line="240" w:lineRule="auto"/>
            </w:pPr>
            <w:r>
              <w:rPr>
                <w:sz w:val="14"/>
              </w:rPr>
              <w:t>SEC-03</w:t>
            </w:r>
          </w:p>
        </w:tc>
        <w:tc>
          <w:tcPr>
            <w:tcW w:type="dxa" w:w="3139"/>
            <w:vAlign w:val="top"/>
          </w:tcPr>
          <w:p>
            <w:pPr>
              <w:spacing w:after="0" w:line="240" w:lineRule="auto"/>
            </w:pPr>
            <w:r>
              <w:rPr>
                <w:sz w:val="14"/>
              </w:rPr>
              <w:t>Run exports in a clean working directory; inspect created files and file-name handling.</w:t>
            </w:r>
          </w:p>
        </w:tc>
        <w:tc>
          <w:tcPr>
            <w:tcW w:type="dxa" w:w="3240"/>
            <w:vAlign w:val="top"/>
          </w:tcPr>
          <w:p>
            <w:pPr>
              <w:spacing w:after="0" w:line="240" w:lineRule="auto"/>
            </w:pPr>
            <w:r>
              <w:rPr>
                <w:sz w:val="14"/>
              </w:rPr>
              <w:t>Only report.txt and events.csv are written in the working folder; names with separators or .. are rejected.</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TC-60</w:t>
            </w:r>
          </w:p>
        </w:tc>
        <w:tc>
          <w:tcPr>
            <w:tcW w:type="dxa" w:w="691"/>
            <w:vAlign w:val="top"/>
          </w:tcPr>
          <w:p>
            <w:pPr>
              <w:spacing w:after="0" w:line="240" w:lineRule="auto"/>
            </w:pPr>
            <w:r>
              <w:rPr>
                <w:sz w:val="14"/>
              </w:rPr>
              <w:t>SEC-04</w:t>
            </w:r>
          </w:p>
        </w:tc>
        <w:tc>
          <w:tcPr>
            <w:tcW w:type="dxa" w:w="3139"/>
            <w:vAlign w:val="top"/>
          </w:tcPr>
          <w:p>
            <w:pPr>
              <w:spacing w:after="0" w:line="240" w:lineRule="auto"/>
            </w:pPr>
            <w:r>
              <w:rPr>
                <w:sz w:val="14"/>
              </w:rPr>
              <w:t>Pre-create each output file; test overwrite confirmation with yes and no.</w:t>
            </w:r>
          </w:p>
        </w:tc>
        <w:tc>
          <w:tcPr>
            <w:tcW w:type="dxa" w:w="3240"/>
            <w:vAlign w:val="top"/>
          </w:tcPr>
          <w:p>
            <w:pPr>
              <w:spacing w:after="0" w:line="240" w:lineRule="auto"/>
            </w:pPr>
            <w:r>
              <w:rPr>
                <w:sz w:val="14"/>
              </w:rPr>
              <w:t>System asks before each overwrite; yes replaces the file, no preserves it.</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TC-61</w:t>
            </w:r>
          </w:p>
        </w:tc>
        <w:tc>
          <w:tcPr>
            <w:tcW w:type="dxa" w:w="691"/>
            <w:vAlign w:val="top"/>
          </w:tcPr>
          <w:p>
            <w:pPr>
              <w:spacing w:after="0" w:line="240" w:lineRule="auto"/>
            </w:pPr>
            <w:r>
              <w:rPr>
                <w:sz w:val="14"/>
              </w:rPr>
              <w:t>SEC-05</w:t>
            </w:r>
          </w:p>
        </w:tc>
        <w:tc>
          <w:tcPr>
            <w:tcW w:type="dxa" w:w="3139"/>
            <w:vAlign w:val="top"/>
          </w:tcPr>
          <w:p>
            <w:pPr>
              <w:spacing w:after="0" w:line="240" w:lineRule="auto"/>
            </w:pPr>
            <w:r>
              <w:rPr>
                <w:sz w:val="14"/>
              </w:rPr>
              <w:t>Create config.txt with 1,000 valid lines, then &gt;1,000 lines; test 200 and &gt;200 character lines.</w:t>
            </w:r>
          </w:p>
        </w:tc>
        <w:tc>
          <w:tcPr>
            <w:tcW w:type="dxa" w:w="3240"/>
            <w:vAlign w:val="top"/>
          </w:tcPr>
          <w:p>
            <w:pPr>
              <w:spacing w:after="0" w:line="240" w:lineRule="auto"/>
            </w:pPr>
            <w:r>
              <w:rPr>
                <w:sz w:val="14"/>
              </w:rPr>
              <w:t>Reads no more than 1,000 lines of at most 200 characters and ignores remaining input safely.</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TC-62</w:t>
            </w:r>
          </w:p>
        </w:tc>
        <w:tc>
          <w:tcPr>
            <w:tcW w:type="dxa" w:w="691"/>
            <w:vAlign w:val="top"/>
          </w:tcPr>
          <w:p>
            <w:pPr>
              <w:spacing w:after="0" w:line="240" w:lineRule="auto"/>
            </w:pPr>
            <w:r>
              <w:rPr>
                <w:sz w:val="14"/>
              </w:rPr>
              <w:t>SEC-06</w:t>
            </w:r>
          </w:p>
        </w:tc>
        <w:tc>
          <w:tcPr>
            <w:tcW w:type="dxa" w:w="3139"/>
            <w:vAlign w:val="top"/>
          </w:tcPr>
          <w:p>
            <w:pPr>
              <w:spacing w:after="0" w:line="240" w:lineRule="auto"/>
            </w:pPr>
            <w:r>
              <w:rPr>
                <w:sz w:val="14"/>
              </w:rPr>
              <w:t>Inspect in-memory vehicle/config/event structures and generated output files.</w:t>
            </w:r>
          </w:p>
        </w:tc>
        <w:tc>
          <w:tcPr>
            <w:tcW w:type="dxa" w:w="3240"/>
            <w:vAlign w:val="top"/>
          </w:tcPr>
          <w:p>
            <w:pPr>
              <w:spacing w:after="0" w:line="240" w:lineRule="auto"/>
            </w:pPr>
            <w:r>
              <w:rPr>
                <w:sz w:val="14"/>
              </w:rPr>
              <w:t>No personal data is collected, stored, or transmitted; vehicles remain anonymous.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TC-63</w:t>
            </w:r>
          </w:p>
        </w:tc>
        <w:tc>
          <w:tcPr>
            <w:tcW w:type="dxa" w:w="691"/>
            <w:vAlign w:val="top"/>
          </w:tcPr>
          <w:p>
            <w:pPr>
              <w:spacing w:after="0" w:line="240" w:lineRule="auto"/>
            </w:pPr>
            <w:r>
              <w:rPr>
                <w:sz w:val="14"/>
              </w:rPr>
              <w:t>SEC-07</w:t>
            </w:r>
          </w:p>
        </w:tc>
        <w:tc>
          <w:tcPr>
            <w:tcW w:type="dxa" w:w="3139"/>
            <w:vAlign w:val="top"/>
          </w:tcPr>
          <w:p>
            <w:pPr>
              <w:spacing w:after="0" w:line="240" w:lineRule="auto"/>
            </w:pPr>
            <w:r>
              <w:rPr>
                <w:sz w:val="14"/>
              </w:rPr>
              <w:t>Cause blocked arrivals, emergency start/end, and rejected configuration; inspect event log.</w:t>
            </w:r>
          </w:p>
        </w:tc>
        <w:tc>
          <w:tcPr>
            <w:tcW w:type="dxa" w:w="3240"/>
            <w:vAlign w:val="top"/>
          </w:tcPr>
          <w:p>
            <w:pPr>
              <w:spacing w:after="0" w:line="240" w:lineRule="auto"/>
            </w:pPr>
            <w:r>
              <w:rPr>
                <w:sz w:val="14"/>
              </w:rPr>
              <w:t>Every such event is logged with its tick/timestamp and relevant details.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TC-64</w:t>
            </w:r>
          </w:p>
        </w:tc>
        <w:tc>
          <w:tcPr>
            <w:tcW w:type="dxa" w:w="691"/>
            <w:vAlign w:val="top"/>
          </w:tcPr>
          <w:p>
            <w:pPr>
              <w:spacing w:after="0" w:line="240" w:lineRule="auto"/>
            </w:pPr>
            <w:r>
              <w:rPr>
                <w:sz w:val="14"/>
              </w:rPr>
              <w:t>SEC-08</w:t>
            </w:r>
          </w:p>
        </w:tc>
        <w:tc>
          <w:tcPr>
            <w:tcW w:type="dxa" w:w="3139"/>
            <w:vAlign w:val="top"/>
          </w:tcPr>
          <w:p>
            <w:pPr>
              <w:spacing w:after="0" w:line="240" w:lineRule="auto"/>
            </w:pPr>
            <w:r>
              <w:rPr>
                <w:sz w:val="14"/>
              </w:rPr>
              <w:t>Review counter types and exercise maximum duration/high event volume with overflow checks enabled.</w:t>
            </w:r>
          </w:p>
        </w:tc>
        <w:tc>
          <w:tcPr>
            <w:tcW w:type="dxa" w:w="3240"/>
            <w:vAlign w:val="top"/>
          </w:tcPr>
          <w:p>
            <w:pPr>
              <w:spacing w:after="0" w:line="240" w:lineRule="auto"/>
            </w:pPr>
            <w:r>
              <w:rPr>
                <w:sz w:val="14"/>
              </w:rPr>
              <w:t>Growing counters use at least 64 bits; checked arithmetic prevents counter/time overflow.</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TC-65</w:t>
            </w:r>
          </w:p>
        </w:tc>
        <w:tc>
          <w:tcPr>
            <w:tcW w:type="dxa" w:w="691"/>
            <w:vAlign w:val="top"/>
          </w:tcPr>
          <w:p>
            <w:pPr>
              <w:spacing w:after="0" w:line="240" w:lineRule="auto"/>
            </w:pPr>
            <w:r>
              <w:rPr>
                <w:sz w:val="14"/>
              </w:rPr>
              <w:t>NFR-10</w:t>
            </w:r>
          </w:p>
        </w:tc>
        <w:tc>
          <w:tcPr>
            <w:tcW w:type="dxa" w:w="3139"/>
            <w:vAlign w:val="top"/>
          </w:tcPr>
          <w:p>
            <w:pPr>
              <w:spacing w:after="0" w:line="240" w:lineRule="auto"/>
            </w:pPr>
            <w:r>
              <w:rPr>
                <w:sz w:val="14"/>
              </w:rPr>
              <w:t>Give a new user the default menu and observe starting a run and viewing summary.</w:t>
            </w:r>
          </w:p>
        </w:tc>
        <w:tc>
          <w:tcPr>
            <w:tcW w:type="dxa" w:w="3240"/>
            <w:vAlign w:val="top"/>
          </w:tcPr>
          <w:p>
            <w:pPr>
              <w:spacing w:after="0" w:line="240" w:lineRule="auto"/>
            </w:pPr>
            <w:r>
              <w:rPr>
                <w:sz w:val="14"/>
              </w:rPr>
              <w:t>User can start the default simulation and see summary within 2 minutes and no more than 3 menu selections.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TC-66</w:t>
            </w:r>
          </w:p>
        </w:tc>
        <w:tc>
          <w:tcPr>
            <w:tcW w:type="dxa" w:w="691"/>
            <w:vAlign w:val="top"/>
          </w:tcPr>
          <w:p>
            <w:pPr>
              <w:spacing w:after="0" w:line="240" w:lineRule="auto"/>
            </w:pPr>
            <w:r>
              <w:rPr>
                <w:sz w:val="14"/>
              </w:rPr>
              <w:t>NFR-11</w:t>
            </w:r>
          </w:p>
        </w:tc>
        <w:tc>
          <w:tcPr>
            <w:tcW w:type="dxa" w:w="3139"/>
            <w:vAlign w:val="top"/>
          </w:tcPr>
          <w:p>
            <w:pPr>
              <w:spacing w:after="0" w:line="240" w:lineRule="auto"/>
            </w:pPr>
            <w:r>
              <w:rPr>
                <w:sz w:val="14"/>
              </w:rPr>
              <w:t>Trigger representative invalid menu, input, file, and resource errors.</w:t>
            </w:r>
          </w:p>
        </w:tc>
        <w:tc>
          <w:tcPr>
            <w:tcW w:type="dxa" w:w="3240"/>
            <w:vAlign w:val="top"/>
          </w:tcPr>
          <w:p>
            <w:pPr>
              <w:spacing w:after="0" w:line="240" w:lineRule="auto"/>
            </w:pPr>
            <w:r>
              <w:rPr>
                <w:sz w:val="14"/>
              </w:rPr>
              <w:t>Each error states what is wrong and the allowed range or corrective action.</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TC-67</w:t>
            </w:r>
          </w:p>
        </w:tc>
        <w:tc>
          <w:tcPr>
            <w:tcW w:type="dxa" w:w="691"/>
            <w:vAlign w:val="top"/>
          </w:tcPr>
          <w:p>
            <w:pPr>
              <w:spacing w:after="0" w:line="240" w:lineRule="auto"/>
            </w:pPr>
            <w:r>
              <w:rPr>
                <w:sz w:val="14"/>
              </w:rPr>
              <w:t>NFR-12</w:t>
            </w:r>
          </w:p>
        </w:tc>
        <w:tc>
          <w:tcPr>
            <w:tcW w:type="dxa" w:w="3139"/>
            <w:vAlign w:val="top"/>
          </w:tcPr>
          <w:p>
            <w:pPr>
              <w:spacing w:after="0" w:line="240" w:lineRule="auto"/>
            </w:pPr>
            <w:r>
              <w:rPr>
                <w:sz w:val="14"/>
              </w:rPr>
              <w:t>Inspect project source structure and measure function lengths.</w:t>
            </w:r>
          </w:p>
        </w:tc>
        <w:tc>
          <w:tcPr>
            <w:tcW w:type="dxa" w:w="3240"/>
            <w:vAlign w:val="top"/>
          </w:tcPr>
          <w:p>
            <w:pPr>
              <w:spacing w:after="0" w:line="240" w:lineRule="auto"/>
            </w:pPr>
            <w:r>
              <w:rPr>
                <w:sz w:val="14"/>
              </w:rPr>
              <w:t>Each Section 5 feature has its own header/source file and no function exceeds 50 lines.</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TC-68</w:t>
            </w:r>
          </w:p>
        </w:tc>
        <w:tc>
          <w:tcPr>
            <w:tcW w:type="dxa" w:w="691"/>
            <w:vAlign w:val="top"/>
          </w:tcPr>
          <w:p>
            <w:pPr>
              <w:spacing w:after="0" w:line="240" w:lineRule="auto"/>
            </w:pPr>
            <w:r>
              <w:rPr>
                <w:sz w:val="14"/>
              </w:rPr>
              <w:t>NFR-13</w:t>
            </w:r>
          </w:p>
        </w:tc>
        <w:tc>
          <w:tcPr>
            <w:tcW w:type="dxa" w:w="3139"/>
            <w:vAlign w:val="top"/>
          </w:tcPr>
          <w:p>
            <w:pPr>
              <w:spacing w:after="0" w:line="240" w:lineRule="auto"/>
            </w:pPr>
            <w:r>
              <w:rPr>
                <w:sz w:val="14"/>
              </w:rPr>
              <w:t>Inventory public queue, signal, emergency, and statistics functions against unit tests.</w:t>
            </w:r>
          </w:p>
        </w:tc>
        <w:tc>
          <w:tcPr>
            <w:tcW w:type="dxa" w:w="3240"/>
            <w:vAlign w:val="top"/>
          </w:tcPr>
          <w:p>
            <w:pPr>
              <w:spacing w:after="0" w:line="240" w:lineRule="auto"/>
            </w:pPr>
            <w:r>
              <w:rPr>
                <w:sz w:val="14"/>
              </w:rPr>
              <w:t>Every public function in those modules has at least one unit test.</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TC-69</w:t>
            </w:r>
          </w:p>
        </w:tc>
        <w:tc>
          <w:tcPr>
            <w:tcW w:type="dxa" w:w="691"/>
            <w:vAlign w:val="top"/>
          </w:tcPr>
          <w:p>
            <w:pPr>
              <w:spacing w:after="0" w:line="240" w:lineRule="auto"/>
            </w:pPr>
            <w:r>
              <w:rPr>
                <w:sz w:val="14"/>
              </w:rPr>
              <w:t>NFR-14</w:t>
            </w:r>
          </w:p>
        </w:tc>
        <w:tc>
          <w:tcPr>
            <w:tcW w:type="dxa" w:w="3139"/>
            <w:vAlign w:val="top"/>
          </w:tcPr>
          <w:p>
            <w:pPr>
              <w:spacing w:after="0" w:line="240" w:lineRule="auto"/>
            </w:pPr>
            <w:r>
              <w:rPr>
                <w:sz w:val="14"/>
              </w:rPr>
              <w:t>Build the same source without edits using g++ 9+ on Ubuntu 20.04 and MinGW on Windows.</w:t>
            </w:r>
          </w:p>
        </w:tc>
        <w:tc>
          <w:tcPr>
            <w:tcW w:type="dxa" w:w="3240"/>
            <w:vAlign w:val="top"/>
          </w:tcPr>
          <w:p>
            <w:pPr>
              <w:spacing w:after="0" w:line="240" w:lineRule="auto"/>
            </w:pPr>
            <w:r>
              <w:rPr>
                <w:sz w:val="14"/>
              </w:rPr>
              <w:t>Both supported builds compile successfully without source changes.</w:t>
            </w:r>
          </w:p>
        </w:tc>
        <w:tc>
          <w:tcPr>
            <w:tcW w:type="dxa" w:w="878"/>
            <w:vAlign w:val="top"/>
          </w:tcPr>
          <w:p>
            <w:pPr>
              <w:spacing w:after="0" w:line="240" w:lineRule="auto"/>
            </w:pPr>
            <w:r>
              <w:rPr>
                <w:sz w:val="14"/>
              </w:rPr>
              <w:t>Not run</w:t>
            </w:r>
          </w:p>
        </w:tc>
      </w:tr>
    </w:tbl>
    <w:p>
      <w:pPr>
        <w:pStyle w:val="Heading2"/>
        <w:keepNext/>
      </w:pPr>
      <w:r>
        <w:t>5.8 Business Rules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rPr>
          <w:tblHeader w:val="true"/>
        </w:trPr>
        <w:tc>
          <w:tcPr>
            <w:tcW w:type="dxa" w:w="691"/>
            <w:vAlign w:val="center"/>
          </w:tcPr>
          <w:p>
            <w:pPr>
              <w:spacing w:after="0"/>
            </w:pPr>
            <w:r>
              <w:rPr>
                <w:b/>
                <w:color w:val="366091"/>
                <w:sz w:val="16"/>
              </w:rPr>
              <w:t>Case ID</w:t>
            </w:r>
          </w:p>
        </w:tc>
        <w:tc>
          <w:tcPr>
            <w:tcW w:type="dxa" w:w="691"/>
            <w:vAlign w:val="center"/>
          </w:tcPr>
          <w:p>
            <w:pPr>
              <w:spacing w:after="0"/>
            </w:pPr>
            <w:r>
              <w:rPr>
                <w:b/>
                <w:color w:val="366091"/>
                <w:sz w:val="16"/>
              </w:rPr>
              <w:t>Req ID</w:t>
            </w:r>
          </w:p>
        </w:tc>
        <w:tc>
          <w:tcPr>
            <w:tcW w:type="dxa" w:w="3139"/>
            <w:vAlign w:val="center"/>
          </w:tcPr>
          <w:p>
            <w:pPr>
              <w:spacing w:after="0"/>
            </w:pPr>
            <w:r>
              <w:rPr>
                <w:b/>
                <w:color w:val="366091"/>
                <w:sz w:val="16"/>
              </w:rPr>
              <w:t>What to do</w:t>
            </w:r>
          </w:p>
        </w:tc>
        <w:tc>
          <w:tcPr>
            <w:tcW w:type="dxa" w:w="3240"/>
            <w:vAlign w:val="center"/>
          </w:tcPr>
          <w:p>
            <w:pPr>
              <w:spacing w:after="0"/>
            </w:pPr>
            <w:r>
              <w:rPr>
                <w:b/>
                <w:color w:val="366091"/>
                <w:sz w:val="16"/>
              </w:rPr>
              <w:t>Expected result</w:t>
            </w:r>
          </w:p>
        </w:tc>
        <w:tc>
          <w:tcPr>
            <w:tcW w:type="dxa" w:w="878"/>
            <w:vAlign w:val="center"/>
          </w:tcPr>
          <w:p>
            <w:pPr>
              <w:spacing w:after="0"/>
            </w:pPr>
            <w:r>
              <w:rPr>
                <w:b/>
                <w:color w:val="366091"/>
                <w:sz w:val="16"/>
              </w:rPr>
              <w:t>Status</w:t>
            </w:r>
          </w:p>
        </w:tc>
      </w:tr>
      <w:tr>
        <w:trPr>
          <w:cantSplit/>
        </w:trPr>
        <w:tc>
          <w:tcPr>
            <w:tcW w:type="dxa" w:w="691"/>
            <w:vAlign w:val="top"/>
          </w:tcPr>
          <w:p>
            <w:pPr>
              <w:spacing w:after="0" w:line="240" w:lineRule="auto"/>
            </w:pPr>
            <w:r>
              <w:rPr>
                <w:sz w:val="14"/>
              </w:rPr>
              <w:t>TC-70</w:t>
            </w:r>
          </w:p>
        </w:tc>
        <w:tc>
          <w:tcPr>
            <w:tcW w:type="dxa" w:w="691"/>
            <w:vAlign w:val="top"/>
          </w:tcPr>
          <w:p>
            <w:pPr>
              <w:spacing w:after="0" w:line="240" w:lineRule="auto"/>
            </w:pPr>
            <w:r>
              <w:rPr>
                <w:sz w:val="14"/>
              </w:rPr>
              <w:t>BR-01</w:t>
            </w:r>
          </w:p>
        </w:tc>
        <w:tc>
          <w:tcPr>
            <w:tcW w:type="dxa" w:w="3139"/>
            <w:vAlign w:val="top"/>
          </w:tcPr>
          <w:p>
            <w:pPr>
              <w:spacing w:after="0" w:line="240" w:lineRule="auto"/>
            </w:pPr>
            <w:r>
              <w:rPr>
                <w:sz w:val="14"/>
              </w:rPr>
              <w:t>Inspect signals for both phases at every tick in normal and emergency scenarios.</w:t>
            </w:r>
          </w:p>
        </w:tc>
        <w:tc>
          <w:tcPr>
            <w:tcW w:type="dxa" w:w="3240"/>
            <w:vAlign w:val="top"/>
          </w:tcPr>
          <w:p>
            <w:pPr>
              <w:spacing w:after="0" w:line="240" w:lineRule="auto"/>
            </w:pPr>
            <w:r>
              <w:rPr>
                <w:sz w:val="14"/>
              </w:rPr>
              <w:t>Only one phase can be non-red at any time.</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TC-71</w:t>
            </w:r>
          </w:p>
        </w:tc>
        <w:tc>
          <w:tcPr>
            <w:tcW w:type="dxa" w:w="691"/>
            <w:vAlign w:val="top"/>
          </w:tcPr>
          <w:p>
            <w:pPr>
              <w:spacing w:after="0" w:line="240" w:lineRule="auto"/>
            </w:pPr>
            <w:r>
              <w:rPr>
                <w:sz w:val="14"/>
              </w:rPr>
              <w:t>BR-02</w:t>
            </w:r>
          </w:p>
        </w:tc>
        <w:tc>
          <w:tcPr>
            <w:tcW w:type="dxa" w:w="3139"/>
            <w:vAlign w:val="top"/>
          </w:tcPr>
          <w:p>
            <w:pPr>
              <w:spacing w:after="0" w:line="240" w:lineRule="auto"/>
            </w:pPr>
            <w:r>
              <w:rPr>
                <w:sz w:val="14"/>
              </w:rPr>
              <w:t>Mix emergencies and normal vehicles, including same-priority vehicles with known arrival order.</w:t>
            </w:r>
          </w:p>
        </w:tc>
        <w:tc>
          <w:tcPr>
            <w:tcW w:type="dxa" w:w="3240"/>
            <w:vAlign w:val="top"/>
          </w:tcPr>
          <w:p>
            <w:pPr>
              <w:spacing w:after="0" w:line="240" w:lineRule="auto"/>
            </w:pPr>
            <w:r>
              <w:rPr>
                <w:sz w:val="14"/>
              </w:rPr>
              <w:t>Emergencies outrank normal vehicles; each priority class preserves arrival order.</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TC-72</w:t>
            </w:r>
          </w:p>
        </w:tc>
        <w:tc>
          <w:tcPr>
            <w:tcW w:type="dxa" w:w="691"/>
            <w:vAlign w:val="top"/>
          </w:tcPr>
          <w:p>
            <w:pPr>
              <w:spacing w:after="0" w:line="240" w:lineRule="auto"/>
            </w:pPr>
            <w:r>
              <w:rPr>
                <w:sz w:val="14"/>
              </w:rPr>
              <w:t>BR-03</w:t>
            </w:r>
          </w:p>
        </w:tc>
        <w:tc>
          <w:tcPr>
            <w:tcW w:type="dxa" w:w="3139"/>
            <w:vAlign w:val="top"/>
          </w:tcPr>
          <w:p>
            <w:pPr>
              <w:spacing w:after="0" w:line="240" w:lineRule="auto"/>
            </w:pPr>
            <w:r>
              <w:rPr>
                <w:sz w:val="14"/>
              </w:rPr>
              <w:t>Exercise Fixed, Adaptive, and emergency greens with boundary queue sizes/timings.</w:t>
            </w:r>
          </w:p>
        </w:tc>
        <w:tc>
          <w:tcPr>
            <w:tcW w:type="dxa" w:w="3240"/>
            <w:vAlign w:val="top"/>
          </w:tcPr>
          <w:p>
            <w:pPr>
              <w:spacing w:after="0" w:line="240" w:lineRule="auto"/>
            </w:pPr>
            <w:r>
              <w:rPr>
                <w:sz w:val="14"/>
              </w:rPr>
              <w:t>Every green duration is at least Gmin and at most Gmax.</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TC-73</w:t>
            </w:r>
          </w:p>
        </w:tc>
        <w:tc>
          <w:tcPr>
            <w:tcW w:type="dxa" w:w="691"/>
            <w:vAlign w:val="top"/>
          </w:tcPr>
          <w:p>
            <w:pPr>
              <w:spacing w:after="0" w:line="240" w:lineRule="auto"/>
            </w:pPr>
            <w:r>
              <w:rPr>
                <w:sz w:val="14"/>
              </w:rPr>
              <w:t>BR-04</w:t>
            </w:r>
          </w:p>
        </w:tc>
        <w:tc>
          <w:tcPr>
            <w:tcW w:type="dxa" w:w="3139"/>
            <w:vAlign w:val="top"/>
          </w:tcPr>
          <w:p>
            <w:pPr>
              <w:spacing w:after="0" w:line="240" w:lineRule="auto"/>
            </w:pPr>
            <w:r>
              <w:rPr>
                <w:sz w:val="14"/>
              </w:rPr>
              <w:t>Attempt service across GREEN, YELLOW, RED, and emergency GREEN states.</w:t>
            </w:r>
          </w:p>
        </w:tc>
        <w:tc>
          <w:tcPr>
            <w:tcW w:type="dxa" w:w="3240"/>
            <w:vAlign w:val="top"/>
          </w:tcPr>
          <w:p>
            <w:pPr>
              <w:spacing w:after="0" w:line="240" w:lineRule="auto"/>
            </w:pPr>
            <w:r>
              <w:rPr>
                <w:sz w:val="14"/>
              </w:rPr>
              <w:t>A vehicle leaves only while its approach is GREEN, including pre-emption GREEN.</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TC-74</w:t>
            </w:r>
          </w:p>
        </w:tc>
        <w:tc>
          <w:tcPr>
            <w:tcW w:type="dxa" w:w="691"/>
            <w:vAlign w:val="top"/>
          </w:tcPr>
          <w:p>
            <w:pPr>
              <w:spacing w:after="0" w:line="240" w:lineRule="auto"/>
            </w:pPr>
            <w:r>
              <w:rPr>
                <w:sz w:val="14"/>
              </w:rPr>
              <w:t>BR-05</w:t>
            </w:r>
          </w:p>
        </w:tc>
        <w:tc>
          <w:tcPr>
            <w:tcW w:type="dxa" w:w="3139"/>
            <w:vAlign w:val="top"/>
          </w:tcPr>
          <w:p>
            <w:pPr>
              <w:spacing w:after="0" w:line="240" w:lineRule="auto"/>
            </w:pPr>
            <w:r>
              <w:rPr>
                <w:sz w:val="14"/>
              </w:rPr>
              <w:t>Track vehicle IDs across enqueue, service, blocking, and remaining queues.</w:t>
            </w:r>
          </w:p>
        </w:tc>
        <w:tc>
          <w:tcPr>
            <w:tcW w:type="dxa" w:w="3240"/>
            <w:vAlign w:val="top"/>
          </w:tcPr>
          <w:p>
            <w:pPr>
              <w:spacing w:after="0" w:line="240" w:lineRule="auto"/>
            </w:pPr>
            <w:r>
              <w:rPr>
                <w:sz w:val="14"/>
              </w:rPr>
              <w:t>Each vehicle belongs to exactly one approach queue and is served at most once.</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TC-75</w:t>
            </w:r>
          </w:p>
        </w:tc>
        <w:tc>
          <w:tcPr>
            <w:tcW w:type="dxa" w:w="691"/>
            <w:vAlign w:val="top"/>
          </w:tcPr>
          <w:p>
            <w:pPr>
              <w:spacing w:after="0" w:line="240" w:lineRule="auto"/>
            </w:pPr>
            <w:r>
              <w:rPr>
                <w:sz w:val="14"/>
              </w:rPr>
              <w:t>BR-06</w:t>
            </w:r>
          </w:p>
        </w:tc>
        <w:tc>
          <w:tcPr>
            <w:tcW w:type="dxa" w:w="3139"/>
            <w:vAlign w:val="top"/>
          </w:tcPr>
          <w:p>
            <w:pPr>
              <w:spacing w:after="0" w:line="240" w:lineRule="auto"/>
            </w:pPr>
            <w:r>
              <w:rPr>
                <w:sz w:val="14"/>
              </w:rPr>
              <w:t>Compare summary values with recorded arrivals, departures, waits, and queues; attempt user edits.</w:t>
            </w:r>
          </w:p>
        </w:tc>
        <w:tc>
          <w:tcPr>
            <w:tcW w:type="dxa" w:w="3240"/>
            <w:vAlign w:val="top"/>
          </w:tcPr>
          <w:p>
            <w:pPr>
              <w:spacing w:after="0" w:line="240" w:lineRule="auto"/>
            </w:pPr>
            <w:r>
              <w:rPr>
                <w:sz w:val="14"/>
              </w:rPr>
              <w:t>Statistics derive only from recorded simulation data and cannot be edited by the user.</w:t>
            </w:r>
          </w:p>
        </w:tc>
        <w:tc>
          <w:tcPr>
            <w:tcW w:type="dxa" w:w="878"/>
            <w:vAlign w:val="top"/>
          </w:tcPr>
          <w:p>
            <w:pPr>
              <w:spacing w:after="0" w:line="240" w:lineRule="auto"/>
            </w:pPr>
            <w:r>
              <w:rPr>
                <w:sz w:val="14"/>
              </w:rPr>
              <w:t>Not run</w:t>
            </w:r>
          </w:p>
        </w:tc>
      </w:tr>
      <w:tr>
        <w:trPr>
          <w:cantSplit/>
        </w:trPr>
        <w:tc>
          <w:tcPr>
            <w:tcW w:type="dxa" w:w="691"/>
            <w:vAlign w:val="top"/>
          </w:tcPr>
          <w:p>
            <w:pPr>
              <w:spacing w:after="0" w:line="240" w:lineRule="auto"/>
            </w:pPr>
            <w:r>
              <w:rPr>
                <w:sz w:val="14"/>
              </w:rPr>
              <w:t>TC-76</w:t>
            </w:r>
          </w:p>
        </w:tc>
        <w:tc>
          <w:tcPr>
            <w:tcW w:type="dxa" w:w="691"/>
            <w:vAlign w:val="top"/>
          </w:tcPr>
          <w:p>
            <w:pPr>
              <w:spacing w:after="0" w:line="240" w:lineRule="auto"/>
            </w:pPr>
            <w:r>
              <w:rPr>
                <w:sz w:val="14"/>
              </w:rPr>
              <w:t>BR-07</w:t>
            </w:r>
          </w:p>
        </w:tc>
        <w:tc>
          <w:tcPr>
            <w:tcW w:type="dxa" w:w="3139"/>
            <w:vAlign w:val="top"/>
          </w:tcPr>
          <w:p>
            <w:pPr>
              <w:spacing w:after="0" w:line="240" w:lineRule="auto"/>
            </w:pPr>
            <w:r>
              <w:rPr>
                <w:sz w:val="14"/>
              </w:rPr>
              <w:t>Inspect menu and accessible operations as each user type; attempt to find role-specific paths.</w:t>
            </w:r>
          </w:p>
        </w:tc>
        <w:tc>
          <w:tcPr>
            <w:tcW w:type="dxa" w:w="3240"/>
            <w:vAlign w:val="top"/>
          </w:tcPr>
          <w:p>
            <w:pPr>
              <w:spacing w:after="0" w:line="240" w:lineRule="auto"/>
            </w:pPr>
            <w:r>
              <w:rPr>
                <w:sz w:val="14"/>
              </w:rPr>
              <w:t>All users have the same rights; Version 1.0 exposes no user roles.</w:t>
            </w:r>
          </w:p>
        </w:tc>
        <w:tc>
          <w:tcPr>
            <w:tcW w:type="dxa" w:w="878"/>
            <w:vAlign w:val="top"/>
          </w:tcPr>
          <w:p>
            <w:pPr>
              <w:spacing w:after="0" w:line="240" w:lineRule="auto"/>
            </w:pPr>
            <w:r>
              <w:rPr>
                <w:sz w:val="14"/>
              </w:rPr>
              <w:t>Not run</w:t>
            </w:r>
          </w:p>
        </w:tc>
      </w:tr>
    </w:tbl>
    <w:p>
      <w:pPr>
        <w:pStyle w:val="Heading2"/>
        <w:keepNext/>
      </w:pPr>
      <w:r>
        <w:t>6. Test Environment</w:t>
      </w:r>
    </w:p>
    <w:p>
      <w:pPr/>
      <w:r>
        <w:t>The SAD specifies a C/C++ console program using g++ 9 or later, with Ubuntu 20.04 and Windows MinGW as target environments. Use the standard library only. Build and environment details should be recorded when the implementation is available.</w:t>
      </w:r>
    </w:p>
    <w:p>
      <w:pPr/>
      <w:r>
        <w:t>Tools named in the project documents: compiler warnings with -Wall -Wextra, and AddressSanitizer or Valgrind for memory checks. Test files are config.txt, report.txt, and events.csv in the program working folder.</w:t>
      </w:r>
    </w:p>
    <w:p>
      <w:pPr>
        <w:pStyle w:val="Heading2"/>
        <w:keepNext/>
      </w:pPr>
      <w:r>
        <w:t>7. Test Deliverables</w:t>
      </w:r>
    </w:p>
    <w:p>
      <w:pPr/>
      <w:r>
        <w:t>- This test case document with execution status and observed results</w:t>
      </w:r>
    </w:p>
    <w:p>
      <w:pPr/>
      <w:r>
        <w:t>- Test run output, including report.txt and events.csv where applicable</w:t>
      </w:r>
    </w:p>
    <w:p>
      <w:pPr/>
      <w:r>
        <w:t>- Defect records for cases that fail; test logs and build details for performance, memory, and portability checks</w:t>
      </w:r>
    </w:p>
    <w:p>
      <w:pPr>
        <w:pStyle w:val="Heading2"/>
        <w:keepNext/>
      </w:pPr>
      <w:r>
        <w:t>8. Roles and Responsibilities</w:t>
      </w:r>
    </w:p>
    <w:p>
      <w:pPr/>
      <w:r>
        <w:t>The SRS assigns unit testing to every member: each person tests their own module and reviews the next member’s module. The full team shares responsibility for integration testing, documentation, and demo preparation. The SRS does not assign individual owners to these system test case IDs.</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20"/>
        <w:gridCol w:w="4320"/>
      </w:tblGrid>
      <w:tr>
        <w:tc>
          <w:tcPr>
            <w:tcW w:type="dxa" w:w="3384"/>
          </w:tcPr>
          <w:p>
            <w:r>
              <w:rPr>
                <w:b/>
                <w:color w:val="366091"/>
              </w:rPr>
              <w:t>Activity</w:t>
            </w:r>
          </w:p>
        </w:tc>
        <w:tc>
          <w:tcPr>
            <w:tcW w:type="dxa" w:w="5256"/>
          </w:tcPr>
          <w:p>
            <w:r>
              <w:rPr>
                <w:b/>
                <w:color w:val="366091"/>
              </w:rPr>
              <w:t>Responsibility</w:t>
            </w:r>
          </w:p>
        </w:tc>
      </w:tr>
      <w:tr>
        <w:tc>
          <w:tcPr>
            <w:tcW w:type="dxa" w:w="3384"/>
          </w:tcPr>
          <w:p>
            <w:r>
              <w:t>Unit testing</w:t>
            </w:r>
          </w:p>
        </w:tc>
        <w:tc>
          <w:tcPr>
            <w:tcW w:type="dxa" w:w="5256"/>
          </w:tcPr>
          <w:p>
            <w:r>
              <w:t>Each member tests their own module and reviews the next member’s module.</w:t>
            </w:r>
          </w:p>
        </w:tc>
      </w:tr>
      <w:tr>
        <w:tc>
          <w:tcPr>
            <w:tcW w:type="dxa" w:w="3384"/>
          </w:tcPr>
          <w:p>
            <w:r>
              <w:t>Integration testing and documentation</w:t>
            </w:r>
          </w:p>
        </w:tc>
        <w:tc>
          <w:tcPr>
            <w:tcW w:type="dxa" w:w="5256"/>
          </w:tcPr>
          <w:p>
            <w:r>
              <w:t>All four team members.</w:t>
            </w:r>
          </w:p>
        </w:tc>
      </w:tr>
      <w:tr>
        <w:tc>
          <w:tcPr>
            <w:tcW w:type="dxa" w:w="3384"/>
          </w:tcPr>
          <w:p>
            <w:r>
              <w:t>Test case execution and RTM updates</w:t>
            </w:r>
          </w:p>
        </w:tc>
        <w:tc>
          <w:tcPr>
            <w:tcW w:type="dxa" w:w="5256"/>
          </w:tcPr>
          <w:p>
            <w:r>
              <w:t>Team members execute the cases for their modules and update results/traceability together.</w:t>
            </w:r>
          </w:p>
        </w:tc>
      </w:tr>
    </w:tbl>
    <w:p>
      <w:pPr>
        <w:pStyle w:val="Heading2"/>
        <w:keepNext/>
      </w:pPr>
      <w:r>
        <w:t>9. Test Case Management and Traceability</w:t>
      </w:r>
    </w:p>
    <w:p>
      <w:pPr/>
      <w:r>
        <w:t>The SRS RTM already maps TC-01 through TC-76 to FR-01 through FR-47, NFR-01 through NFR-14, SEC-01 through SEC-08, and BR-01 through BR-07. Keep those IDs when logging results so each outcome remains linked to its requirement.</w:t>
      </w:r>
    </w:p>
    <w:p>
      <w:pPr/>
      <w:r>
        <w:t>For each execution, add the build/version, tester, date, actual result, and status. If a case fails, record the defect reference and retest result in the team’s tracking location.</w:t>
      </w:r>
    </w:p>
    <w:p>
      <w:pPr>
        <w:pStyle w:val="Heading2"/>
        <w:keepNext/>
      </w:pPr>
      <w:r>
        <w:t>10. Assumptions and Dependencies</w:t>
      </w:r>
    </w:p>
    <w:p>
      <w:pPr/>
      <w:r>
        <w:t>- The SAD says implementation has not started, so all cases are currently Not run.</w:t>
      </w:r>
    </w:p>
    <w:p>
      <w:pPr/>
      <w:r>
        <w:t>- The SRS is the authority if a design detail differs between the SRS and SAD.</w:t>
      </w:r>
    </w:p>
    <w:p>
      <w:pPr/>
      <w:r>
        <w:t>- Confirm the proposed default values with the project guide before using them as final acceptance criteria.</w:t>
      </w:r>
    </w:p>
    <w:p>
      <w:pPr/>
      <w:r>
        <w:t>- Agree a sample size and acceptable variation before testing the statistical proportions in TC-09 and TC-10; the SRS does not define tolerances.</w:t>
      </w:r>
    </w:p>
    <w:p>
      <w:pPr/>
      <w:r>
        <w:t>- The SAD lists unresolved choices for green timing, emergency timing, default seed, config.txt parsing, and allocation failures. Resolve these before judging dependent cases TC-03, TC-04, TC-11, TC-22, TC-29 to TC-31, TC-57, TC-61, TC-64, and TC-72.</w:t>
      </w:r>
    </w:p>
    <w:sectPr>
      <w:pgSz w:w="12240" w:h="15840"/>
      <w:pgMar w:top="1440" w:right="1800" w:bottom="1440" w:left="180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7E2EEAA"/>
  <w15:docId w15:val="{31E6A914-3F70-4F25-938D-9C14E04936CA}"/>
  <w:rsids>
    <w:rsidRoot w:val="421DB826"/>
    <w:rsid w:val="421DB826"/>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80" w:after="0" w:lineRule="auto"/>
    </w:pPr>
    <w:rPr>
      <w:rFonts w:ascii="Calibri" w:hAnsi="Calibri" w:eastAsia="Calibri" w:cs="Calibri"/>
      <w:b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i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5" ma:contentTypeDescription="Create a new document." ma:contentTypeScope="" ma:versionID="6ae0c9f065d7dd71dba8b92259656a45">
  <xsd:schema xmlns:xsd="http://www.w3.org/2001/XMLSchema" xmlns:xs="http://www.w3.org/2001/XMLSchema" xmlns:p="http://schemas.microsoft.com/office/2006/metadata/properties" xmlns:ns2="603bae63-f7a0-4eb1-877c-666e9c60f78d" targetNamespace="http://schemas.microsoft.com/office/2006/metadata/properties" ma:root="true" ma:fieldsID="aaa557cc5b31d39bbedfeb992a8f4cef"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RN"/>
                <xsd:element ref="ns2:NAM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RN" ma:index="11" ma:displayName="SRN" ma:internalName="SRN">
      <xsd:simpleType>
        <xsd:restriction base="dms:Text">
          <xsd:maxLength value="255"/>
        </xsd:restriction>
      </xsd:simpleType>
    </xsd:element>
    <xsd:element name="NAME" ma:index="12" ma:displayName="NAME" ma:internalName="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RN xmlns="603bae63-f7a0-4eb1-877c-666e9c60f78d"/>
    <NAME xmlns="603bae63-f7a0-4eb1-877c-666e9c60f78d"/>
  </documentManagement>
</p:properties>
</file>

<file path=customXml/itemProps1.xml><?xml version="1.0" encoding="utf-8"?>
<ds:datastoreItem xmlns:ds="http://schemas.openxmlformats.org/officeDocument/2006/customXml" ds:itemID="{99F1E2CA-4025-4B08-8A4B-CDF3E5AB1820}"/>
</file>

<file path=customXml/itemProps2.xml><?xml version="1.0" encoding="utf-8"?>
<ds:datastoreItem xmlns:ds="http://schemas.openxmlformats.org/officeDocument/2006/customXml" ds:itemID="{D233DD0F-34F2-4511-B497-21939159015D}"/>
</file>

<file path=customXml/itemProps3.xml><?xml version="1.0" encoding="utf-8"?>
<ds:datastoreItem xmlns:ds="http://schemas.openxmlformats.org/officeDocument/2006/customXml" ds:itemID="{07312F1C-030F-4B2B-8B8A-E023217E27F0}"/>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