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60"/>
      </w:pPr>
    </w:p>
    <w:p>
      <w:pPr>
        <w:pStyle w:val="Body"/>
        <w:spacing w:after="60"/>
      </w:pPr>
    </w:p>
    <w:p>
      <w:pPr>
        <w:pStyle w:val="Body"/>
        <w:spacing w:after="60"/>
      </w:pPr>
    </w:p>
    <w:p>
      <w:pPr>
        <w:pStyle w:val="Body"/>
        <w:spacing w:after="60"/>
      </w:pPr>
    </w:p>
    <w:p>
      <w:pPr>
        <w:pStyle w:val="Body"/>
        <w:spacing w:after="60"/>
        <w:jc w:val="center"/>
      </w:pPr>
      <w:r>
        <w:rPr>
          <w:b w:val="1"/>
          <w:bCs w:val="1"/>
          <w:outline w:val="0"/>
          <w:color w:val="1b4f72"/>
          <w:sz w:val="42"/>
          <w:szCs w:val="42"/>
          <w:u w:color="1b4f72"/>
          <w:rtl w:val="0"/>
          <w:lang w:val="en-US"/>
          <w14:textFill>
            <w14:solidFill>
              <w14:srgbClr w14:val="1B4F72"/>
            </w14:solidFill>
          </w14:textFill>
        </w:rPr>
        <w:t>PROGRESS DOCUMENT</w:t>
      </w:r>
    </w:p>
    <w:p>
      <w:pPr>
        <w:pStyle w:val="Body"/>
        <w:spacing w:after="30"/>
        <w:jc w:val="center"/>
      </w:pPr>
      <w:r>
        <w:rPr>
          <w:outline w:val="0"/>
          <w:color w:val="5d6d7e"/>
          <w:sz w:val="26"/>
          <w:szCs w:val="26"/>
          <w:u w:color="5d6d7e"/>
          <w:rtl w:val="0"/>
          <w:lang w:val="en-US"/>
          <w14:textFill>
            <w14:solidFill>
              <w14:srgbClr w14:val="5D6D7E"/>
            </w14:solidFill>
          </w14:textFill>
        </w:rPr>
        <w:t>Predictive Modelling of mAb Fucosylation in CHO Cell Bioprocessing</w:t>
      </w:r>
    </w:p>
    <w:p>
      <w:pPr>
        <w:pStyle w:val="Body"/>
        <w:spacing w:after="60"/>
      </w:pPr>
    </w:p>
    <w:p>
      <w:pPr>
        <w:pStyle w:val="Body"/>
        <w:pBdr>
          <w:top w:val="single" w:color="1b4f72" w:sz="4" w:space="0" w:shadow="0" w:frame="0"/>
          <w:left w:val="nil"/>
          <w:bottom w:val="single" w:color="1b4f72" w:sz="4" w:space="0" w:shadow="0" w:frame="0"/>
          <w:right w:val="nil"/>
        </w:pBdr>
        <w:spacing w:after="40"/>
        <w:jc w:val="center"/>
      </w:pPr>
      <w:r>
        <w:rPr>
          <w:b w:val="1"/>
          <w:bCs w:val="1"/>
          <w:outline w:val="0"/>
          <w:color w:val="1b4f72"/>
          <w:sz w:val="22"/>
          <w:szCs w:val="22"/>
          <w:u w:color="1b4f72"/>
          <w:rtl w:val="0"/>
          <w:lang w:val="en-US"/>
          <w14:textFill>
            <w14:solidFill>
              <w14:srgbClr w14:val="1B4F72"/>
            </w14:solidFill>
          </w14:textFill>
        </w:rPr>
        <w:t>Dataset Size Experiment: N=500 vs N=10,000</w:t>
      </w:r>
    </w:p>
    <w:p>
      <w:pPr>
        <w:pStyle w:val="Body"/>
        <w:spacing w:after="60"/>
      </w:pPr>
    </w:p>
    <w:p>
      <w:pPr>
        <w:pStyle w:val="Body"/>
        <w:jc w:val="center"/>
      </w:pPr>
      <w:r>
        <w:rPr>
          <w:outline w:val="0"/>
          <w:color w:val="7f8c8d"/>
          <w:sz w:val="17"/>
          <w:szCs w:val="17"/>
          <w:u w:color="7f8c8d"/>
          <w:rtl w:val="0"/>
          <w14:textFill>
            <w14:solidFill>
              <w14:srgbClr w14:val="7F8C8D"/>
            </w14:solidFill>
          </w14:textFill>
        </w:rPr>
        <w:t>Models: Ridge | PLSR | Random Forest | ANN | GPR | Hybrid | XGBoost+SHAP</w:t>
      </w:r>
    </w:p>
    <w:p>
      <w:pPr>
        <w:pStyle w:val="Body"/>
        <w:spacing w:after="60"/>
      </w:pPr>
    </w:p>
    <w:p>
      <w:pPr>
        <w:pStyle w:val="Body"/>
        <w:jc w:val="center"/>
        <w:rPr>
          <w:outline w:val="0"/>
          <w:color w:val="5d6d7e"/>
          <w:u w:color="5d6d7e"/>
          <w14:textFill>
            <w14:solidFill>
              <w14:srgbClr w14:val="5D6D7E"/>
            </w14:solidFill>
          </w14:textFill>
        </w:rPr>
      </w:pPr>
      <w:r>
        <w:rPr>
          <w:outline w:val="0"/>
          <w:color w:val="5d6d7e"/>
          <w:u w:color="5d6d7e"/>
          <w:rtl w:val="0"/>
          <w:lang w:val="en-US"/>
          <w14:textFill>
            <w14:solidFill>
              <w14:srgbClr w14:val="5D6D7E"/>
            </w14:solidFill>
          </w14:textFill>
        </w:rPr>
        <w:t xml:space="preserve">BMS Project </w:t>
      </w:r>
      <w:r>
        <w:rPr>
          <w:outline w:val="0"/>
          <w:color w:val="5d6d7e"/>
          <w:u w:color="5d6d7e"/>
          <w:rtl w:val="0"/>
          <w:lang w:val="en-US"/>
          <w14:textFill>
            <w14:solidFill>
              <w14:srgbClr w14:val="5D6D7E"/>
            </w14:solidFill>
          </w14:textFill>
        </w:rPr>
        <w:t xml:space="preserve">— </w:t>
      </w:r>
      <w:r>
        <w:rPr>
          <w:outline w:val="0"/>
          <w:color w:val="5d6d7e"/>
          <w:u w:color="5d6d7e"/>
          <w:rtl w:val="0"/>
          <w:lang w:val="en-US"/>
          <w14:textFill>
            <w14:solidFill>
              <w14:srgbClr w14:val="5D6D7E"/>
            </w14:solidFill>
          </w14:textFill>
        </w:rPr>
        <w:t>MSc Bioprocessing</w:t>
      </w:r>
    </w:p>
    <w:p>
      <w:pPr>
        <w:pStyle w:val="Body"/>
        <w:jc w:val="center"/>
      </w:pPr>
      <w:r>
        <w:rPr>
          <w:outline w:val="0"/>
          <w:color w:val="5d6d7e"/>
          <w:u w:color="5d6d7e"/>
          <w:rtl w:val="0"/>
          <w:lang w:val="en-US"/>
          <w14:textFill>
            <w14:solidFill>
              <w14:srgbClr w14:val="5D6D7E"/>
            </w14:solidFill>
          </w14:textFill>
        </w:rPr>
        <w:t xml:space="preserve">                                                       Team Data Minds by Pranav, Sanjith</w:t>
      </w:r>
    </w:p>
    <w:p>
      <w:pPr>
        <w:pStyle w:val="Heading"/>
      </w:pPr>
      <w:r>
        <w:rPr>
          <w:rtl w:val="0"/>
          <w:lang w:val="en-US"/>
        </w:rPr>
        <w:t>1. Project Overview</w:t>
      </w:r>
    </w:p>
    <w:p>
      <w:pPr>
        <w:pStyle w:val="Body"/>
        <w:spacing w:after="100" w:line="264" w:lineRule="auto"/>
      </w:pPr>
      <w:r>
        <w:rPr>
          <w:rtl w:val="0"/>
          <w:lang w:val="en-US"/>
        </w:rPr>
        <w:t>This document summarises progress on the BMS fucosylation prediction project. We built a pipeline of 7 models to predict monoclonal antibody (mAb) fucosylation from CHO cell culture conditions, run in two phases:</w:t>
      </w:r>
    </w:p>
    <w:p>
      <w:pPr>
        <w:pStyle w:val="Body"/>
        <w:spacing w:after="100" w:line="264" w:lineRule="auto"/>
      </w:pPr>
      <w:r>
        <w:rPr>
          <w:b w:val="1"/>
          <w:bCs w:val="1"/>
          <w:rtl w:val="0"/>
          <w:lang w:val="en-US"/>
        </w:rPr>
        <w:t xml:space="preserve">Experiment 1 (BMS1): 500 samples </w:t>
      </w:r>
      <w:r>
        <w:rPr>
          <w:b w:val="1"/>
          <w:bCs w:val="1"/>
          <w:rtl w:val="0"/>
          <w:lang w:val="en-US"/>
        </w:rPr>
        <w:t xml:space="preserve">— </w:t>
      </w:r>
      <w:r>
        <w:rPr>
          <w:b w:val="1"/>
          <w:bCs w:val="1"/>
          <w:rtl w:val="0"/>
          <w:lang w:val="en-US"/>
        </w:rPr>
        <w:t>typical small-scale bioprocessing dataset.</w:t>
      </w:r>
    </w:p>
    <w:p>
      <w:pPr>
        <w:pStyle w:val="Body"/>
        <w:spacing w:after="100" w:line="264" w:lineRule="auto"/>
      </w:pPr>
      <w:r>
        <w:rPr>
          <w:b w:val="1"/>
          <w:bCs w:val="1"/>
          <w:rtl w:val="0"/>
          <w:lang w:val="en-US"/>
        </w:rPr>
        <w:t xml:space="preserve">Experiment 2 (BMS2): 10,000 samples </w:t>
      </w:r>
      <w:r>
        <w:rPr>
          <w:b w:val="1"/>
          <w:bCs w:val="1"/>
          <w:rtl w:val="0"/>
          <w:lang w:val="en-US"/>
        </w:rPr>
        <w:t xml:space="preserve">— </w:t>
      </w:r>
      <w:r>
        <w:rPr>
          <w:b w:val="1"/>
          <w:bCs w:val="1"/>
          <w:rtl w:val="0"/>
          <w:lang w:val="en-US"/>
        </w:rPr>
        <w:t>tests whether more data improves model performance, particularly for the ANN.</w:t>
      </w:r>
    </w:p>
    <w:p>
      <w:pPr>
        <w:pStyle w:val="Body"/>
        <w:spacing w:after="100" w:line="264" w:lineRule="auto"/>
      </w:pPr>
      <w:r>
        <w:rPr>
          <w:rtl w:val="0"/>
          <w:lang w:val="en-US"/>
        </w:rPr>
        <w:t>The synthetic dataset is mechanistically grounded. Each variable and its relationship to fucosylation is based on published biochemistry (Raju et al. 2000, Hossler et al. 2009, Jedrzejewski et al. 2014). It includes batch effects, measurement noise, missing data variants, and a time-series component.</w:t>
      </w:r>
    </w:p>
    <w:p>
      <w:pPr>
        <w:pStyle w:val="Heading"/>
      </w:pPr>
      <w:r>
        <w:rPr>
          <w:rtl w:val="0"/>
          <w:lang w:val="it-IT"/>
        </w:rPr>
        <w:t>2. Dataset Summary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3120"/>
        <w:gridCol w:w="3120"/>
        <w:gridCol w:w="3120"/>
      </w:tblGrid>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Property</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BMS1 (N=500)</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BMS2 (N=10,000)</w:t>
            </w:r>
          </w:p>
        </w:tc>
      </w:tr>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Samples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500</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10,000</w:t>
            </w:r>
          </w:p>
        </w:tc>
      </w:tr>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Features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10</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10</w:t>
            </w:r>
          </w:p>
        </w:tc>
      </w:tr>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Batches</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10</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50</w:t>
            </w:r>
          </w:p>
        </w:tc>
      </w:tr>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Target Mean</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87.5%</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88.0%</w:t>
            </w:r>
          </w:p>
        </w:tc>
      </w:tr>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Target Std</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5.59%</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5.73%</w:t>
            </w:r>
          </w:p>
        </w:tc>
      </w:tr>
      <w:tr>
        <w:tblPrEx>
          <w:shd w:val="clear" w:color="auto" w:fill="cad1d7"/>
        </w:tblPrEx>
        <w:trPr>
          <w:trHeight w:val="197" w:hRule="atLeast"/>
        </w:trPr>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Train / Test</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400 / 100</w:t>
            </w:r>
          </w:p>
        </w:tc>
        <w:tc>
          <w:tcPr>
            <w:tcW w:type="dxa" w:w="312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8,000 / 2,000</w:t>
            </w:r>
          </w:p>
        </w:tc>
      </w:tr>
    </w:tbl>
    <w:p>
      <w:pPr>
        <w:pStyle w:val="Heading"/>
        <w:widowControl w:val="0"/>
      </w:pPr>
    </w:p>
    <w:p>
      <w:pPr>
        <w:pStyle w:val="Body"/>
        <w:spacing w:after="60"/>
      </w:pPr>
    </w:p>
    <w:p>
      <w:pPr>
        <w:pStyle w:val="Body"/>
        <w:spacing w:after="100" w:line="264" w:lineRule="auto"/>
      </w:pPr>
      <w:r>
        <w:rPr>
          <w:rtl w:val="0"/>
          <w:lang w:val="en-US"/>
        </w:rPr>
        <w:t xml:space="preserve">Both datasets use identical ground truth equations, noise levels, and variable ranges. The only change is sample count and proportional batch scaling </w:t>
      </w:r>
      <w:r>
        <w:rPr>
          <w:rtl w:val="0"/>
          <w:lang w:val="en-US"/>
        </w:rPr>
        <w:t xml:space="preserve">— </w:t>
      </w:r>
      <w:r>
        <w:rPr>
          <w:rtl w:val="0"/>
          <w:lang w:val="en-US"/>
        </w:rPr>
        <w:t>isolating dataset size as the single experimental variable.</w:t>
      </w:r>
    </w:p>
    <w:p>
      <w:pPr>
        <w:pStyle w:val="Body"/>
      </w:pPr>
      <w:r>
        <w:rPr>
          <w:rFonts w:ascii="Arial Unicode MS" w:cs="Arial Unicode MS" w:hAnsi="Arial Unicode MS" w:eastAsia="Arial Unicode MS"/>
          <w:b w:val="0"/>
          <w:bCs w:val="0"/>
          <w:i w:val="0"/>
          <w:iCs w:val="0"/>
        </w:rPr>
        <w:br w:type="page"/>
      </w:r>
    </w:p>
    <w:p>
      <w:pPr>
        <w:pStyle w:val="Heading"/>
      </w:pPr>
      <w:r>
        <w:rPr>
          <w:rtl w:val="0"/>
        </w:rPr>
        <w:t xml:space="preserve">3. Experiment 1 </w:t>
      </w:r>
      <w:r>
        <w:rPr>
          <w:rtl w:val="0"/>
          <w:lang w:val="en-US"/>
        </w:rPr>
        <w:t xml:space="preserve">— </w:t>
      </w:r>
      <w:r>
        <w:rPr>
          <w:rtl w:val="0"/>
          <w:lang w:val="en-US"/>
        </w:rPr>
        <w:t>BMS1 (N=500)</w:t>
      </w:r>
    </w:p>
    <w:p>
      <w:pPr>
        <w:pStyle w:val="Heading 2"/>
      </w:pPr>
      <w:r>
        <w:rPr>
          <w:rtl w:val="0"/>
          <w:lang w:val="it-IT"/>
        </w:rPr>
        <w:t>3.1 Model-by-Model Summary</w:t>
      </w:r>
    </w:p>
    <w:p>
      <w:pPr>
        <w:pStyle w:val="Heading 3"/>
      </w:pPr>
      <w:r>
        <w:rPr>
          <w:rtl w:val="0"/>
          <w:lang w:val="en-US"/>
        </w:rPr>
        <w:t>Ridge &amp; PLSR (Linear Baselines)</w:t>
      </w:r>
    </w:p>
    <w:p>
      <w:pPr>
        <w:pStyle w:val="Body"/>
        <w:spacing w:after="100" w:line="264" w:lineRule="auto"/>
      </w:pPr>
      <w:r>
        <w:rPr>
          <w:rtl w:val="0"/>
          <w:lang w:val="en-US"/>
        </w:rPr>
        <w:t>Ridge achieved R</w:t>
      </w:r>
      <w:r>
        <w:rPr>
          <w:rtl w:val="0"/>
        </w:rPr>
        <w:t>²</w:t>
      </w:r>
      <w:r>
        <w:rPr>
          <w:rtl w:val="0"/>
          <w:lang w:val="en-US"/>
        </w:rPr>
        <w:t>=0.51 with full coefficient interpretability. PLSR identified 3 significant features via VIP scores: GDP-Fucose (1.92), Temperature (1.76), and Mn (1.20). Both models are limited by their inability to capture nonlinear relationships (pH quadratic, saturation effects).</w:t>
      </w:r>
    </w:p>
    <w:p>
      <w:pPr>
        <w:pStyle w:val="Heading 3"/>
      </w:pPr>
      <w:r>
        <w:rPr>
          <w:rtl w:val="0"/>
          <w:lang w:val="da-DK"/>
        </w:rPr>
        <w:t>Random Forest</w:t>
      </w:r>
    </w:p>
    <w:p>
      <w:pPr>
        <w:pStyle w:val="Body"/>
        <w:spacing w:after="100" w:line="264" w:lineRule="auto"/>
      </w:pPr>
      <w:r>
        <w:rPr>
          <w:rtl w:val="0"/>
          <w:lang w:val="en-US"/>
        </w:rPr>
        <w:t>RF captured nonlinear effects and achieved R</w:t>
      </w:r>
      <w:r>
        <w:rPr>
          <w:rtl w:val="0"/>
        </w:rPr>
        <w:t>²</w:t>
      </w:r>
      <w:r>
        <w:rPr>
          <w:rtl w:val="0"/>
          <w:lang w:val="en-US"/>
        </w:rPr>
        <w:t xml:space="preserve">=0.66. Feature importance was assessed via both MDI and permutation importance (Spearman </w:t>
      </w:r>
      <w:r>
        <w:rPr>
          <w:rtl w:val="0"/>
        </w:rPr>
        <w:t>ρ</w:t>
      </w:r>
      <w:r>
        <w:rPr>
          <w:rtl w:val="0"/>
          <w:lang w:val="en-US"/>
        </w:rPr>
        <w:t xml:space="preserve">=0.96). Top features </w:t>
      </w:r>
      <w:r>
        <w:rPr>
          <w:rtl w:val="0"/>
          <w:lang w:val="en-US"/>
        </w:rPr>
        <w:t xml:space="preserve">— </w:t>
      </w:r>
      <w:r>
        <w:rPr>
          <w:rtl w:val="0"/>
          <w:lang w:val="it-IT"/>
        </w:rPr>
        <w:t xml:space="preserve">GDP-Fucose, Temperature, pH </w:t>
      </w:r>
      <w:r>
        <w:rPr>
          <w:rtl w:val="0"/>
          <w:lang w:val="en-US"/>
        </w:rPr>
        <w:t xml:space="preserve">— </w:t>
      </w:r>
      <w:r>
        <w:rPr>
          <w:rtl w:val="0"/>
          <w:lang w:val="en-US"/>
        </w:rPr>
        <w:t>are consistent across all models. OOB score of 0.72 confirms reasonable generalisation.</w:t>
      </w:r>
    </w:p>
    <w:p>
      <w:pPr>
        <w:pStyle w:val="Heading 3"/>
      </w:pPr>
      <w:r>
        <w:rPr>
          <w:rtl w:val="0"/>
          <w:lang w:val="en-US"/>
        </w:rPr>
        <w:t>ANN (Artificial Neural Network)</w:t>
      </w:r>
    </w:p>
    <w:p>
      <w:pPr>
        <w:pStyle w:val="Body"/>
        <w:spacing w:after="100" w:line="264" w:lineRule="auto"/>
      </w:pPr>
      <w:r>
        <w:rPr>
          <w:rtl w:val="0"/>
          <w:lang w:val="en-US"/>
        </w:rPr>
        <w:t>The ANN completely failed at N=500, producing R</w:t>
      </w:r>
      <w:r>
        <w:rPr>
          <w:rtl w:val="0"/>
        </w:rPr>
        <w:t>²</w:t>
      </w:r>
      <w:r>
        <w:rPr>
          <w:rtl w:val="0"/>
          <w:lang w:val="en-US"/>
        </w:rPr>
        <w:t xml:space="preserve">=0.05. With 12,225 parameters trained on only 340 samples, the model was massively overparameterised. LIME explanations were generated but cannot compensate for poor predictions </w:t>
      </w:r>
      <w:r>
        <w:rPr>
          <w:rtl w:val="0"/>
          <w:lang w:val="en-US"/>
        </w:rPr>
        <w:t xml:space="preserve">— </w:t>
      </w:r>
      <w:r>
        <w:rPr>
          <w:rtl w:val="0"/>
          <w:lang w:val="en-US"/>
        </w:rPr>
        <w:t>interpretability does not fix a broken model.</w:t>
      </w:r>
    </w:p>
    <w:p>
      <w:pPr>
        <w:pStyle w:val="Heading 3"/>
      </w:pPr>
      <w:r>
        <w:rPr>
          <w:rtl w:val="0"/>
          <w:lang w:val="de-DE"/>
        </w:rPr>
        <w:t>GPR (Gaussian Process Regression)</w:t>
      </w:r>
    </w:p>
    <w:p>
      <w:pPr>
        <w:pStyle w:val="Body"/>
        <w:spacing w:after="100" w:line="264" w:lineRule="auto"/>
      </w:pPr>
      <w:r>
        <w:rPr>
          <w:rtl w:val="0"/>
          <w:lang w:val="en-US"/>
        </w:rPr>
        <w:t>GPR was the best performer at N=500 with R</w:t>
      </w:r>
      <w:r>
        <w:rPr>
          <w:rtl w:val="0"/>
        </w:rPr>
        <w:t>²</w:t>
      </w:r>
      <w:r>
        <w:rPr>
          <w:rtl w:val="0"/>
          <w:lang w:val="en-US"/>
        </w:rPr>
        <w:t xml:space="preserve">=0.75. RBF kernel selected as optimal. Calibration was excellent (mean error 0.83%), 95% CI coverage was exactly 95.0%. High-confidence predictions (low </w:t>
      </w:r>
      <w:r>
        <w:rPr>
          <w:rtl w:val="0"/>
        </w:rPr>
        <w:t>σ</w:t>
      </w:r>
      <w:r>
        <w:rPr>
          <w:rtl w:val="0"/>
          <w:lang w:val="en-US"/>
        </w:rPr>
        <w:t>) achieved R</w:t>
      </w:r>
      <w:r>
        <w:rPr>
          <w:rtl w:val="0"/>
        </w:rPr>
        <w:t>²</w:t>
      </w:r>
      <w:r>
        <w:rPr>
          <w:rtl w:val="0"/>
        </w:rPr>
        <w:t>=0.76 vs R</w:t>
      </w:r>
      <w:r>
        <w:rPr>
          <w:rtl w:val="0"/>
        </w:rPr>
        <w:t>²</w:t>
      </w:r>
      <w:r>
        <w:rPr>
          <w:rtl w:val="0"/>
          <w:lang w:val="en-US"/>
        </w:rPr>
        <w:t xml:space="preserve">=0.44 for low-confidence </w:t>
      </w:r>
      <w:r>
        <w:rPr>
          <w:rtl w:val="0"/>
          <w:lang w:val="en-US"/>
        </w:rPr>
        <w:t xml:space="preserve">— </w:t>
      </w:r>
      <w:r>
        <w:rPr>
          <w:rtl w:val="0"/>
          <w:lang w:val="en-US"/>
        </w:rPr>
        <w:t>validating that uncertainty estimates are meaningful.</w:t>
      </w:r>
    </w:p>
    <w:p>
      <w:pPr>
        <w:pStyle w:val="Heading 3"/>
      </w:pPr>
      <w:r>
        <w:rPr>
          <w:rtl w:val="0"/>
          <w:lang w:val="en-US"/>
        </w:rPr>
        <w:t>Hybrid (Physics-Informed)</w:t>
      </w:r>
    </w:p>
    <w:p>
      <w:pPr>
        <w:pStyle w:val="Body"/>
        <w:spacing w:after="100" w:line="264" w:lineRule="auto"/>
      </w:pPr>
      <w:r>
        <w:rPr>
          <w:rtl w:val="0"/>
          <w:lang w:val="en-US"/>
        </w:rPr>
        <w:t>Five biologically motivated features were engineered: FPI (substrate</w:t>
      </w:r>
      <w:r>
        <w:rPr>
          <w:rtl w:val="0"/>
        </w:rPr>
        <w:t>×</w:t>
      </w:r>
      <w:r>
        <w:rPr>
          <w:rtl w:val="0"/>
          <w:lang w:val="en-US"/>
        </w:rPr>
        <w:t>cofactor), Energy Charge, Golgi Proxy, Stress Index, and Enzyme Activity. The hybrid model reached R</w:t>
      </w:r>
      <w:r>
        <w:rPr>
          <w:rtl w:val="0"/>
        </w:rPr>
        <w:t>²</w:t>
      </w:r>
      <w:r>
        <w:rPr>
          <w:rtl w:val="0"/>
          <w:lang w:val="en-US"/>
        </w:rPr>
        <w:t>=0.72, a +4.9% improvement over raw features alone. Engineered features alone captured 64.7% of hybrid performance with just 5 features vs 10 raw.</w:t>
      </w:r>
    </w:p>
    <w:p>
      <w:pPr>
        <w:pStyle w:val="Heading 3"/>
      </w:pPr>
      <w:r>
        <w:rPr>
          <w:rtl w:val="0"/>
          <w:lang w:val="en-US"/>
        </w:rPr>
        <w:t>XGBoost + SHAP</w:t>
      </w:r>
    </w:p>
    <w:p>
      <w:pPr>
        <w:pStyle w:val="Body"/>
        <w:spacing w:after="100" w:line="264" w:lineRule="auto"/>
      </w:pPr>
      <w:r>
        <w:rPr>
          <w:rtl w:val="0"/>
          <w:lang w:val="en-US"/>
        </w:rPr>
        <w:t>XGBoost achieved R</w:t>
      </w:r>
      <w:r>
        <w:rPr>
          <w:rtl w:val="0"/>
        </w:rPr>
        <w:t>²</w:t>
      </w:r>
      <w:r>
        <w:rPr>
          <w:rtl w:val="0"/>
          <w:lang w:val="en-US"/>
        </w:rPr>
        <w:t>=0.74 with full SHAP explainability. Feature rankings matched biology: GDP-Fucose and Temperature as top drivers, correct directional effects. Feature interaction analysis detected GDP-Fucose</w:t>
      </w:r>
      <w:r>
        <w:rPr>
          <w:rtl w:val="0"/>
        </w:rPr>
        <w:t>×</w:t>
      </w:r>
      <w:r>
        <w:rPr>
          <w:rtl w:val="0"/>
          <w:lang w:val="en-US"/>
        </w:rPr>
        <w:t>Mn synergy, consistent with ground truth.</w:t>
      </w:r>
    </w:p>
    <w:p>
      <w:pPr>
        <w:pStyle w:val="Heading 2"/>
      </w:pPr>
      <w:r>
        <w:rPr>
          <w:rtl w:val="0"/>
          <w:lang w:val="en-US"/>
        </w:rPr>
        <w:t xml:space="preserve">3.2 Performance Summary </w:t>
      </w:r>
      <w:r>
        <w:rPr>
          <w:rtl w:val="0"/>
          <w:lang w:val="en-US"/>
        </w:rPr>
        <w:t xml:space="preserve">— </w:t>
      </w:r>
      <w:r>
        <w:rPr>
          <w:rtl w:val="0"/>
          <w:lang w:val="en-US"/>
        </w:rPr>
        <w:t>BMS1</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1260"/>
        <w:gridCol w:w="1260"/>
        <w:gridCol w:w="1260"/>
        <w:gridCol w:w="1260"/>
        <w:gridCol w:w="1260"/>
        <w:gridCol w:w="1260"/>
      </w:tblGrid>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Model</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w:t>
            </w:r>
            <w:r>
              <w:rPr>
                <w:b w:val="1"/>
                <w:bCs w:val="1"/>
                <w:outline w:val="0"/>
                <w:color w:val="ffffff"/>
                <w:sz w:val="17"/>
                <w:szCs w:val="17"/>
                <w:u w:color="ffffff"/>
                <w:shd w:val="nil" w:color="auto" w:fill="auto"/>
                <w:rtl w:val="0"/>
                <w:lang w:val="en-US"/>
                <w14:textFill>
                  <w14:solidFill>
                    <w14:srgbClr w14:val="FFFFFF"/>
                  </w14:solidFill>
                </w14:textFill>
              </w:rPr>
              <w:t xml:space="preserve">² </w:t>
            </w:r>
            <w:r>
              <w:rPr>
                <w:b w:val="1"/>
                <w:bCs w:val="1"/>
                <w:outline w:val="0"/>
                <w:color w:val="ffffff"/>
                <w:sz w:val="17"/>
                <w:szCs w:val="17"/>
                <w:u w:color="ffffff"/>
                <w:shd w:val="nil" w:color="auto" w:fill="auto"/>
                <w:rtl w:val="0"/>
                <w:lang w:val="en-US"/>
                <w14:textFill>
                  <w14:solidFill>
                    <w14:srgbClr w14:val="FFFFFF"/>
                  </w14:solidFill>
                </w14:textFill>
              </w:rPr>
              <w:t>Train</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w:t>
            </w:r>
            <w:r>
              <w:rPr>
                <w:b w:val="1"/>
                <w:bCs w:val="1"/>
                <w:outline w:val="0"/>
                <w:color w:val="ffffff"/>
                <w:sz w:val="17"/>
                <w:szCs w:val="17"/>
                <w:u w:color="ffffff"/>
                <w:shd w:val="nil" w:color="auto" w:fill="auto"/>
                <w:rtl w:val="0"/>
                <w:lang w:val="en-US"/>
                <w14:textFill>
                  <w14:solidFill>
                    <w14:srgbClr w14:val="FFFFFF"/>
                  </w14:solidFill>
                </w14:textFill>
              </w:rPr>
              <w:t xml:space="preserve">² </w:t>
            </w:r>
            <w:r>
              <w:rPr>
                <w:b w:val="1"/>
                <w:bCs w:val="1"/>
                <w:outline w:val="0"/>
                <w:color w:val="ffffff"/>
                <w:sz w:val="17"/>
                <w:szCs w:val="17"/>
                <w:u w:color="ffffff"/>
                <w:shd w:val="nil" w:color="auto" w:fill="auto"/>
                <w:rtl w:val="0"/>
                <w:lang w:val="en-US"/>
                <w14:textFill>
                  <w14:solidFill>
                    <w14:srgbClr w14:val="FFFFFF"/>
                  </w14:solidFill>
                </w14:textFill>
              </w:rPr>
              <w:t>Test</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RMSE</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MAE</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Interp.</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Uncert.</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Ridge</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0.63</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0.51</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3.44</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2.85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5/5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PLSR</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0.63</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0.51</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3.45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2.85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5/5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Random Forest</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0.96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0.66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3.04</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2.28</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XGBoost</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1.00</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0.74</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2.82</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2.16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4/5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b w:val="1"/>
                <w:bCs w:val="1"/>
                <w:sz w:val="17"/>
                <w:szCs w:val="17"/>
                <w:shd w:val="nil" w:color="auto" w:fill="auto"/>
                <w:rtl w:val="0"/>
                <w:lang w:val="en-US"/>
              </w:rPr>
              <w:t>GPR</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0.87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outline w:val="0"/>
                <w:color w:val="27ae60"/>
                <w:sz w:val="17"/>
                <w:szCs w:val="17"/>
                <w:u w:color="27ae60"/>
                <w:shd w:val="nil" w:color="auto" w:fill="auto"/>
                <w:rtl w:val="0"/>
                <w:lang w:val="en-US"/>
                <w14:textFill>
                  <w14:solidFill>
                    <w14:srgbClr w14:val="27AE60"/>
                  </w14:solidFill>
                </w14:textFill>
              </w:rPr>
              <w:t>0.75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2.47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1.97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5/5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ANN</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0.91</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outline w:val="0"/>
                <w:color w:val="e74c3c"/>
                <w:sz w:val="17"/>
                <w:szCs w:val="17"/>
                <w:u w:color="e74c3c"/>
                <w:shd w:val="nil" w:color="auto" w:fill="auto"/>
                <w:rtl w:val="0"/>
                <w:lang w:val="en-US"/>
                <w14:textFill>
                  <w14:solidFill>
                    <w14:srgbClr w14:val="E74C3C"/>
                  </w14:solidFill>
                </w14:textFill>
              </w:rPr>
              <w:t>0.05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4.80</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3.68</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e74c3c"/>
                <w:sz w:val="17"/>
                <w:szCs w:val="17"/>
                <w:u w:color="e74c3c"/>
                <w:shd w:val="nil" w:color="auto" w:fill="auto"/>
                <w:rtl w:val="0"/>
                <w:lang w:val="en-US"/>
                <w14:textFill>
                  <w14:solidFill>
                    <w14:srgbClr w14:val="E74C3C"/>
                  </w14:solidFill>
                </w14:textFill>
              </w:rPr>
              <w:t>1/5</w:t>
            </w:r>
          </w:p>
        </w:tc>
      </w:tr>
    </w:tbl>
    <w:p>
      <w:pPr>
        <w:pStyle w:val="Heading 2"/>
        <w:widowControl w:val="0"/>
      </w:pPr>
    </w:p>
    <w:p>
      <w:pPr>
        <w:pStyle w:val="Heading 2"/>
      </w:pPr>
    </w:p>
    <w:p>
      <w:pPr>
        <w:pStyle w:val="Heading 2"/>
      </w:pPr>
    </w:p>
    <w:p>
      <w:pPr>
        <w:pStyle w:val="Heading 2"/>
      </w:pPr>
    </w:p>
    <w:p>
      <w:pPr>
        <w:pStyle w:val="Heading 2"/>
      </w:pPr>
    </w:p>
    <w:p>
      <w:pPr>
        <w:pStyle w:val="Heading 2"/>
      </w:pPr>
    </w:p>
    <w:p>
      <w:pPr>
        <w:pStyle w:val="Heading 2"/>
      </w:pPr>
    </w:p>
    <w:p>
      <w:pPr>
        <w:pStyle w:val="Heading 2"/>
      </w:pPr>
      <w:r>
        <w:rPr>
          <w:rtl w:val="0"/>
          <w:lang w:val="it-IT"/>
        </w:rPr>
        <w:t xml:space="preserve">3.3 Multi-Criteria Comparison </w:t>
      </w:r>
      <w:r>
        <w:rPr>
          <w:rtl w:val="0"/>
          <w:lang w:val="en-US"/>
        </w:rPr>
        <w:t xml:space="preserve">— </w:t>
      </w:r>
      <w:r>
        <w:rPr>
          <w:rtl w:val="0"/>
          <w:lang w:val="en-US"/>
        </w:rPr>
        <w:t>BMS1</w:t>
      </w:r>
    </w:p>
    <w:p>
      <w:pPr>
        <w:pStyle w:val="Body"/>
        <w:spacing w:before="100" w:after="40"/>
        <w:jc w:val="center"/>
      </w:pPr>
      <w:r>
        <w:drawing xmlns:a="http://schemas.openxmlformats.org/drawingml/2006/main">
          <wp:inline distT="0" distB="0" distL="0" distR="0">
            <wp:extent cx="5667375" cy="3924300"/>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4">
                      <a:extLst/>
                    </a:blip>
                    <a:stretch>
                      <a:fillRect/>
                    </a:stretch>
                  </pic:blipFill>
                  <pic:spPr>
                    <a:xfrm>
                      <a:off x="0" y="0"/>
                      <a:ext cx="5667375" cy="3924300"/>
                    </a:xfrm>
                    <a:prstGeom prst="rect">
                      <a:avLst/>
                    </a:prstGeom>
                    <a:ln w="12700" cap="flat">
                      <a:noFill/>
                      <a:miter lim="400000"/>
                    </a:ln>
                    <a:effectLst/>
                  </pic:spPr>
                </pic:pic>
              </a:graphicData>
            </a:graphic>
          </wp:inline>
        </w:drawing>
      </w:r>
    </w:p>
    <w:p>
      <w:pPr>
        <w:pStyle w:val="Body"/>
        <w:spacing w:after="140"/>
        <w:jc w:val="center"/>
      </w:pPr>
      <w:r>
        <w:rPr>
          <w:i w:val="1"/>
          <w:iCs w:val="1"/>
          <w:outline w:val="0"/>
          <w:color w:val="7f8c8d"/>
          <w:sz w:val="15"/>
          <w:szCs w:val="15"/>
          <w:u w:color="7f8c8d"/>
          <w:rtl w:val="0"/>
          <w:lang w:val="it-IT"/>
          <w14:textFill>
            <w14:solidFill>
              <w14:srgbClr w14:val="7F8C8D"/>
            </w14:solidFill>
          </w14:textFill>
        </w:rPr>
        <w:t xml:space="preserve">Figure 1: BMS1 (N=500) </w:t>
      </w:r>
      <w:r>
        <w:rPr>
          <w:i w:val="1"/>
          <w:iCs w:val="1"/>
          <w:outline w:val="0"/>
          <w:color w:val="7f8c8d"/>
          <w:sz w:val="15"/>
          <w:szCs w:val="15"/>
          <w:u w:color="7f8c8d"/>
          <w:rtl w:val="0"/>
          <w:lang w:val="en-US"/>
          <w14:textFill>
            <w14:solidFill>
              <w14:srgbClr w14:val="7F8C8D"/>
            </w14:solidFill>
          </w14:textFill>
        </w:rPr>
        <w:t xml:space="preserve">— </w:t>
      </w:r>
      <w:r>
        <w:rPr>
          <w:i w:val="1"/>
          <w:iCs w:val="1"/>
          <w:outline w:val="0"/>
          <w:color w:val="7f8c8d"/>
          <w:sz w:val="15"/>
          <w:szCs w:val="15"/>
          <w:u w:color="7f8c8d"/>
          <w:rtl w:val="0"/>
          <w14:textFill>
            <w14:solidFill>
              <w14:srgbClr w14:val="7F8C8D"/>
            </w14:solidFill>
          </w14:textFill>
        </w:rPr>
        <w:t>Radar chart, R</w:t>
      </w:r>
      <w:r>
        <w:rPr>
          <w:i w:val="1"/>
          <w:iCs w:val="1"/>
          <w:outline w:val="0"/>
          <w:color w:val="7f8c8d"/>
          <w:sz w:val="15"/>
          <w:szCs w:val="15"/>
          <w:u w:color="7f8c8d"/>
          <w:rtl w:val="0"/>
          <w14:textFill>
            <w14:solidFill>
              <w14:srgbClr w14:val="7F8C8D"/>
            </w14:solidFill>
          </w14:textFill>
        </w:rPr>
        <w:t xml:space="preserve">² </w:t>
      </w:r>
      <w:r>
        <w:rPr>
          <w:i w:val="1"/>
          <w:iCs w:val="1"/>
          <w:outline w:val="0"/>
          <w:color w:val="7f8c8d"/>
          <w:sz w:val="15"/>
          <w:szCs w:val="15"/>
          <w:u w:color="7f8c8d"/>
          <w:rtl w:val="0"/>
          <w:lang w:val="en-US"/>
          <w14:textFill>
            <w14:solidFill>
              <w14:srgbClr w14:val="7F8C8D"/>
            </w14:solidFill>
          </w14:textFill>
        </w:rPr>
        <w:t>comparison, noise robustness, learning curves, rubric heatmap.</w:t>
      </w:r>
    </w:p>
    <w:p>
      <w:pPr>
        <w:pStyle w:val="Heading"/>
      </w:pPr>
      <w:r>
        <w:rPr>
          <w:rtl w:val="0"/>
          <w:lang w:val="en-US"/>
        </w:rPr>
        <w:t xml:space="preserve">4. Experiment 2 </w:t>
      </w:r>
      <w:r>
        <w:rPr>
          <w:rtl w:val="0"/>
          <w:lang w:val="en-US"/>
        </w:rPr>
        <w:t xml:space="preserve">— </w:t>
      </w:r>
      <w:r>
        <w:rPr>
          <w:rtl w:val="0"/>
          <w:lang w:val="en-US"/>
        </w:rPr>
        <w:t>BMS2 (N=10,000)</w:t>
      </w:r>
    </w:p>
    <w:p>
      <w:pPr>
        <w:pStyle w:val="Heading 2"/>
      </w:pPr>
      <w:r>
        <w:rPr>
          <w:rtl w:val="0"/>
          <w:lang w:val="en-US"/>
        </w:rPr>
        <w:t>4.1 Key Changes</w:t>
      </w:r>
    </w:p>
    <w:p>
      <w:pPr>
        <w:pStyle w:val="Body"/>
        <w:spacing w:after="100" w:line="264" w:lineRule="auto"/>
      </w:pPr>
      <w:r>
        <w:rPr>
          <w:rtl w:val="0"/>
          <w:lang w:val="en-US"/>
        </w:rPr>
        <w:t>Only 3 values were changed: N_SAMPLES (500</w:t>
      </w:r>
      <w:r>
        <w:rPr>
          <w:rtl w:val="0"/>
        </w:rPr>
        <w:t>→</w:t>
      </w:r>
      <w:r>
        <w:rPr>
          <w:rtl w:val="0"/>
          <w:lang w:val="en-US"/>
        </w:rPr>
        <w:t>10,000), N_BATCHES (10</w:t>
      </w:r>
      <w:r>
        <w:rPr>
          <w:rtl w:val="0"/>
        </w:rPr>
        <w:t>→</w:t>
      </w:r>
      <w:r>
        <w:rPr>
          <w:rtl w:val="0"/>
          <w:lang w:val="de-DE"/>
        </w:rPr>
        <w:t>50), N_BATCHES_TS (20</w:t>
      </w:r>
      <w:r>
        <w:rPr>
          <w:rtl w:val="0"/>
        </w:rPr>
        <w:t>→</w:t>
      </w:r>
      <w:r>
        <w:rPr>
          <w:rtl w:val="0"/>
          <w:lang w:val="en-US"/>
        </w:rPr>
        <w:t xml:space="preserve">100). Everything else </w:t>
      </w:r>
      <w:r>
        <w:rPr>
          <w:rtl w:val="0"/>
          <w:lang w:val="en-US"/>
        </w:rPr>
        <w:t xml:space="preserve">— </w:t>
      </w:r>
      <w:r>
        <w:rPr>
          <w:rtl w:val="0"/>
          <w:lang w:val="en-US"/>
        </w:rPr>
        <w:t xml:space="preserve">ground truth, noise, relationships </w:t>
      </w:r>
      <w:r>
        <w:rPr>
          <w:rtl w:val="0"/>
          <w:lang w:val="en-US"/>
        </w:rPr>
        <w:t xml:space="preserve">— </w:t>
      </w:r>
      <w:r>
        <w:rPr>
          <w:rtl w:val="0"/>
          <w:lang w:val="en-US"/>
        </w:rPr>
        <w:t>remained identical. This isolates dataset size as the sole variable.</w:t>
      </w:r>
    </w:p>
    <w:p>
      <w:pPr>
        <w:pStyle w:val="Heading 2"/>
      </w:pPr>
      <w:r>
        <w:rPr>
          <w:rtl w:val="0"/>
          <w:lang w:val="it-IT"/>
        </w:rPr>
        <w:t>4.2 Model-by-Model Summary</w:t>
      </w:r>
    </w:p>
    <w:p>
      <w:pPr>
        <w:pStyle w:val="Heading 3"/>
      </w:pPr>
      <w:r>
        <w:rPr>
          <w:rtl w:val="0"/>
          <w:lang w:val="en-US"/>
        </w:rPr>
        <w:t>Ridge &amp; PLSR</w:t>
      </w:r>
    </w:p>
    <w:p>
      <w:pPr>
        <w:pStyle w:val="Body"/>
        <w:spacing w:after="100" w:line="264" w:lineRule="auto"/>
      </w:pPr>
      <w:r>
        <w:rPr>
          <w:rtl w:val="0"/>
          <w:lang w:val="en-US"/>
        </w:rPr>
        <w:t>Minimal improvement (0.51</w:t>
      </w:r>
      <w:r>
        <w:rPr>
          <w:rtl w:val="0"/>
        </w:rPr>
        <w:t>→</w:t>
      </w:r>
      <w:r>
        <w:rPr>
          <w:rtl w:val="0"/>
          <w:lang w:val="en-US"/>
        </w:rPr>
        <w:t xml:space="preserve">0.57). These models were already at their structural ceiling </w:t>
      </w:r>
      <w:r>
        <w:rPr>
          <w:rtl w:val="0"/>
          <w:lang w:val="en-US"/>
        </w:rPr>
        <w:t xml:space="preserve">— </w:t>
      </w:r>
      <w:r>
        <w:rPr>
          <w:rtl w:val="0"/>
          <w:lang w:val="en-US"/>
        </w:rPr>
        <w:t>they cannot model nonlinearity regardless of data volume.</w:t>
      </w:r>
    </w:p>
    <w:p>
      <w:pPr>
        <w:pStyle w:val="Heading 3"/>
      </w:pPr>
      <w:r>
        <w:rPr>
          <w:rtl w:val="0"/>
          <w:lang w:val="da-DK"/>
        </w:rPr>
        <w:t>Random Forest</w:t>
      </w:r>
    </w:p>
    <w:p>
      <w:pPr>
        <w:pStyle w:val="Body"/>
        <w:spacing w:after="100" w:line="264" w:lineRule="auto"/>
      </w:pPr>
      <w:r>
        <w:rPr>
          <w:rtl w:val="0"/>
          <w:lang w:val="en-US"/>
        </w:rPr>
        <w:t>Improved from R</w:t>
      </w:r>
      <w:r>
        <w:rPr>
          <w:rtl w:val="0"/>
        </w:rPr>
        <w:t>²</w:t>
      </w:r>
      <w:r>
        <w:rPr>
          <w:rtl w:val="0"/>
          <w:lang w:val="en-US"/>
        </w:rPr>
        <w:t>=0.66 to 0.79 (+20%). More data helped the trees find better split points for quadratic pH and temperature effects.</w:t>
      </w:r>
    </w:p>
    <w:p>
      <w:pPr>
        <w:pStyle w:val="Heading 3"/>
      </w:pPr>
      <w:r>
        <w:rPr>
          <w:rtl w:val="0"/>
          <w:lang w:val="de-DE"/>
        </w:rPr>
        <w:t>ANN</w:t>
      </w:r>
    </w:p>
    <w:p>
      <w:pPr>
        <w:pStyle w:val="Body"/>
        <w:spacing w:after="100" w:line="264" w:lineRule="auto"/>
      </w:pPr>
      <w:r>
        <w:rPr>
          <w:rtl w:val="0"/>
          <w:lang w:val="en-US"/>
        </w:rPr>
        <w:t>The headline result: R</w:t>
      </w:r>
      <w:r>
        <w:rPr>
          <w:rtl w:val="0"/>
        </w:rPr>
        <w:t>²</w:t>
      </w:r>
      <w:r>
        <w:rPr>
          <w:rtl w:val="0"/>
        </w:rPr>
        <w:t xml:space="preserve">=0.05 </w:t>
      </w:r>
      <w:r>
        <w:rPr>
          <w:rtl w:val="0"/>
        </w:rPr>
        <w:t xml:space="preserve">→ </w:t>
      </w:r>
      <w:r>
        <w:rPr>
          <w:rtl w:val="0"/>
          <w:lang w:val="en-US"/>
        </w:rPr>
        <w:t>0.77 (+1440%). With 6,800 training samples vs 12,225 parameters, the model finally had enough data. LIME now shows coherent feature attributions matching biology.</w:t>
      </w:r>
    </w:p>
    <w:p>
      <w:pPr>
        <w:pStyle w:val="Heading 3"/>
      </w:pPr>
      <w:r>
        <w:rPr>
          <w:rtl w:val="0"/>
        </w:rPr>
        <w:t>GPR</w:t>
      </w:r>
    </w:p>
    <w:p>
      <w:pPr>
        <w:pStyle w:val="Body"/>
        <w:spacing w:after="100" w:line="264" w:lineRule="auto"/>
      </w:pPr>
      <w:r>
        <w:rPr>
          <w:rtl w:val="0"/>
          <w:lang w:val="en-US"/>
        </w:rPr>
        <w:t>Modest improvement (0.75</w:t>
      </w:r>
      <w:r>
        <w:rPr>
          <w:rtl w:val="0"/>
        </w:rPr>
        <w:t>→</w:t>
      </w:r>
      <w:r>
        <w:rPr>
          <w:rtl w:val="0"/>
          <w:lang w:val="en-US"/>
        </w:rPr>
        <w:t>0.79, +5%). Still limited to 300 subsampled training points due to O(n</w:t>
      </w:r>
      <w:r>
        <w:rPr>
          <w:rtl w:val="0"/>
        </w:rPr>
        <w:t>³</w:t>
      </w:r>
      <w:r>
        <w:rPr>
          <w:rtl w:val="0"/>
          <w:lang w:val="en-US"/>
        </w:rPr>
        <w:t>) scaling. Its strong RBF kernel prior was already sufficient at N=500.</w:t>
      </w:r>
    </w:p>
    <w:p>
      <w:pPr>
        <w:pStyle w:val="Heading 3"/>
      </w:pPr>
      <w:r>
        <w:rPr>
          <w:rtl w:val="0"/>
          <w:lang w:val="en-US"/>
        </w:rPr>
        <w:t>XGBoost + SHAP</w:t>
      </w:r>
    </w:p>
    <w:p>
      <w:pPr>
        <w:pStyle w:val="Body"/>
        <w:spacing w:after="100" w:line="264" w:lineRule="auto"/>
      </w:pPr>
      <w:r>
        <w:rPr>
          <w:rtl w:val="0"/>
          <w:lang w:val="en-US"/>
        </w:rPr>
        <w:t>Best overall at N=10,000 with R</w:t>
      </w:r>
      <w:r>
        <w:rPr>
          <w:rtl w:val="0"/>
        </w:rPr>
        <w:t>²</w:t>
      </w:r>
      <w:r>
        <w:rPr>
          <w:rtl w:val="0"/>
          <w:lang w:val="en-US"/>
        </w:rPr>
        <w:t>=0.83. SHAP analysis remained consistent. Now the best model on the rubric (Total: 24.09).</w:t>
      </w:r>
    </w:p>
    <w:p>
      <w:pPr>
        <w:pStyle w:val="Heading 3"/>
      </w:pPr>
      <w:r>
        <w:rPr>
          <w:rtl w:val="0"/>
        </w:rPr>
        <w:t>Hybrid Model</w:t>
      </w:r>
    </w:p>
    <w:p>
      <w:pPr>
        <w:pStyle w:val="Body"/>
        <w:spacing w:after="100" w:line="264" w:lineRule="auto"/>
      </w:pPr>
      <w:r>
        <w:rPr>
          <w:rtl w:val="0"/>
          <w:lang w:val="en-US"/>
        </w:rPr>
        <w:t>Raw features alone reached R</w:t>
      </w:r>
      <w:r>
        <w:rPr>
          <w:rtl w:val="0"/>
        </w:rPr>
        <w:t>²</w:t>
      </w:r>
      <w:r>
        <w:rPr>
          <w:rtl w:val="0"/>
          <w:lang w:val="en-US"/>
        </w:rPr>
        <w:t xml:space="preserve">=0.82, leaving minimal room for physics improvement (+0.01%). The 5 engineered features still captured 74.7% of full performance </w:t>
      </w:r>
      <w:r>
        <w:rPr>
          <w:rtl w:val="0"/>
          <w:lang w:val="en-US"/>
        </w:rPr>
        <w:t xml:space="preserve">— </w:t>
      </w:r>
      <w:r>
        <w:rPr>
          <w:rtl w:val="0"/>
          <w:lang w:val="en-US"/>
        </w:rPr>
        <w:t>demonstrating domain knowledge value for dimensionality reduction.</w:t>
      </w:r>
    </w:p>
    <w:p>
      <w:pPr>
        <w:pStyle w:val="Heading 2"/>
      </w:pPr>
      <w:r>
        <w:rPr>
          <w:rtl w:val="0"/>
          <w:lang w:val="en-US"/>
        </w:rPr>
        <w:t xml:space="preserve">4.3 Performance Summary </w:t>
      </w:r>
      <w:r>
        <w:rPr>
          <w:rtl w:val="0"/>
          <w:lang w:val="en-US"/>
        </w:rPr>
        <w:t xml:space="preserve">— </w:t>
      </w:r>
      <w:r>
        <w:rPr>
          <w:rtl w:val="0"/>
        </w:rPr>
        <w:t>BMS2</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0"/>
        <w:gridCol w:w="1260"/>
        <w:gridCol w:w="1260"/>
        <w:gridCol w:w="1260"/>
        <w:gridCol w:w="1260"/>
        <w:gridCol w:w="1260"/>
        <w:gridCol w:w="1260"/>
      </w:tblGrid>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Model</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w:t>
            </w:r>
            <w:r>
              <w:rPr>
                <w:b w:val="1"/>
                <w:bCs w:val="1"/>
                <w:outline w:val="0"/>
                <w:color w:val="ffffff"/>
                <w:sz w:val="17"/>
                <w:szCs w:val="17"/>
                <w:u w:color="ffffff"/>
                <w:shd w:val="nil" w:color="auto" w:fill="auto"/>
                <w:rtl w:val="0"/>
                <w:lang w:val="en-US"/>
                <w14:textFill>
                  <w14:solidFill>
                    <w14:srgbClr w14:val="FFFFFF"/>
                  </w14:solidFill>
                </w14:textFill>
              </w:rPr>
              <w:t xml:space="preserve">² </w:t>
            </w:r>
            <w:r>
              <w:rPr>
                <w:b w:val="1"/>
                <w:bCs w:val="1"/>
                <w:outline w:val="0"/>
                <w:color w:val="ffffff"/>
                <w:sz w:val="17"/>
                <w:szCs w:val="17"/>
                <w:u w:color="ffffff"/>
                <w:shd w:val="nil" w:color="auto" w:fill="auto"/>
                <w:rtl w:val="0"/>
                <w:lang w:val="en-US"/>
                <w14:textFill>
                  <w14:solidFill>
                    <w14:srgbClr w14:val="FFFFFF"/>
                  </w14:solidFill>
                </w14:textFill>
              </w:rPr>
              <w:t>Train</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w:t>
            </w:r>
            <w:r>
              <w:rPr>
                <w:b w:val="1"/>
                <w:bCs w:val="1"/>
                <w:outline w:val="0"/>
                <w:color w:val="ffffff"/>
                <w:sz w:val="17"/>
                <w:szCs w:val="17"/>
                <w:u w:color="ffffff"/>
                <w:shd w:val="nil" w:color="auto" w:fill="auto"/>
                <w:rtl w:val="0"/>
                <w:lang w:val="en-US"/>
                <w14:textFill>
                  <w14:solidFill>
                    <w14:srgbClr w14:val="FFFFFF"/>
                  </w14:solidFill>
                </w14:textFill>
              </w:rPr>
              <w:t xml:space="preserve">² </w:t>
            </w:r>
            <w:r>
              <w:rPr>
                <w:b w:val="1"/>
                <w:bCs w:val="1"/>
                <w:outline w:val="0"/>
                <w:color w:val="ffffff"/>
                <w:sz w:val="17"/>
                <w:szCs w:val="17"/>
                <w:u w:color="ffffff"/>
                <w:shd w:val="nil" w:color="auto" w:fill="auto"/>
                <w:rtl w:val="0"/>
                <w:lang w:val="en-US"/>
                <w14:textFill>
                  <w14:solidFill>
                    <w14:srgbClr w14:val="FFFFFF"/>
                  </w14:solidFill>
                </w14:textFill>
              </w:rPr>
              <w:t>Test</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RMSE</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MAE</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Interp.</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Uncert.</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Ridge</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3.76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3.05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5/5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PLSR</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3.76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3.05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5/5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Random Forest</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0.96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0.79</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2.66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2.14</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b w:val="1"/>
                <w:bCs w:val="1"/>
                <w:sz w:val="17"/>
                <w:szCs w:val="17"/>
                <w:shd w:val="nil" w:color="auto" w:fill="auto"/>
                <w:rtl w:val="0"/>
                <w:lang w:val="en-US"/>
              </w:rPr>
              <w:t>XGBoost</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0.93</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outline w:val="0"/>
                <w:color w:val="27ae60"/>
                <w:sz w:val="17"/>
                <w:szCs w:val="17"/>
                <w:u w:color="27ae60"/>
                <w:shd w:val="nil" w:color="auto" w:fill="auto"/>
                <w:rtl w:val="0"/>
                <w:lang w:val="en-US"/>
                <w14:textFill>
                  <w14:solidFill>
                    <w14:srgbClr w14:val="27AE60"/>
                  </w14:solidFill>
                </w14:textFill>
              </w:rPr>
              <w:t>0.83</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2.47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1.96</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4/5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GPR</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0.79</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0.79</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2.61</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2.09</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3/5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5/5</w:t>
            </w:r>
          </w:p>
        </w:tc>
      </w:tr>
      <w:tr>
        <w:tblPrEx>
          <w:shd w:val="clear" w:color="auto" w:fill="cad1d7"/>
        </w:tblPrEx>
        <w:trPr>
          <w:trHeight w:val="197" w:hRule="atLeast"/>
        </w:trPr>
        <w:tc>
          <w:tcPr>
            <w:tcW w:type="dxa" w:w="18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ANN</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0.85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27ae60"/>
                <w:sz w:val="17"/>
                <w:szCs w:val="17"/>
                <w:u w:color="27ae60"/>
                <w:shd w:val="nil" w:color="auto" w:fill="auto"/>
                <w:rtl w:val="0"/>
                <w:lang w:val="en-US"/>
                <w14:textFill>
                  <w14:solidFill>
                    <w14:srgbClr w14:val="27AE60"/>
                  </w14:solidFill>
                </w14:textFill>
              </w:rPr>
              <w:t>0.77</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2.74</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2.20</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2/5</w:t>
            </w:r>
          </w:p>
        </w:tc>
        <w:tc>
          <w:tcPr>
            <w:tcW w:type="dxa" w:w="12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1/5</w:t>
            </w:r>
          </w:p>
        </w:tc>
      </w:tr>
    </w:tbl>
    <w:p>
      <w:pPr>
        <w:pStyle w:val="Heading 2"/>
        <w:widowControl w:val="0"/>
      </w:pPr>
    </w:p>
    <w:p>
      <w:pPr>
        <w:pStyle w:val="Heading 2"/>
      </w:pPr>
    </w:p>
    <w:p>
      <w:pPr>
        <w:pStyle w:val="Heading 2"/>
      </w:pPr>
    </w:p>
    <w:p>
      <w:pPr>
        <w:pStyle w:val="Heading 2"/>
      </w:pPr>
      <w:r>
        <w:rPr>
          <w:rtl w:val="0"/>
          <w:lang w:val="it-IT"/>
        </w:rPr>
        <w:t xml:space="preserve">4.4 Multi-Criteria Comparison </w:t>
      </w:r>
      <w:r>
        <w:rPr>
          <w:rtl w:val="0"/>
          <w:lang w:val="en-US"/>
        </w:rPr>
        <w:t xml:space="preserve">— </w:t>
      </w:r>
      <w:r>
        <w:rPr>
          <w:rtl w:val="0"/>
        </w:rPr>
        <w:t>BMS2</w:t>
      </w:r>
    </w:p>
    <w:p>
      <w:pPr>
        <w:pStyle w:val="Body"/>
        <w:spacing w:before="100" w:after="40"/>
        <w:jc w:val="center"/>
      </w:pPr>
      <w:r>
        <w:drawing xmlns:a="http://schemas.openxmlformats.org/drawingml/2006/main">
          <wp:inline distT="0" distB="0" distL="0" distR="0">
            <wp:extent cx="5667375" cy="3924300"/>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image2.png"/>
                    <pic:cNvPicPr>
                      <a:picLocks noChangeAspect="1"/>
                    </pic:cNvPicPr>
                  </pic:nvPicPr>
                  <pic:blipFill>
                    <a:blip r:embed="rId5">
                      <a:extLst/>
                    </a:blip>
                    <a:stretch>
                      <a:fillRect/>
                    </a:stretch>
                  </pic:blipFill>
                  <pic:spPr>
                    <a:xfrm>
                      <a:off x="0" y="0"/>
                      <a:ext cx="5667375" cy="3924300"/>
                    </a:xfrm>
                    <a:prstGeom prst="rect">
                      <a:avLst/>
                    </a:prstGeom>
                    <a:ln w="12700" cap="flat">
                      <a:noFill/>
                      <a:miter lim="400000"/>
                    </a:ln>
                    <a:effectLst/>
                  </pic:spPr>
                </pic:pic>
              </a:graphicData>
            </a:graphic>
          </wp:inline>
        </w:drawing>
      </w:r>
    </w:p>
    <w:p>
      <w:pPr>
        <w:pStyle w:val="Body"/>
        <w:spacing w:after="140"/>
        <w:jc w:val="center"/>
      </w:pPr>
      <w:r>
        <w:rPr>
          <w:i w:val="1"/>
          <w:iCs w:val="1"/>
          <w:outline w:val="0"/>
          <w:color w:val="7f8c8d"/>
          <w:sz w:val="15"/>
          <w:szCs w:val="15"/>
          <w:u w:color="7f8c8d"/>
          <w:rtl w:val="0"/>
          <w:lang w:val="en-US"/>
          <w14:textFill>
            <w14:solidFill>
              <w14:srgbClr w14:val="7F8C8D"/>
            </w14:solidFill>
          </w14:textFill>
        </w:rPr>
        <w:t xml:space="preserve">Figure 2: BMS2 (N=10,000) </w:t>
      </w:r>
      <w:r>
        <w:rPr>
          <w:i w:val="1"/>
          <w:iCs w:val="1"/>
          <w:outline w:val="0"/>
          <w:color w:val="7f8c8d"/>
          <w:sz w:val="15"/>
          <w:szCs w:val="15"/>
          <w:u w:color="7f8c8d"/>
          <w:rtl w:val="0"/>
          <w:lang w:val="en-US"/>
          <w14:textFill>
            <w14:solidFill>
              <w14:srgbClr w14:val="7F8C8D"/>
            </w14:solidFill>
          </w14:textFill>
        </w:rPr>
        <w:t xml:space="preserve">— </w:t>
      </w:r>
      <w:r>
        <w:rPr>
          <w:i w:val="1"/>
          <w:iCs w:val="1"/>
          <w:outline w:val="0"/>
          <w:color w:val="7f8c8d"/>
          <w:sz w:val="15"/>
          <w:szCs w:val="15"/>
          <w:u w:color="7f8c8d"/>
          <w:rtl w:val="0"/>
          <w14:textFill>
            <w14:solidFill>
              <w14:srgbClr w14:val="7F8C8D"/>
            </w14:solidFill>
          </w14:textFill>
        </w:rPr>
        <w:t>Radar chart, R</w:t>
      </w:r>
      <w:r>
        <w:rPr>
          <w:i w:val="1"/>
          <w:iCs w:val="1"/>
          <w:outline w:val="0"/>
          <w:color w:val="7f8c8d"/>
          <w:sz w:val="15"/>
          <w:szCs w:val="15"/>
          <w:u w:color="7f8c8d"/>
          <w:rtl w:val="0"/>
          <w14:textFill>
            <w14:solidFill>
              <w14:srgbClr w14:val="7F8C8D"/>
            </w14:solidFill>
          </w14:textFill>
        </w:rPr>
        <w:t xml:space="preserve">² </w:t>
      </w:r>
      <w:r>
        <w:rPr>
          <w:i w:val="1"/>
          <w:iCs w:val="1"/>
          <w:outline w:val="0"/>
          <w:color w:val="7f8c8d"/>
          <w:sz w:val="15"/>
          <w:szCs w:val="15"/>
          <w:u w:color="7f8c8d"/>
          <w:rtl w:val="0"/>
          <w:lang w:val="en-US"/>
          <w14:textFill>
            <w14:solidFill>
              <w14:srgbClr w14:val="7F8C8D"/>
            </w14:solidFill>
          </w14:textFill>
        </w:rPr>
        <w:t>comparison, noise robustness, learning curves, rubric heatmap.</w:t>
      </w: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5. Cross-Experiment Comparison</w:t>
      </w:r>
    </w:p>
    <w:p>
      <w:pPr>
        <w:pStyle w:val="Heading 2"/>
      </w:pPr>
      <w:r>
        <w:rPr>
          <w:rtl w:val="0"/>
        </w:rPr>
        <w:t>5.1 R</w:t>
      </w:r>
      <w:r>
        <w:rPr>
          <w:rtl w:val="0"/>
        </w:rPr>
        <w:t xml:space="preserve">² </w:t>
      </w:r>
      <w:r>
        <w:rPr>
          <w:rtl w:val="0"/>
          <w:lang w:val="en-US"/>
        </w:rPr>
        <w:t>Improvement: N=500 vs N=10,000</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600"/>
        <w:gridCol w:w="1400"/>
        <w:gridCol w:w="1400"/>
        <w:gridCol w:w="1400"/>
        <w:gridCol w:w="1400"/>
        <w:gridCol w:w="2160"/>
      </w:tblGrid>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Model</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w:t>
            </w:r>
            <w:r>
              <w:rPr>
                <w:b w:val="1"/>
                <w:bCs w:val="1"/>
                <w:outline w:val="0"/>
                <w:color w:val="ffffff"/>
                <w:sz w:val="17"/>
                <w:szCs w:val="17"/>
                <w:u w:color="ffffff"/>
                <w:shd w:val="nil" w:color="auto" w:fill="auto"/>
                <w:rtl w:val="0"/>
                <w:lang w:val="en-US"/>
                <w14:textFill>
                  <w14:solidFill>
                    <w14:srgbClr w14:val="FFFFFF"/>
                  </w14:solidFill>
                </w14:textFill>
              </w:rPr>
              <w:t xml:space="preserve">² </w:t>
            </w:r>
            <w:r>
              <w:rPr>
                <w:b w:val="1"/>
                <w:bCs w:val="1"/>
                <w:outline w:val="0"/>
                <w:color w:val="ffffff"/>
                <w:sz w:val="17"/>
                <w:szCs w:val="17"/>
                <w:u w:color="ffffff"/>
                <w:shd w:val="nil" w:color="auto" w:fill="auto"/>
                <w:rtl w:val="0"/>
                <w:lang w:val="en-US"/>
                <w14:textFill>
                  <w14:solidFill>
                    <w14:srgbClr w14:val="FFFFFF"/>
                  </w14:solidFill>
                </w14:textFill>
              </w:rPr>
              <w:t>(N=500)</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w:t>
            </w:r>
            <w:r>
              <w:rPr>
                <w:b w:val="1"/>
                <w:bCs w:val="1"/>
                <w:outline w:val="0"/>
                <w:color w:val="ffffff"/>
                <w:sz w:val="17"/>
                <w:szCs w:val="17"/>
                <w:u w:color="ffffff"/>
                <w:shd w:val="nil" w:color="auto" w:fill="auto"/>
                <w:rtl w:val="0"/>
                <w:lang w:val="en-US"/>
                <w14:textFill>
                  <w14:solidFill>
                    <w14:srgbClr w14:val="FFFFFF"/>
                  </w14:solidFill>
                </w14:textFill>
              </w:rPr>
              <w:t xml:space="preserve">² </w:t>
            </w:r>
            <w:r>
              <w:rPr>
                <w:b w:val="1"/>
                <w:bCs w:val="1"/>
                <w:outline w:val="0"/>
                <w:color w:val="ffffff"/>
                <w:sz w:val="17"/>
                <w:szCs w:val="17"/>
                <w:u w:color="ffffff"/>
                <w:shd w:val="nil" w:color="auto" w:fill="auto"/>
                <w:rtl w:val="0"/>
                <w:lang w:val="en-US"/>
                <w14:textFill>
                  <w14:solidFill>
                    <w14:srgbClr w14:val="FFFFFF"/>
                  </w14:solidFill>
                </w14:textFill>
              </w:rPr>
              <w:t>(N=10k)</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Abs Change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 Change</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Interpretation</w:t>
            </w:r>
          </w:p>
        </w:tc>
      </w:tr>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Ridge</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0.51</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0.57</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+0.06</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+12%</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Structural limit</w:t>
            </w:r>
          </w:p>
        </w:tc>
      </w:tr>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PLSR</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0.51</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0.57</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+0.06</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+12%</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Structural limit</w:t>
            </w:r>
          </w:p>
        </w:tc>
      </w:tr>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RF</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0.66</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0.79</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+0.13</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+20%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Better splits</w:t>
            </w:r>
          </w:p>
        </w:tc>
      </w:tr>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XGBoost</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0.74</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0.83</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+0.09</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+12%</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More boosting signal</w:t>
            </w:r>
          </w:p>
        </w:tc>
      </w:tr>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GPR</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0.75</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0.79</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+0.04</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+5%</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Strong kernel prior</w:t>
            </w:r>
          </w:p>
        </w:tc>
      </w:tr>
      <w:tr>
        <w:tblPrEx>
          <w:shd w:val="clear" w:color="auto" w:fill="cad1d7"/>
        </w:tblPrEx>
        <w:trPr>
          <w:trHeight w:val="197" w:hRule="atLeast"/>
        </w:trPr>
        <w:tc>
          <w:tcPr>
            <w:tcW w:type="dxa" w:w="16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b w:val="1"/>
                <w:bCs w:val="1"/>
                <w:sz w:val="17"/>
                <w:szCs w:val="17"/>
                <w:shd w:val="nil" w:color="auto" w:fill="auto"/>
                <w:rtl w:val="0"/>
                <w:lang w:val="en-US"/>
              </w:rPr>
              <w:t>ANN</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e74c3c"/>
                <w:sz w:val="17"/>
                <w:szCs w:val="17"/>
                <w:u w:color="e74c3c"/>
                <w:shd w:val="nil" w:color="auto" w:fill="auto"/>
                <w:rtl w:val="0"/>
                <w:lang w:val="en-US"/>
                <w14:textFill>
                  <w14:solidFill>
                    <w14:srgbClr w14:val="E74C3C"/>
                  </w14:solidFill>
                </w14:textFill>
              </w:rPr>
              <w:t>0.05</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outline w:val="0"/>
                <w:color w:val="27ae60"/>
                <w:sz w:val="17"/>
                <w:szCs w:val="17"/>
                <w:u w:color="27ae60"/>
                <w:shd w:val="nil" w:color="auto" w:fill="auto"/>
                <w:rtl w:val="0"/>
                <w:lang w:val="en-US"/>
                <w14:textFill>
                  <w14:solidFill>
                    <w14:srgbClr w14:val="27AE60"/>
                  </w14:solidFill>
                </w14:textFill>
              </w:rPr>
              <w:t>0.77</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17"/>
                <w:szCs w:val="17"/>
                <w:shd w:val="nil" w:color="auto" w:fill="auto"/>
                <w:rtl w:val="0"/>
                <w:lang w:val="en-US"/>
              </w:rPr>
              <w:t>+0.72</w:t>
            </w:r>
          </w:p>
        </w:tc>
        <w:tc>
          <w:tcPr>
            <w:tcW w:type="dxa" w:w="140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outline w:val="0"/>
                <w:color w:val="27ae60"/>
                <w:sz w:val="17"/>
                <w:szCs w:val="17"/>
                <w:u w:color="27ae60"/>
                <w:shd w:val="nil" w:color="auto" w:fill="auto"/>
                <w:rtl w:val="0"/>
                <w:lang w:val="en-US"/>
                <w14:textFill>
                  <w14:solidFill>
                    <w14:srgbClr w14:val="27AE60"/>
                  </w14:solidFill>
                </w14:textFill>
              </w:rPr>
              <w:t>+1440%</w:t>
            </w:r>
          </w:p>
        </w:tc>
        <w:tc>
          <w:tcPr>
            <w:tcW w:type="dxa" w:w="21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b w:val="1"/>
                <w:bCs w:val="1"/>
                <w:sz w:val="17"/>
                <w:szCs w:val="17"/>
                <w:shd w:val="nil" w:color="auto" w:fill="auto"/>
                <w:rtl w:val="0"/>
                <w:lang w:val="en-US"/>
              </w:rPr>
              <w:t>Data hunger resolved</w:t>
            </w:r>
          </w:p>
        </w:tc>
      </w:tr>
    </w:tbl>
    <w:p>
      <w:pPr>
        <w:pStyle w:val="Heading 2"/>
        <w:widowControl w:val="0"/>
      </w:pPr>
    </w:p>
    <w:p>
      <w:pPr>
        <w:pStyle w:val="Heading 2"/>
      </w:pPr>
      <w:r>
        <w:rPr>
          <w:rtl w:val="0"/>
          <w:lang w:val="en-US"/>
        </w:rPr>
        <w:t>5.2 ANN: Before vs After</w:t>
      </w:r>
    </w:p>
    <w:p>
      <w:pPr>
        <w:pStyle w:val="Body"/>
        <w:spacing w:after="100" w:line="264" w:lineRule="auto"/>
      </w:pPr>
      <w:r>
        <w:rPr>
          <w:rtl w:val="0"/>
          <w:lang w:val="en-US"/>
        </w:rPr>
        <w:t>The ANN transformation is the headline finding. At N=500, predictions are essentially random. At N=10,000, it becomes competitive with tree-based methods.</w:t>
      </w:r>
    </w:p>
    <w:p>
      <w:pPr>
        <w:pStyle w:val="Body"/>
        <w:spacing w:before="100" w:after="40"/>
        <w:jc w:val="center"/>
      </w:pPr>
      <w:r>
        <w:drawing xmlns:a="http://schemas.openxmlformats.org/drawingml/2006/main">
          <wp:inline distT="0" distB="0" distL="0" distR="0">
            <wp:extent cx="5667375" cy="481965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image3.png"/>
                    <pic:cNvPicPr>
                      <a:picLocks noChangeAspect="1"/>
                    </pic:cNvPicPr>
                  </pic:nvPicPr>
                  <pic:blipFill>
                    <a:blip r:embed="rId6">
                      <a:extLst/>
                    </a:blip>
                    <a:stretch>
                      <a:fillRect/>
                    </a:stretch>
                  </pic:blipFill>
                  <pic:spPr>
                    <a:xfrm>
                      <a:off x="0" y="0"/>
                      <a:ext cx="5667375" cy="4819650"/>
                    </a:xfrm>
                    <a:prstGeom prst="rect">
                      <a:avLst/>
                    </a:prstGeom>
                    <a:ln w="12700" cap="flat">
                      <a:noFill/>
                      <a:miter lim="400000"/>
                    </a:ln>
                    <a:effectLst/>
                  </pic:spPr>
                </pic:pic>
              </a:graphicData>
            </a:graphic>
          </wp:inline>
        </w:drawing>
      </w:r>
    </w:p>
    <w:p>
      <w:pPr>
        <w:pStyle w:val="Body"/>
        <w:spacing w:after="140"/>
        <w:jc w:val="center"/>
      </w:pPr>
      <w:r>
        <w:rPr>
          <w:i w:val="1"/>
          <w:iCs w:val="1"/>
          <w:outline w:val="0"/>
          <w:color w:val="7f8c8d"/>
          <w:sz w:val="15"/>
          <w:szCs w:val="15"/>
          <w:u w:color="7f8c8d"/>
          <w:rtl w:val="0"/>
          <w:lang w:val="en-US"/>
          <w14:textFill>
            <w14:solidFill>
              <w14:srgbClr w14:val="7F8C8D"/>
            </w14:solidFill>
          </w14:textFill>
        </w:rPr>
        <w:t xml:space="preserve">Figure 3a: ANN at N=500 </w:t>
      </w:r>
      <w:r>
        <w:rPr>
          <w:i w:val="1"/>
          <w:iCs w:val="1"/>
          <w:outline w:val="0"/>
          <w:color w:val="7f8c8d"/>
          <w:sz w:val="15"/>
          <w:szCs w:val="15"/>
          <w:u w:color="7f8c8d"/>
          <w:rtl w:val="0"/>
          <w:lang w:val="en-US"/>
          <w14:textFill>
            <w14:solidFill>
              <w14:srgbClr w14:val="7F8C8D"/>
            </w14:solidFill>
          </w14:textFill>
        </w:rPr>
        <w:t xml:space="preserve">— </w:t>
      </w:r>
      <w:r>
        <w:rPr>
          <w:i w:val="1"/>
          <w:iCs w:val="1"/>
          <w:outline w:val="0"/>
          <w:color w:val="7f8c8d"/>
          <w:sz w:val="15"/>
          <w:szCs w:val="15"/>
          <w:u w:color="7f8c8d"/>
          <w:rtl w:val="0"/>
          <w14:textFill>
            <w14:solidFill>
              <w14:srgbClr w14:val="7F8C8D"/>
            </w14:solidFill>
          </w14:textFill>
        </w:rPr>
        <w:t>R</w:t>
      </w:r>
      <w:r>
        <w:rPr>
          <w:i w:val="1"/>
          <w:iCs w:val="1"/>
          <w:outline w:val="0"/>
          <w:color w:val="7f8c8d"/>
          <w:sz w:val="15"/>
          <w:szCs w:val="15"/>
          <w:u w:color="7f8c8d"/>
          <w:rtl w:val="0"/>
          <w14:textFill>
            <w14:solidFill>
              <w14:srgbClr w14:val="7F8C8D"/>
            </w14:solidFill>
          </w14:textFill>
        </w:rPr>
        <w:t>²</w:t>
      </w:r>
      <w:r>
        <w:rPr>
          <w:i w:val="1"/>
          <w:iCs w:val="1"/>
          <w:outline w:val="0"/>
          <w:color w:val="7f8c8d"/>
          <w:sz w:val="15"/>
          <w:szCs w:val="15"/>
          <w:u w:color="7f8c8d"/>
          <w:rtl w:val="0"/>
          <w:lang w:val="en-US"/>
          <w14:textFill>
            <w14:solidFill>
              <w14:srgbClr w14:val="7F8C8D"/>
            </w14:solidFill>
          </w14:textFill>
        </w:rPr>
        <w:t>=0.05, scattered predictions, no pattern.</w:t>
      </w:r>
    </w:p>
    <w:p>
      <w:pPr>
        <w:pStyle w:val="Body"/>
        <w:spacing w:before="100" w:after="40"/>
        <w:jc w:val="center"/>
      </w:pPr>
      <w:r>
        <w:drawing xmlns:a="http://schemas.openxmlformats.org/drawingml/2006/main">
          <wp:inline distT="0" distB="0" distL="0" distR="0">
            <wp:extent cx="5667375" cy="4810125"/>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image4.png"/>
                    <pic:cNvPicPr>
                      <a:picLocks noChangeAspect="1"/>
                    </pic:cNvPicPr>
                  </pic:nvPicPr>
                  <pic:blipFill>
                    <a:blip r:embed="rId7">
                      <a:extLst/>
                    </a:blip>
                    <a:stretch>
                      <a:fillRect/>
                    </a:stretch>
                  </pic:blipFill>
                  <pic:spPr>
                    <a:xfrm>
                      <a:off x="0" y="0"/>
                      <a:ext cx="5667375" cy="4810125"/>
                    </a:xfrm>
                    <a:prstGeom prst="rect">
                      <a:avLst/>
                    </a:prstGeom>
                    <a:ln w="12700" cap="flat">
                      <a:noFill/>
                      <a:miter lim="400000"/>
                    </a:ln>
                    <a:effectLst/>
                  </pic:spPr>
                </pic:pic>
              </a:graphicData>
            </a:graphic>
          </wp:inline>
        </w:drawing>
      </w:r>
    </w:p>
    <w:p>
      <w:pPr>
        <w:pStyle w:val="Body"/>
        <w:spacing w:after="140"/>
        <w:jc w:val="center"/>
      </w:pPr>
      <w:r>
        <w:rPr>
          <w:i w:val="1"/>
          <w:iCs w:val="1"/>
          <w:outline w:val="0"/>
          <w:color w:val="7f8c8d"/>
          <w:sz w:val="15"/>
          <w:szCs w:val="15"/>
          <w:u w:color="7f8c8d"/>
          <w:rtl w:val="0"/>
          <w:lang w:val="en-US"/>
          <w14:textFill>
            <w14:solidFill>
              <w14:srgbClr w14:val="7F8C8D"/>
            </w14:solidFill>
          </w14:textFill>
        </w:rPr>
        <w:t xml:space="preserve">Figure 3b: ANN at N=10,000 </w:t>
      </w:r>
      <w:r>
        <w:rPr>
          <w:i w:val="1"/>
          <w:iCs w:val="1"/>
          <w:outline w:val="0"/>
          <w:color w:val="7f8c8d"/>
          <w:sz w:val="15"/>
          <w:szCs w:val="15"/>
          <w:u w:color="7f8c8d"/>
          <w:rtl w:val="0"/>
          <w:lang w:val="en-US"/>
          <w14:textFill>
            <w14:solidFill>
              <w14:srgbClr w14:val="7F8C8D"/>
            </w14:solidFill>
          </w14:textFill>
        </w:rPr>
        <w:t xml:space="preserve">— </w:t>
      </w:r>
      <w:r>
        <w:rPr>
          <w:i w:val="1"/>
          <w:iCs w:val="1"/>
          <w:outline w:val="0"/>
          <w:color w:val="7f8c8d"/>
          <w:sz w:val="15"/>
          <w:szCs w:val="15"/>
          <w:u w:color="7f8c8d"/>
          <w:rtl w:val="0"/>
          <w14:textFill>
            <w14:solidFill>
              <w14:srgbClr w14:val="7F8C8D"/>
            </w14:solidFill>
          </w14:textFill>
        </w:rPr>
        <w:t>R</w:t>
      </w:r>
      <w:r>
        <w:rPr>
          <w:i w:val="1"/>
          <w:iCs w:val="1"/>
          <w:outline w:val="0"/>
          <w:color w:val="7f8c8d"/>
          <w:sz w:val="15"/>
          <w:szCs w:val="15"/>
          <w:u w:color="7f8c8d"/>
          <w:rtl w:val="0"/>
          <w14:textFill>
            <w14:solidFill>
              <w14:srgbClr w14:val="7F8C8D"/>
            </w14:solidFill>
          </w14:textFill>
        </w:rPr>
        <w:t>²</w:t>
      </w:r>
      <w:r>
        <w:rPr>
          <w:i w:val="1"/>
          <w:iCs w:val="1"/>
          <w:outline w:val="0"/>
          <w:color w:val="7f8c8d"/>
          <w:sz w:val="15"/>
          <w:szCs w:val="15"/>
          <w:u w:color="7f8c8d"/>
          <w:rtl w:val="0"/>
          <w:lang w:val="en-US"/>
          <w14:textFill>
            <w14:solidFill>
              <w14:srgbClr w14:val="7F8C8D"/>
            </w14:solidFill>
          </w14:textFill>
        </w:rPr>
        <w:t>=0.77, tight prediction band, meaningful LIME attributions.</w:t>
      </w:r>
    </w:p>
    <w:p>
      <w:pPr>
        <w:pStyle w:val="Heading 2"/>
      </w:pPr>
      <w:r>
        <w:rPr>
          <w:rtl w:val="0"/>
          <w:lang w:val="en-US"/>
        </w:rPr>
        <w:t>5.3 Key Insights</w:t>
      </w:r>
    </w:p>
    <w:p>
      <w:pPr>
        <w:pStyle w:val="Body"/>
        <w:spacing w:after="100" w:line="264" w:lineRule="auto"/>
      </w:pPr>
      <w:r>
        <w:rPr>
          <w:b w:val="1"/>
          <w:bCs w:val="1"/>
          <w:rtl w:val="0"/>
          <w:lang w:val="en-US"/>
        </w:rPr>
        <w:t xml:space="preserve">1. Linear models (Ridge, PLSR) hit a structural ceiling. Their limitation is architectural </w:t>
      </w:r>
      <w:r>
        <w:rPr>
          <w:b w:val="1"/>
          <w:bCs w:val="1"/>
          <w:rtl w:val="0"/>
          <w:lang w:val="en-US"/>
        </w:rPr>
        <w:t xml:space="preserve">— </w:t>
      </w:r>
      <w:r>
        <w:rPr>
          <w:b w:val="1"/>
          <w:bCs w:val="1"/>
          <w:rtl w:val="0"/>
          <w:lang w:val="en-US"/>
        </w:rPr>
        <w:t>they cannot capture nonlinear relationships regardless of data volume.</w:t>
      </w:r>
    </w:p>
    <w:p>
      <w:pPr>
        <w:pStyle w:val="Body"/>
        <w:spacing w:after="60"/>
      </w:pPr>
    </w:p>
    <w:p>
      <w:pPr>
        <w:pStyle w:val="Body"/>
        <w:spacing w:after="100" w:line="264" w:lineRule="auto"/>
      </w:pPr>
      <w:r>
        <w:rPr>
          <w:b w:val="1"/>
          <w:bCs w:val="1"/>
          <w:rtl w:val="0"/>
          <w:lang w:val="en-US"/>
        </w:rPr>
        <w:t>2. Tree-based models are robust across data regimes. XGBoost and RF worked well at N=500 and improved moderately at N=10,000. Their built-in structure provides enough inductive bias to learn from limited data.</w:t>
      </w:r>
    </w:p>
    <w:p>
      <w:pPr>
        <w:pStyle w:val="Body"/>
        <w:spacing w:after="60"/>
      </w:pPr>
    </w:p>
    <w:p>
      <w:pPr>
        <w:pStyle w:val="Body"/>
        <w:spacing w:after="100" w:line="264" w:lineRule="auto"/>
      </w:pPr>
      <w:r>
        <w:rPr>
          <w:b w:val="1"/>
          <w:bCs w:val="1"/>
          <w:rtl w:val="0"/>
          <w:lang w:val="en-US"/>
        </w:rPr>
        <w:t>3. GPR benefits from strong priors, not data volume. GPR was the best model at N=500 and barely changed at N=10,000 because it is trained on a fixed 300-sample subsample. The RBF kernel encodes the right structural assumption.</w:t>
      </w:r>
    </w:p>
    <w:p>
      <w:pPr>
        <w:pStyle w:val="Body"/>
        <w:spacing w:after="60"/>
      </w:pPr>
    </w:p>
    <w:p>
      <w:pPr>
        <w:pStyle w:val="Body"/>
        <w:spacing w:after="100" w:line="264" w:lineRule="auto"/>
      </w:pPr>
      <w:r>
        <w:rPr>
          <w:b w:val="1"/>
          <w:bCs w:val="1"/>
          <w:rtl w:val="0"/>
          <w:lang w:val="en-US"/>
        </w:rPr>
        <w:t xml:space="preserve">4. ANN requires large datasets </w:t>
      </w:r>
      <w:r>
        <w:rPr>
          <w:b w:val="1"/>
          <w:bCs w:val="1"/>
          <w:rtl w:val="0"/>
          <w:lang w:val="en-US"/>
        </w:rPr>
        <w:t xml:space="preserve">— </w:t>
      </w:r>
      <w:r>
        <w:rPr>
          <w:b w:val="1"/>
          <w:bCs w:val="1"/>
          <w:rtl w:val="0"/>
          <w:lang w:val="en-US"/>
        </w:rPr>
        <w:t>period. With 12,225 parameters and no structural prior, the ANN needs thousands of samples to learn what other models get from their architecture. At N=500, it has 36x more parameters than data.</w:t>
      </w:r>
    </w:p>
    <w:p>
      <w:pPr>
        <w:pStyle w:val="Body"/>
        <w:spacing w:after="60"/>
      </w:pPr>
    </w:p>
    <w:p>
      <w:pPr>
        <w:pStyle w:val="Body"/>
        <w:spacing w:after="100" w:line="264" w:lineRule="auto"/>
      </w:pPr>
      <w:r>
        <w:rPr>
          <w:b w:val="1"/>
          <w:bCs w:val="1"/>
          <w:rtl w:val="0"/>
          <w:lang w:val="en-US"/>
        </w:rPr>
        <w:t>5. XGBoost + SHAP is the best production model. Across both experiments, it consistently delivered top accuracy with full explainability. Recommended for deployment.</w:t>
      </w:r>
    </w:p>
    <w:p>
      <w:pPr>
        <w:pStyle w:val="Heading 2"/>
      </w:pPr>
      <w:r>
        <w:rPr>
          <w:rtl w:val="0"/>
          <w:lang w:val="en-US"/>
        </w:rPr>
        <w:t>5.4 Final Rankings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340"/>
        <w:gridCol w:w="2340"/>
        <w:gridCol w:w="2340"/>
        <w:gridCol w:w="2340"/>
      </w:tblGrid>
      <w:tr>
        <w:tblPrEx>
          <w:shd w:val="clear" w:color="auto" w:fill="cad1d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Category</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Best at N=500</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Best at N=10k</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4f72"/>
            <w:tcMar>
              <w:top w:type="dxa" w:w="80"/>
              <w:left w:type="dxa" w:w="80"/>
              <w:bottom w:type="dxa" w:w="80"/>
              <w:right w:type="dxa" w:w="80"/>
            </w:tcMar>
            <w:vAlign w:val="center"/>
          </w:tcPr>
          <w:p>
            <w:pPr>
              <w:pStyle w:val="Body"/>
              <w:jc w:val="center"/>
            </w:pPr>
            <w:r>
              <w:rPr>
                <w:b w:val="1"/>
                <w:bCs w:val="1"/>
                <w:outline w:val="0"/>
                <w:color w:val="ffffff"/>
                <w:sz w:val="17"/>
                <w:szCs w:val="17"/>
                <w:u w:color="ffffff"/>
                <w:shd w:val="nil" w:color="auto" w:fill="auto"/>
                <w:rtl w:val="0"/>
                <w:lang w:val="en-US"/>
                <w14:textFill>
                  <w14:solidFill>
                    <w14:srgbClr w14:val="FFFFFF"/>
                  </w14:solidFill>
                </w14:textFill>
              </w:rPr>
              <w:t>Recommendation</w:t>
            </w:r>
          </w:p>
        </w:tc>
      </w:tr>
      <w:tr>
        <w:tblPrEx>
          <w:shd w:val="clear" w:color="auto" w:fill="cad1d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Best Accuracy</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GPR (0.75)</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XGBoost (0.83)</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17"/>
                <w:szCs w:val="17"/>
                <w:shd w:val="nil" w:color="auto" w:fill="auto"/>
                <w:rtl w:val="0"/>
                <w:lang w:val="en-US"/>
              </w:rPr>
              <w:t>XGBoost + SHAP</w:t>
            </w:r>
          </w:p>
        </w:tc>
      </w:tr>
      <w:tr>
        <w:tblPrEx>
          <w:shd w:val="clear" w:color="auto" w:fill="cad1d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Best Uncertainty</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GPR</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GPR</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17"/>
                <w:szCs w:val="17"/>
                <w:shd w:val="nil" w:color="auto" w:fill="auto"/>
                <w:rtl w:val="0"/>
                <w:lang w:val="en-US"/>
              </w:rPr>
              <w:t>GPR</w:t>
            </w:r>
          </w:p>
        </w:tc>
      </w:tr>
      <w:tr>
        <w:tblPrEx>
          <w:shd w:val="clear" w:color="auto" w:fill="cad1d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Best Interpretability</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PLSR / Ridge</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PLSR / Ridge</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17"/>
                <w:szCs w:val="17"/>
                <w:shd w:val="nil" w:color="auto" w:fill="auto"/>
                <w:rtl w:val="0"/>
                <w:lang w:val="en-US"/>
              </w:rPr>
              <w:t>PLSR (academic)</w:t>
            </w:r>
          </w:p>
        </w:tc>
      </w:tr>
      <w:tr>
        <w:tblPrEx>
          <w:shd w:val="clear" w:color="auto" w:fill="cad1d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Most Data-Sensitive</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ANN (failed)</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ANN (recovered)</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outline w:val="0"/>
                <w:color w:val="e74c3c"/>
                <w:sz w:val="17"/>
                <w:szCs w:val="17"/>
                <w:u w:color="e74c3c"/>
                <w:shd w:val="nil" w:color="auto" w:fill="auto"/>
                <w:rtl w:val="0"/>
                <w:lang w:val="en-US"/>
                <w14:textFill>
                  <w14:solidFill>
                    <w14:srgbClr w14:val="E74C3C"/>
                  </w14:solidFill>
                </w14:textFill>
              </w:rPr>
              <w:t>Avoid for small N</w:t>
            </w:r>
          </w:p>
        </w:tc>
      </w:tr>
      <w:tr>
        <w:tblPrEx>
          <w:shd w:val="clear" w:color="auto" w:fill="cad1d7"/>
        </w:tblPrEx>
        <w:trPr>
          <w:trHeight w:val="197"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pPr>
            <w:r>
              <w:rPr>
                <w:sz w:val="17"/>
                <w:szCs w:val="17"/>
                <w:shd w:val="nil" w:color="auto" w:fill="auto"/>
                <w:rtl w:val="0"/>
                <w:lang w:val="en-US"/>
              </w:rPr>
              <w:t>Best Domain Insight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Hybrid</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sz w:val="17"/>
                <w:szCs w:val="17"/>
                <w:shd w:val="nil" w:color="auto" w:fill="auto"/>
                <w:rtl w:val="0"/>
                <w:lang w:val="en-US"/>
              </w:rPr>
              <w:t>Hybrid</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fffff"/>
            <w:tcMar>
              <w:top w:type="dxa" w:w="80"/>
              <w:left w:type="dxa" w:w="80"/>
              <w:bottom w:type="dxa" w:w="80"/>
              <w:right w:type="dxa" w:w="80"/>
            </w:tcMar>
            <w:vAlign w:val="center"/>
          </w:tcPr>
          <w:p>
            <w:pPr>
              <w:pStyle w:val="Body"/>
              <w:jc w:val="center"/>
            </w:pPr>
            <w:r>
              <w:rPr>
                <w:b w:val="1"/>
                <w:bCs w:val="1"/>
                <w:sz w:val="17"/>
                <w:szCs w:val="17"/>
                <w:shd w:val="nil" w:color="auto" w:fill="auto"/>
                <w:rtl w:val="0"/>
                <w:lang w:val="en-US"/>
              </w:rPr>
              <w:t>Hybrid features</w:t>
            </w:r>
          </w:p>
        </w:tc>
      </w:tr>
    </w:tbl>
    <w:p>
      <w:pPr>
        <w:pStyle w:val="Heading 2"/>
        <w:widowControl w:val="0"/>
      </w:pPr>
    </w:p>
    <w:p>
      <w:pPr>
        <w:pStyle w:val="Body"/>
        <w:spacing w:after="60"/>
      </w:pPr>
    </w:p>
    <w:p>
      <w:pPr>
        <w:pStyle w:val="Heading"/>
      </w:pPr>
      <w:r>
        <w:rPr>
          <w:rtl w:val="0"/>
          <w:lang w:val="en-US"/>
        </w:rPr>
        <w:t>6. Next Steps</w:t>
      </w:r>
    </w:p>
    <w:p>
      <w:pPr>
        <w:pStyle w:val="Body"/>
        <w:spacing w:after="100" w:line="264" w:lineRule="auto"/>
      </w:pPr>
      <w:r>
        <w:rPr>
          <w:rtl w:val="0"/>
          <w:lang w:val="en-US"/>
        </w:rPr>
        <w:t>1. Write the final report linking each model to published literature.</w:t>
      </w:r>
    </w:p>
    <w:p>
      <w:pPr>
        <w:pStyle w:val="Body"/>
        <w:spacing w:after="100" w:line="264" w:lineRule="auto"/>
      </w:pPr>
      <w:r>
        <w:rPr>
          <w:rtl w:val="0"/>
          <w:lang w:val="en-US"/>
        </w:rPr>
        <w:t>2. Prepare presentation slides highlighting the ANN data efficiency finding.</w:t>
      </w:r>
    </w:p>
    <w:p>
      <w:pPr>
        <w:pStyle w:val="Body"/>
        <w:spacing w:after="100" w:line="264" w:lineRule="auto"/>
      </w:pPr>
      <w:r>
        <w:rPr>
          <w:rtl w:val="0"/>
          <w:lang w:val="en-US"/>
        </w:rPr>
        <w:t>3. Add discussion on industrial relevance: pharma datasets are typically N&lt;1000.</w:t>
      </w:r>
    </w:p>
    <w:p>
      <w:pPr>
        <w:pStyle w:val="Body"/>
        <w:spacing w:after="100" w:line="264" w:lineRule="auto"/>
      </w:pPr>
      <w:r>
        <w:rPr>
          <w:rtl w:val="0"/>
          <w:lang w:val="en-US"/>
        </w:rPr>
        <w:t>4. Include regulatory considerations (ICH Q8/Q9) for each model type.</w:t>
      </w:r>
    </w:p>
    <w:p>
      <w:pPr>
        <w:pStyle w:val="Body"/>
        <w:spacing w:after="60"/>
      </w:pPr>
    </w:p>
    <w:p>
      <w:pPr>
        <w:pStyle w:val="Body"/>
        <w:spacing w:after="60"/>
      </w:pPr>
    </w:p>
    <w:p>
      <w:pPr>
        <w:pStyle w:val="Body"/>
        <w:pBdr>
          <w:top w:val="single" w:color="1b4f72" w:sz="4" w:space="0" w:shadow="0" w:frame="0"/>
          <w:left w:val="nil"/>
          <w:bottom w:val="nil"/>
          <w:right w:val="nil"/>
        </w:pBdr>
        <w:spacing w:before="200"/>
        <w:jc w:val="center"/>
      </w:pPr>
      <w:r>
        <w:rPr>
          <w:i w:val="1"/>
          <w:iCs w:val="1"/>
          <w:outline w:val="0"/>
          <w:color w:val="95a5a6"/>
          <w:sz w:val="17"/>
          <w:szCs w:val="17"/>
          <w:u w:color="95a5a6"/>
          <w:rtl w:val="0"/>
          <w:lang w:val="en-US"/>
          <w14:textFill>
            <w14:solidFill>
              <w14:srgbClr w14:val="95A5A6"/>
            </w14:solidFill>
          </w14:textFill>
        </w:rPr>
        <w:t xml:space="preserve">— </w:t>
      </w:r>
      <w:r>
        <w:rPr>
          <w:i w:val="1"/>
          <w:iCs w:val="1"/>
          <w:outline w:val="0"/>
          <w:color w:val="95a5a6"/>
          <w:sz w:val="17"/>
          <w:szCs w:val="17"/>
          <w:u w:color="95a5a6"/>
          <w:rtl w:val="0"/>
          <w:lang w:val="en-US"/>
          <w14:textFill>
            <w14:solidFill>
              <w14:srgbClr w14:val="95A5A6"/>
            </w14:solidFill>
          </w14:textFill>
        </w:rPr>
        <w:t xml:space="preserve">End of Progress Document </w:t>
      </w:r>
      <w:r>
        <w:rPr>
          <w:i w:val="1"/>
          <w:iCs w:val="1"/>
          <w:outline w:val="0"/>
          <w:color w:val="95a5a6"/>
          <w:sz w:val="17"/>
          <w:szCs w:val="17"/>
          <w:u w:color="95a5a6"/>
          <w:rtl w:val="0"/>
          <w:lang w:val="en-US"/>
          <w14:textFill>
            <w14:solidFill>
              <w14:srgbClr w14:val="95A5A6"/>
            </w14:solidFill>
          </w14:textFill>
        </w:rPr>
        <w:t>—</w:t>
      </w:r>
    </w:p>
    <w:sectPr>
      <w:headerReference w:type="default" r:id="rId8"/>
      <w:footerReference w:type="default" r:id="rId9"/>
      <w:pgSz w:w="12240" w:h="15840" w:orient="portrait"/>
      <w:pgMar w:top="1100" w:right="1440" w:bottom="110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Bdr>
        <w:top w:val="nil"/>
        <w:left w:val="nil"/>
        <w:bottom w:val="single" w:color="1b4f72" w:sz="3" w:space="0" w:shadow="0" w:frame="0"/>
        <w:right w:val="nil"/>
      </w:pBdr>
      <w:jc w:val="right"/>
    </w:pPr>
    <w:r>
      <w:rPr>
        <w:i w:val="1"/>
        <w:iCs w:val="1"/>
        <w:outline w:val="0"/>
        <w:color w:val="95a5a6"/>
        <w:sz w:val="15"/>
        <w:szCs w:val="15"/>
        <w:u w:color="95a5a6"/>
        <w:rtl w:val="0"/>
        <w:lang w:val="en-US"/>
        <w14:textFill>
          <w14:solidFill>
            <w14:srgbClr w14:val="95A5A6"/>
          </w14:solidFill>
        </w14:textFill>
      </w:rPr>
      <w:t xml:space="preserve">BMS Fucosylation Modelling </w:t>
    </w:r>
    <w:r>
      <w:rPr>
        <w:i w:val="1"/>
        <w:iCs w:val="1"/>
        <w:outline w:val="0"/>
        <w:color w:val="95a5a6"/>
        <w:sz w:val="15"/>
        <w:szCs w:val="15"/>
        <w:u w:color="95a5a6"/>
        <w:rtl w:val="0"/>
        <w:lang w:val="en-US"/>
        <w14:textFill>
          <w14:solidFill>
            <w14:srgbClr w14:val="95A5A6"/>
          </w14:solidFill>
        </w14:textFill>
      </w:rPr>
      <w:t xml:space="preserve">— </w:t>
    </w:r>
    <w:r>
      <w:rPr>
        <w:i w:val="1"/>
        <w:iCs w:val="1"/>
        <w:outline w:val="0"/>
        <w:color w:val="95a5a6"/>
        <w:sz w:val="15"/>
        <w:szCs w:val="15"/>
        <w:u w:color="95a5a6"/>
        <w:rtl w:val="0"/>
        <w:lang w:val="en-US"/>
        <w14:textFill>
          <w14:solidFill>
            <w14:srgbClr w14:val="95A5A6"/>
          </w14:solidFill>
        </w14:textFill>
      </w:rPr>
      <w:t>Progress Document</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2c3e50"/>
      <w:spacing w:val="0"/>
      <w:kern w:val="0"/>
      <w:position w:val="0"/>
      <w:sz w:val="19"/>
      <w:szCs w:val="19"/>
      <w:u w:val="none" w:color="2c3e50"/>
      <w:shd w:val="nil" w:color="auto" w:fill="auto"/>
      <w:vertAlign w:val="baseline"/>
      <w:lang w:val="en-US"/>
      <w14:textOutline>
        <w14:noFill/>
      </w14:textOutline>
      <w14:textFill>
        <w14:solidFill>
          <w14:srgbClr w14:val="2C3E5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60" w:after="1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4f72"/>
      <w:spacing w:val="0"/>
      <w:kern w:val="0"/>
      <w:position w:val="0"/>
      <w:sz w:val="28"/>
      <w:szCs w:val="28"/>
      <w:u w:val="none" w:color="1b4f72"/>
      <w:shd w:val="nil" w:color="auto" w:fill="auto"/>
      <w:vertAlign w:val="baseline"/>
      <w:lang w:val="en-US"/>
      <w14:textOutline>
        <w14:noFill/>
      </w14:textOutline>
      <w14:textFill>
        <w14:solidFill>
          <w14:srgbClr w14:val="1B4F72"/>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80" w:after="8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b4f72"/>
      <w:spacing w:val="0"/>
      <w:kern w:val="0"/>
      <w:position w:val="0"/>
      <w:sz w:val="24"/>
      <w:szCs w:val="24"/>
      <w:u w:val="none" w:color="1b4f72"/>
      <w:shd w:val="nil" w:color="auto" w:fill="auto"/>
      <w:vertAlign w:val="baseline"/>
      <w:lang w:val="it-IT"/>
      <w14:textOutline>
        <w14:noFill/>
      </w14:textOutline>
      <w14:textFill>
        <w14:solidFill>
          <w14:srgbClr w14:val="1B4F72"/>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140" w:after="6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1b4f72"/>
      <w:spacing w:val="0"/>
      <w:kern w:val="0"/>
      <w:position w:val="0"/>
      <w:sz w:val="20"/>
      <w:szCs w:val="20"/>
      <w:u w:val="none" w:color="1b4f72"/>
      <w:shd w:val="nil" w:color="auto" w:fill="auto"/>
      <w:vertAlign w:val="baseline"/>
      <w:lang w:val="en-US"/>
      <w14:textOutline>
        <w14:noFill/>
      </w14:textOutline>
      <w14:textFill>
        <w14:solidFill>
          <w14:srgbClr w14:val="1B4F72"/>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