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Proposal: Cloud Infrastructure Modernization</w:t>
      </w:r>
    </w:p>
    <w:p>
      <w:r>
        <w:t>Issuing Organization: City of Riverdale Municipal Corporation</w:t>
      </w:r>
    </w:p>
    <w:p>
      <w:pPr>
        <w:pStyle w:val="Heading1"/>
      </w:pPr>
      <w:r>
        <w:t>1. Project Overview</w:t>
      </w:r>
    </w:p>
    <w:p>
      <w:r>
        <w:t>The City of Riverdale is seeking a qualified vendor to migrate its legacy on-premise data center to a secure, scalable cloud infrastructure. The scope includes assessment, migration, and 12 months of managed support.</w:t>
      </w:r>
    </w:p>
    <w:p>
      <w:pPr>
        <w:pStyle w:val="Heading1"/>
      </w:pPr>
      <w:r>
        <w:t>2. Key Requirements</w:t>
      </w:r>
    </w:p>
    <w:p>
      <w:pPr>
        <w:pStyle w:val="ListBullet"/>
      </w:pPr>
      <w:r>
        <w:t>Vendor must hold ISO 27001 certification.</w:t>
      </w:r>
    </w:p>
    <w:p>
      <w:pPr>
        <w:pStyle w:val="ListBullet"/>
      </w:pPr>
      <w:r>
        <w:t>Minimum 5 years experience with government cloud migrations.</w:t>
      </w:r>
    </w:p>
    <w:p>
      <w:pPr>
        <w:pStyle w:val="ListBullet"/>
      </w:pPr>
      <w:r>
        <w:t>24/7 support SLA with 1-hour critical response time.</w:t>
      </w:r>
    </w:p>
    <w:p>
      <w:pPr>
        <w:pStyle w:val="ListBullet"/>
      </w:pPr>
      <w:r>
        <w:t>Data residency must remain within national borders.</w:t>
      </w:r>
    </w:p>
    <w:p>
      <w:pPr>
        <w:pStyle w:val="Heading1"/>
      </w:pPr>
      <w:r>
        <w:t>3. Important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Pre-bid Q&amp;A Deadline</w:t>
            </w:r>
          </w:p>
        </w:tc>
        <w:tc>
          <w:tcPr>
            <w:tcW w:type="dxa" w:w="4320"/>
          </w:tcPr>
          <w:p>
            <w:r>
              <w:t>July 5, 2026</w:t>
            </w:r>
          </w:p>
        </w:tc>
      </w:tr>
      <w:tr>
        <w:tc>
          <w:tcPr>
            <w:tcW w:type="dxa" w:w="4320"/>
          </w:tcPr>
          <w:p>
            <w:r>
              <w:t>Proposal Submission Deadline</w:t>
            </w:r>
          </w:p>
        </w:tc>
        <w:tc>
          <w:tcPr>
            <w:tcW w:type="dxa" w:w="4320"/>
          </w:tcPr>
          <w:p>
            <w:r>
              <w:t>July 20, 2026</w:t>
            </w:r>
          </w:p>
        </w:tc>
      </w:tr>
      <w:tr>
        <w:tc>
          <w:tcPr>
            <w:tcW w:type="dxa" w:w="4320"/>
          </w:tcPr>
          <w:p>
            <w:r>
              <w:t>Vendor Selection</w:t>
            </w:r>
          </w:p>
        </w:tc>
        <w:tc>
          <w:tcPr>
            <w:tcW w:type="dxa" w:w="4320"/>
          </w:tcPr>
          <w:p>
            <w:r>
              <w:t>August 10, 2026</w:t>
            </w:r>
          </w:p>
        </w:tc>
      </w:tr>
      <w:tr>
        <w:tc>
          <w:tcPr>
            <w:tcW w:type="dxa" w:w="4320"/>
          </w:tcPr>
          <w:p>
            <w:r>
              <w:t>Project Kickoff</w:t>
            </w:r>
          </w:p>
        </w:tc>
        <w:tc>
          <w:tcPr>
            <w:tcW w:type="dxa" w:w="4320"/>
          </w:tcPr>
          <w:p>
            <w:r>
              <w:t>September 1, 2026</w:t>
            </w:r>
          </w:p>
        </w:tc>
      </w:tr>
    </w:tbl>
    <w:p>
      <w:pPr>
        <w:pStyle w:val="Heading1"/>
      </w:pPr>
      <w:r>
        <w:t>4. Evaluation Criteria</w:t>
      </w:r>
    </w:p>
    <w:p>
      <w:pPr>
        <w:pStyle w:val="ListBullet"/>
      </w:pPr>
      <w:r>
        <w:t>Technical approach: 40%</w:t>
      </w:r>
    </w:p>
    <w:p>
      <w:pPr>
        <w:pStyle w:val="ListBullet"/>
      </w:pPr>
      <w:r>
        <w:t>Cost: 30%</w:t>
      </w:r>
    </w:p>
    <w:p>
      <w:pPr>
        <w:pStyle w:val="ListBullet"/>
      </w:pPr>
      <w:r>
        <w:t>Vendor experience: 20%</w:t>
      </w:r>
    </w:p>
    <w:p>
      <w:pPr>
        <w:pStyle w:val="ListBullet"/>
      </w:pPr>
      <w:r>
        <w:t>References: 10%</w:t>
      </w:r>
    </w:p>
    <w:p>
      <w:pPr>
        <w:pStyle w:val="Heading1"/>
      </w:pPr>
      <w:r>
        <w:t>5. Budget</w:t>
      </w:r>
    </w:p>
    <w:p>
      <w:r>
        <w:t>Estimated budget: $450,000 - $600,000 USD, fixed price preferred.</w:t>
      </w:r>
    </w:p>
    <w:p>
      <w:pPr>
        <w:pStyle w:val="Heading1"/>
      </w:pPr>
      <w:r>
        <w:t>6. Special Terms</w:t>
      </w:r>
    </w:p>
    <w:p>
      <w:r>
        <w:t>Note: Submission deadline is firm with no extensions. Vendors without prior government contract experience may face disqualification at the screening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