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Institutional Accreditation &amp; Academic Performance Review</w:t>
      </w:r>
    </w:p>
    <w:p>
      <w:r>
        <w:rPr>
          <w:color w:val="64748B"/>
          <w:sz w:val="18"/>
        </w:rPr>
        <w:t>Institution: National Institute of Engineering &amp; Technology | Academic Year: 2023-2024</w:t>
      </w:r>
    </w:p>
    <w:p>
      <w:pPr>
        <w:pStyle w:val="Heading1"/>
      </w:pPr>
      <w:r>
        <w:t>Enrollment, Placements &amp; Research Grants</w:t>
      </w:r>
    </w:p>
    <w:p>
      <w:r>
        <w:t>Total undergraduate enrollment expanded to 3,420 students across 6 engineering departments. Overall placement rate reached 88.4% compared to 82.1% in the prior academic year. Total sponsored research funding secured reached INR 18.5 crore, up 26% year-over-year. The overall faculty-to-student ratio improved from 1:18 to 1:15.</w:t>
      </w:r>
    </w:p>
    <w:p>
      <w:pPr>
        <w:pStyle w:val="Heading2"/>
      </w:pPr>
      <w:r>
        <w:t>Department Placement &amp; Average Package Matrix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Academic Department</w:t>
            </w:r>
          </w:p>
        </w:tc>
        <w:tc>
          <w:tcPr>
            <w:tcW w:type="dxa" w:w="2160"/>
          </w:tcPr>
          <w:p>
            <w:r>
              <w:t>Enrolled Final Year</w:t>
            </w:r>
          </w:p>
        </w:tc>
        <w:tc>
          <w:tcPr>
            <w:tcW w:type="dxa" w:w="2160"/>
          </w:tcPr>
          <w:p>
            <w:r>
              <w:t>Placement Rate (%)</w:t>
            </w:r>
          </w:p>
        </w:tc>
        <w:tc>
          <w:tcPr>
            <w:tcW w:type="dxa" w:w="2160"/>
          </w:tcPr>
          <w:p>
            <w:r>
              <w:t>Average CTC (INR LPA)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96.0%</w:t>
            </w:r>
          </w:p>
        </w:tc>
        <w:tc>
          <w:tcPr>
            <w:tcW w:type="dxa" w:w="2160"/>
          </w:tcPr>
          <w:p>
            <w:r>
              <w:t>18.2</w:t>
            </w:r>
          </w:p>
        </w:tc>
      </w:tr>
      <w:tr>
        <w:tc>
          <w:tcPr>
            <w:tcW w:type="dxa" w:w="2160"/>
          </w:tcPr>
          <w:p>
            <w:r>
              <w:t>Electronics &amp; Comm.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91.0%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Mechanical Engg.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82.0%</w:t>
            </w:r>
          </w:p>
        </w:tc>
        <w:tc>
          <w:tcPr>
            <w:tcW w:type="dxa" w:w="2160"/>
          </w:tcPr>
          <w:p>
            <w:r>
              <w:t>9.8</w:t>
            </w:r>
          </w:p>
        </w:tc>
      </w:tr>
      <w:tr>
        <w:tc>
          <w:tcPr>
            <w:tcW w:type="dxa" w:w="2160"/>
          </w:tcPr>
          <w:p>
            <w:r>
              <w:t>Civil Engineering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</w:tbl>
    <w:p>
      <w:pPr>
        <w:pStyle w:val="Heading1"/>
      </w:pPr>
      <w:r>
        <w:t>Accreditation Grades &amp; Research Publications</w:t>
      </w:r>
    </w:p>
    <w:p>
      <w:r>
        <w:t>Scopus indexed faculty research publications increased from 142 to 215 papers. Student retention from 1st to 2nd year was maintained at 94.2%.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