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</w:rPr>
        <w:t>Annual Talent &amp; Workforce Review 2024</w:t>
      </w:r>
    </w:p>
    <w:p>
      <w:r>
        <w:rPr>
          <w:color w:val="64748B"/>
          <w:sz w:val="18"/>
        </w:rPr>
        <w:t>Organization: Meridian Health Technologies | Scope: Global Operations</w:t>
      </w:r>
    </w:p>
    <w:p>
      <w:pPr>
        <w:pStyle w:val="Heading1"/>
      </w:pPr>
      <w:r>
        <w:t>Workforce Highlights &amp; Retention Trends</w:t>
      </w:r>
    </w:p>
    <w:p>
      <w:r>
        <w:t>Employee headcount increased from 1,196 to 1,284. Attrition declined from 13.4% to 11.2%. Engineering accounted for 42% of the workforce, followed by Sales at 26%, Operations at 20%, and Corporate Support at 12%. The average time-to-hire dropped from 44 days to 32 days across all technical roles.</w:t>
      </w:r>
    </w:p>
    <w:p>
      <w:pPr>
        <w:pStyle w:val="Heading2"/>
      </w:pPr>
      <w:r>
        <w:t>Department Distribution &amp; Retention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2023 Headcount</w:t>
            </w:r>
          </w:p>
        </w:tc>
        <w:tc>
          <w:tcPr>
            <w:tcW w:type="dxa" w:w="1728"/>
          </w:tcPr>
          <w:p>
            <w:r>
              <w:t>2024 Headcount</w:t>
            </w:r>
          </w:p>
        </w:tc>
        <w:tc>
          <w:tcPr>
            <w:tcW w:type="dxa" w:w="1728"/>
          </w:tcPr>
          <w:p>
            <w:r>
              <w:t>Workforce Share (%)</w:t>
            </w:r>
          </w:p>
        </w:tc>
        <w:tc>
          <w:tcPr>
            <w:tcW w:type="dxa" w:w="1728"/>
          </w:tcPr>
          <w:p>
            <w:r>
              <w:t>Retention Rate (%)</w:t>
            </w:r>
          </w:p>
        </w:tc>
      </w:tr>
      <w:tr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42.0%</w:t>
            </w:r>
          </w:p>
        </w:tc>
        <w:tc>
          <w:tcPr>
            <w:tcW w:type="dxa" w:w="1728"/>
          </w:tcPr>
          <w:p>
            <w:r>
              <w:t>91.2%</w:t>
            </w:r>
          </w:p>
        </w:tc>
      </w:tr>
      <w:tr>
        <w:tc>
          <w:tcPr>
            <w:tcW w:type="dxa" w:w="1728"/>
          </w:tcPr>
          <w:p>
            <w:r>
              <w:t>Sales &amp; Marketing</w:t>
            </w:r>
          </w:p>
        </w:tc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26.0%</w:t>
            </w:r>
          </w:p>
        </w:tc>
        <w:tc>
          <w:tcPr>
            <w:tcW w:type="dxa" w:w="1728"/>
          </w:tcPr>
          <w:p>
            <w:r>
              <w:t>88.0%</w:t>
            </w:r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87.5%</w:t>
            </w:r>
          </w:p>
        </w:tc>
      </w:tr>
      <w:tr>
        <w:tc>
          <w:tcPr>
            <w:tcW w:type="dxa" w:w="1728"/>
          </w:tcPr>
          <w:p>
            <w:r>
              <w:t>Corporate Support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12.0%</w:t>
            </w:r>
          </w:p>
        </w:tc>
        <w:tc>
          <w:tcPr>
            <w:tcW w:type="dxa" w:w="1728"/>
          </w:tcPr>
          <w:p>
            <w:r>
              <w:t>93.0%</w:t>
            </w:r>
          </w:p>
        </w:tc>
      </w:tr>
    </w:tbl>
    <w:p>
      <w:pPr>
        <w:pStyle w:val="Heading1"/>
      </w:pPr>
      <w:r>
        <w:t>Diversity &amp; Inclusion Benchmarks</w:t>
      </w:r>
    </w:p>
    <w:p>
      <w:r>
        <w:t>Female representation in senior leadership positions expanded from 24.5% to 29.0%. The overall employee net promoter score (eNPS) improved significantly from +38 to +52.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