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Example-Driven Engineering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Use examples as calibration tools for patterns that are hard to explain.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Tasks where the desired pattern is subtle.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Classification, categorisation, tone matching, and structured outputs.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Reducing inconsistent AI outputs by showing the target pattern.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Examples are not decorative. They are calibration tools. They communicate patterns that could otherwise take hundreds of words to explain.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 architecture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Parallel Structure: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All examples follow the same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Diverse Content: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Examples cover different scenarios while maintaining the pattern.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Strategic Progression: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Order examples from simple to complex.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Clear Delineation: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Visibly separate input from output in examples.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Decide what pattern the model must imitate.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Create examples with consistent input and output formatting.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diverse examples that preserve the same classification or transformation pattern.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Place examples before the new task.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 the model to apply the pattern to the new input.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Task: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classify customer feedback into Product, Service, or Billing.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Example 1: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Input: “The software keeps crashing when I try to export reports.” Output: Product.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Example 2: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Input: “Your support team took three days to respond to my urgent request.” Output: Service.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Example 3: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Input: “I was charged twice for my monthly subscription.” Output: Billing.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Now classify: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“I do not understand how to use the new dashboard feature.”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examples with inconsistent structure.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Providing examples that accidentally imply the wrong pattern.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Examples are parallel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Examples cover diverse cases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Inputs and outputs are clearly separated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The new task follows immediately after examples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Expected labels or format are explicit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Example-Driven Engineering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